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6AC7D">
      <w:pPr>
        <w:spacing w:line="360" w:lineRule="auto"/>
        <w:jc w:val="center"/>
        <w:rPr>
          <w:rFonts w:hint="eastAsia" w:ascii="宋体" w:hAnsi="宋体" w:cs="宋体"/>
          <w:b/>
          <w:bCs/>
          <w:color w:val="auto"/>
          <w:sz w:val="52"/>
          <w:szCs w:val="52"/>
        </w:rPr>
      </w:pPr>
      <w:r>
        <w:rPr>
          <w:rFonts w:hint="eastAsia" w:ascii="方正小标宋简体" w:hAnsi="宋体" w:eastAsia="方正小标宋简体"/>
          <w:color w:val="auto"/>
          <w:sz w:val="52"/>
          <w:szCs w:val="52"/>
        </w:rPr>
        <w:t xml:space="preserve"> </w:t>
      </w:r>
      <w:r>
        <w:rPr>
          <w:rFonts w:hint="eastAsia" w:ascii="宋体" w:hAnsi="宋体" w:cs="宋体"/>
          <w:b/>
          <w:bCs/>
          <w:color w:val="auto"/>
          <w:sz w:val="52"/>
          <w:szCs w:val="52"/>
        </w:rPr>
        <w:t>云之龙咨询集团有限公司</w:t>
      </w:r>
    </w:p>
    <w:p w14:paraId="0322DE09">
      <w:pPr>
        <w:spacing w:before="156" w:beforeLines="50" w:line="360" w:lineRule="auto"/>
        <w:jc w:val="center"/>
        <w:rPr>
          <w:rFonts w:hint="eastAsia" w:ascii="宋体" w:hAnsi="宋体"/>
          <w:iCs/>
          <w:color w:val="auto"/>
          <w:sz w:val="52"/>
          <w:szCs w:val="52"/>
        </w:rPr>
      </w:pPr>
      <w:r>
        <w:rPr>
          <w:rFonts w:hint="eastAsia" w:ascii="宋体" w:hAnsi="宋体"/>
          <w:iCs/>
          <w:color w:val="auto"/>
          <w:sz w:val="52"/>
          <w:szCs w:val="52"/>
        </w:rPr>
        <w:t>（工程施工类政府采购）</w:t>
      </w:r>
    </w:p>
    <w:p w14:paraId="12323FE9">
      <w:pPr>
        <w:spacing w:line="360" w:lineRule="auto"/>
        <w:jc w:val="center"/>
        <w:rPr>
          <w:rFonts w:hint="eastAsia" w:ascii="方正小标宋简体" w:hAnsi="方正小标宋简体" w:eastAsia="方正小标宋简体" w:cs="方正小标宋简体"/>
          <w:b/>
          <w:color w:val="auto"/>
          <w:sz w:val="44"/>
          <w:szCs w:val="44"/>
        </w:rPr>
      </w:pPr>
    </w:p>
    <w:p w14:paraId="65FAF559">
      <w:pPr>
        <w:spacing w:line="360" w:lineRule="auto"/>
        <w:jc w:val="center"/>
        <w:rPr>
          <w:rFonts w:hint="eastAsia" w:ascii="方正小标宋简体" w:hAnsi="方正小标宋简体" w:eastAsia="方正小标宋简体" w:cs="方正小标宋简体"/>
          <w:b/>
          <w:color w:val="auto"/>
          <w:sz w:val="44"/>
          <w:szCs w:val="44"/>
        </w:rPr>
      </w:pPr>
    </w:p>
    <w:p w14:paraId="08A8A781">
      <w:pPr>
        <w:snapToGrid w:val="0"/>
        <w:spacing w:before="156" w:beforeLines="50" w:line="360" w:lineRule="auto"/>
        <w:jc w:val="center"/>
        <w:rPr>
          <w:rFonts w:hint="eastAsia" w:ascii="华文新魏" w:hAnsi="宋体" w:eastAsia="华文新魏"/>
          <w:color w:val="auto"/>
          <w:sz w:val="120"/>
          <w:szCs w:val="120"/>
        </w:rPr>
      </w:pPr>
      <w:r>
        <w:rPr>
          <w:rFonts w:hint="eastAsia" w:ascii="华文新魏" w:hAnsi="宋体" w:eastAsia="华文新魏"/>
          <w:color w:val="auto"/>
          <w:sz w:val="120"/>
          <w:szCs w:val="120"/>
        </w:rPr>
        <w:t>竞争性磋商文件</w:t>
      </w:r>
    </w:p>
    <w:p w14:paraId="0F8A5C28">
      <w:pPr>
        <w:snapToGrid w:val="0"/>
        <w:spacing w:before="156" w:beforeLines="50" w:line="360" w:lineRule="auto"/>
        <w:jc w:val="center"/>
        <w:rPr>
          <w:rFonts w:ascii="仿宋_GB2312" w:hAnsi="宋体" w:eastAsia="仿宋_GB2312"/>
          <w:b/>
          <w:color w:val="auto"/>
          <w:sz w:val="30"/>
          <w:szCs w:val="72"/>
        </w:rPr>
      </w:pPr>
      <w:r>
        <w:rPr>
          <w:rFonts w:hint="eastAsia" w:ascii="仿宋_GB2312" w:hAnsi="宋体" w:eastAsia="仿宋_GB2312"/>
          <w:b/>
          <w:color w:val="auto"/>
          <w:sz w:val="48"/>
          <w:szCs w:val="48"/>
        </w:rPr>
        <w:t>（全流程电子化采购-远程异地评标）</w:t>
      </w:r>
    </w:p>
    <w:p w14:paraId="4265053E">
      <w:pPr>
        <w:snapToGrid w:val="0"/>
        <w:rPr>
          <w:rFonts w:hint="eastAsia" w:ascii="仿宋_GB2312" w:hAnsi="宋体" w:eastAsia="仿宋_GB2312"/>
          <w:color w:val="auto"/>
          <w:sz w:val="30"/>
          <w:szCs w:val="72"/>
        </w:rPr>
      </w:pPr>
    </w:p>
    <w:p w14:paraId="165AEF4D">
      <w:pPr>
        <w:snapToGrid w:val="0"/>
        <w:spacing w:line="360" w:lineRule="auto"/>
        <w:ind w:left="3010" w:leftChars="704" w:right="258" w:rightChars="123" w:hanging="1532" w:hangingChars="477"/>
        <w:rPr>
          <w:rFonts w:hint="default" w:ascii="仿宋_GB2312" w:hAnsi="宋体" w:eastAsia="仿宋_GB2312"/>
          <w:b/>
          <w:bCs/>
          <w:color w:val="auto"/>
          <w:sz w:val="32"/>
          <w:szCs w:val="32"/>
          <w:lang w:val="en-US" w:eastAsia="zh-CN"/>
        </w:rPr>
      </w:pPr>
      <w:r>
        <w:rPr>
          <w:rFonts w:hint="eastAsia" w:ascii="仿宋_GB2312" w:hAnsi="宋体" w:eastAsia="仿宋_GB2312"/>
          <w:b/>
          <w:bCs/>
          <w:color w:val="auto"/>
          <w:sz w:val="32"/>
          <w:szCs w:val="32"/>
        </w:rPr>
        <w:t>项目</w:t>
      </w:r>
      <w:r>
        <w:rPr>
          <w:rFonts w:hint="eastAsia" w:ascii="仿宋_GB2312" w:hAnsi="宋体" w:eastAsia="仿宋_GB2312" w:cs="Courier New"/>
          <w:b/>
          <w:bCs/>
          <w:color w:val="auto"/>
          <w:w w:val="95"/>
          <w:sz w:val="32"/>
          <w:szCs w:val="32"/>
        </w:rPr>
        <w:t>名称</w:t>
      </w:r>
      <w:r>
        <w:rPr>
          <w:rFonts w:hint="eastAsia" w:ascii="仿宋_GB2312" w:hAnsi="宋体" w:eastAsia="仿宋_GB2312"/>
          <w:b/>
          <w:bCs/>
          <w:color w:val="auto"/>
          <w:sz w:val="32"/>
          <w:szCs w:val="32"/>
        </w:rPr>
        <w:t>：</w:t>
      </w:r>
      <w:bookmarkStart w:id="1453" w:name="_GoBack"/>
      <w:r>
        <w:rPr>
          <w:rFonts w:hint="eastAsia" w:ascii="仿宋_GB2312" w:hAnsi="宋体" w:eastAsia="仿宋_GB2312"/>
          <w:b/>
          <w:bCs/>
          <w:color w:val="auto"/>
          <w:sz w:val="32"/>
          <w:szCs w:val="32"/>
          <w:lang w:eastAsia="zh-CN"/>
        </w:rPr>
        <w:t>岑溪市</w:t>
      </w:r>
      <w:r>
        <w:rPr>
          <w:rFonts w:hint="eastAsia" w:ascii="仿宋_GB2312" w:hAnsi="宋体" w:eastAsia="仿宋_GB2312"/>
          <w:b/>
          <w:bCs/>
          <w:color w:val="auto"/>
          <w:sz w:val="32"/>
          <w:szCs w:val="32"/>
          <w:lang w:val="en-US" w:eastAsia="zh-CN"/>
        </w:rPr>
        <w:t>梨木中学学生食堂扩建工程</w:t>
      </w:r>
      <w:bookmarkEnd w:id="1453"/>
    </w:p>
    <w:p w14:paraId="46E75A66">
      <w:pPr>
        <w:snapToGrid w:val="0"/>
        <w:spacing w:line="360" w:lineRule="auto"/>
        <w:ind w:firstLine="1526" w:firstLineChars="500"/>
        <w:rPr>
          <w:rFonts w:ascii="仿宋_GB2312" w:hAnsi="宋体" w:eastAsia="仿宋_GB2312"/>
          <w:color w:val="auto"/>
          <w:sz w:val="32"/>
          <w:szCs w:val="96"/>
        </w:rPr>
      </w:pPr>
      <w:r>
        <w:rPr>
          <w:rFonts w:hint="eastAsia" w:ascii="仿宋_GB2312" w:hAnsi="宋体" w:eastAsia="仿宋_GB2312" w:cs="Courier New"/>
          <w:b/>
          <w:bCs/>
          <w:color w:val="auto"/>
          <w:w w:val="95"/>
          <w:sz w:val="32"/>
          <w:szCs w:val="32"/>
        </w:rPr>
        <w:t>项目</w:t>
      </w:r>
      <w:r>
        <w:rPr>
          <w:rFonts w:hint="eastAsia" w:ascii="仿宋_GB2312" w:hAnsi="宋体" w:eastAsia="仿宋_GB2312"/>
          <w:b/>
          <w:bCs/>
          <w:color w:val="auto"/>
          <w:sz w:val="32"/>
          <w:szCs w:val="32"/>
        </w:rPr>
        <w:t>编号</w:t>
      </w:r>
      <w:r>
        <w:rPr>
          <w:rFonts w:hint="eastAsia" w:ascii="仿宋_GB2312" w:hAnsi="宋体" w:eastAsia="仿宋_GB2312" w:cs="Courier New"/>
          <w:b/>
          <w:bCs/>
          <w:color w:val="auto"/>
          <w:w w:val="95"/>
          <w:sz w:val="32"/>
          <w:szCs w:val="32"/>
        </w:rPr>
        <w:t>：WZZC2026-C2-810009-YZLZ</w:t>
      </w:r>
    </w:p>
    <w:p w14:paraId="107408D5">
      <w:pPr>
        <w:pStyle w:val="27"/>
        <w:snapToGrid w:val="0"/>
        <w:spacing w:line="360" w:lineRule="auto"/>
        <w:ind w:left="0" w:leftChars="0" w:firstLine="1484" w:firstLineChars="486"/>
        <w:rPr>
          <w:rFonts w:hint="eastAsia" w:ascii="仿宋_GB2312" w:hAnsi="宋体" w:eastAsia="仿宋_GB2312"/>
          <w:b/>
          <w:bCs/>
          <w:color w:val="auto"/>
          <w:w w:val="95"/>
          <w:sz w:val="32"/>
          <w:szCs w:val="32"/>
          <w:lang w:eastAsia="zh-CN"/>
        </w:rPr>
      </w:pPr>
      <w:r>
        <w:rPr>
          <w:rFonts w:hint="eastAsia" w:ascii="仿宋_GB2312" w:hAnsi="宋体" w:eastAsia="仿宋_GB2312"/>
          <w:b/>
          <w:bCs/>
          <w:color w:val="auto"/>
          <w:w w:val="95"/>
          <w:sz w:val="32"/>
          <w:szCs w:val="32"/>
        </w:rPr>
        <w:t>采 购 人：</w:t>
      </w:r>
      <w:r>
        <w:rPr>
          <w:rFonts w:hint="eastAsia" w:ascii="仿宋_GB2312" w:hAnsi="宋体" w:eastAsia="仿宋_GB2312"/>
          <w:b/>
          <w:bCs/>
          <w:color w:val="auto"/>
          <w:sz w:val="32"/>
          <w:szCs w:val="32"/>
          <w:lang w:eastAsia="zh-CN"/>
        </w:rPr>
        <w:t>岑溪市</w:t>
      </w:r>
      <w:r>
        <w:rPr>
          <w:rFonts w:hint="eastAsia" w:ascii="仿宋_GB2312" w:hAnsi="宋体" w:eastAsia="仿宋_GB2312"/>
          <w:b/>
          <w:bCs/>
          <w:color w:val="auto"/>
          <w:sz w:val="32"/>
          <w:szCs w:val="32"/>
          <w:lang w:val="en-US" w:eastAsia="zh-CN"/>
        </w:rPr>
        <w:t>梨木中学</w:t>
      </w:r>
    </w:p>
    <w:p w14:paraId="107003D5">
      <w:pPr>
        <w:pStyle w:val="27"/>
        <w:snapToGrid w:val="0"/>
        <w:spacing w:line="360" w:lineRule="auto"/>
        <w:ind w:left="0" w:leftChars="0" w:firstLine="1484" w:firstLineChars="486"/>
        <w:rPr>
          <w:rFonts w:hint="eastAsia" w:ascii="仿宋_GB2312" w:hAnsi="宋体" w:eastAsia="仿宋_GB2312"/>
          <w:b/>
          <w:bCs/>
          <w:color w:val="auto"/>
          <w:w w:val="95"/>
          <w:sz w:val="32"/>
          <w:szCs w:val="32"/>
        </w:rPr>
      </w:pPr>
      <w:r>
        <w:rPr>
          <w:rFonts w:hint="eastAsia" w:ascii="仿宋_GB2312" w:hAnsi="宋体" w:eastAsia="仿宋_GB2312"/>
          <w:b/>
          <w:bCs/>
          <w:color w:val="auto"/>
          <w:w w:val="95"/>
          <w:sz w:val="32"/>
          <w:szCs w:val="32"/>
        </w:rPr>
        <w:t>采购代理机构：云之龙咨询集团有限公司</w:t>
      </w:r>
    </w:p>
    <w:p w14:paraId="1F0925ED">
      <w:pPr>
        <w:pStyle w:val="27"/>
        <w:snapToGrid w:val="0"/>
        <w:spacing w:line="360" w:lineRule="auto"/>
        <w:ind w:firstLine="1200" w:firstLineChars="393"/>
        <w:rPr>
          <w:rFonts w:hint="eastAsia" w:ascii="仿宋_GB2312" w:hAnsi="宋体" w:eastAsia="仿宋_GB2312"/>
          <w:b/>
          <w:bCs/>
          <w:color w:val="auto"/>
          <w:w w:val="95"/>
          <w:sz w:val="32"/>
          <w:szCs w:val="32"/>
        </w:rPr>
      </w:pPr>
    </w:p>
    <w:p w14:paraId="027FE057">
      <w:pPr>
        <w:pStyle w:val="27"/>
        <w:snapToGrid w:val="0"/>
        <w:spacing w:line="360" w:lineRule="auto"/>
        <w:ind w:left="420" w:firstLine="897" w:firstLineChars="294"/>
        <w:rPr>
          <w:rFonts w:hint="eastAsia" w:ascii="仿宋_GB2312" w:eastAsia="仿宋_GB2312"/>
          <w:color w:val="auto"/>
          <w:sz w:val="21"/>
        </w:rPr>
      </w:pPr>
      <w:r>
        <w:rPr>
          <w:rFonts w:hint="eastAsia" w:ascii="仿宋_GB2312" w:hAnsi="宋体" w:eastAsia="仿宋_GB2312"/>
          <w:b/>
          <w:bCs/>
          <w:color w:val="auto"/>
          <w:w w:val="95"/>
          <w:sz w:val="32"/>
          <w:szCs w:val="32"/>
        </w:rPr>
        <w:t xml:space="preserve">             202</w:t>
      </w:r>
      <w:r>
        <w:rPr>
          <w:rFonts w:hint="eastAsia" w:ascii="仿宋_GB2312" w:hAnsi="宋体" w:eastAsia="仿宋_GB2312"/>
          <w:b/>
          <w:bCs/>
          <w:color w:val="auto"/>
          <w:w w:val="95"/>
          <w:sz w:val="32"/>
          <w:szCs w:val="32"/>
          <w:lang w:val="en-US" w:eastAsia="zh-CN"/>
        </w:rPr>
        <w:t>6</w:t>
      </w:r>
      <w:r>
        <w:rPr>
          <w:rFonts w:hint="eastAsia" w:ascii="仿宋_GB2312" w:hAnsi="宋体" w:eastAsia="仿宋_GB2312"/>
          <w:b/>
          <w:bCs/>
          <w:color w:val="auto"/>
          <w:w w:val="95"/>
          <w:sz w:val="32"/>
          <w:szCs w:val="32"/>
        </w:rPr>
        <w:t>年</w:t>
      </w:r>
      <w:r>
        <w:rPr>
          <w:rFonts w:hint="eastAsia" w:ascii="仿宋_GB2312" w:hAnsi="宋体" w:eastAsia="仿宋_GB2312"/>
          <w:b/>
          <w:bCs/>
          <w:color w:val="auto"/>
          <w:w w:val="95"/>
          <w:sz w:val="32"/>
          <w:szCs w:val="32"/>
          <w:lang w:val="en-US" w:eastAsia="zh-CN"/>
        </w:rPr>
        <w:t>3</w:t>
      </w:r>
      <w:r>
        <w:rPr>
          <w:rFonts w:hint="eastAsia" w:ascii="仿宋_GB2312" w:hAnsi="宋体" w:eastAsia="仿宋_GB2312"/>
          <w:b/>
          <w:bCs/>
          <w:color w:val="auto"/>
          <w:w w:val="95"/>
          <w:sz w:val="32"/>
          <w:szCs w:val="32"/>
        </w:rPr>
        <w:t>月</w:t>
      </w:r>
      <w:r>
        <w:rPr>
          <w:rFonts w:hint="eastAsia" w:ascii="仿宋_GB2312" w:eastAsia="仿宋_GB2312"/>
          <w:color w:val="auto"/>
          <w:w w:val="95"/>
          <w:sz w:val="21"/>
          <w:szCs w:val="22"/>
        </w:rPr>
        <w:t xml:space="preserve"> </w:t>
      </w:r>
    </w:p>
    <w:p w14:paraId="6037A3A9">
      <w:pPr>
        <w:spacing w:line="360" w:lineRule="auto"/>
        <w:jc w:val="center"/>
        <w:rPr>
          <w:rFonts w:hint="eastAsia" w:ascii="宋体" w:hAnsi="宋体" w:cs="宋体"/>
          <w:b/>
          <w:bCs/>
          <w:color w:val="auto"/>
          <w:kern w:val="0"/>
          <w:sz w:val="32"/>
          <w:szCs w:val="32"/>
        </w:rPr>
      </w:pPr>
    </w:p>
    <w:p w14:paraId="38E9A752">
      <w:pPr>
        <w:spacing w:line="360" w:lineRule="auto"/>
        <w:rPr>
          <w:rFonts w:hint="eastAsia" w:ascii="宋体" w:hAnsi="宋体"/>
          <w:b/>
          <w:color w:val="auto"/>
          <w:sz w:val="44"/>
          <w:szCs w:val="44"/>
        </w:rPr>
      </w:pPr>
      <w:r>
        <w:rPr>
          <w:rFonts w:ascii="宋体" w:hAnsi="宋体"/>
          <w:b/>
          <w:color w:val="auto"/>
          <w:sz w:val="44"/>
          <w:szCs w:val="44"/>
        </w:rPr>
        <w:br w:type="page"/>
      </w:r>
    </w:p>
    <w:p w14:paraId="51A06911">
      <w:pPr>
        <w:spacing w:line="360" w:lineRule="auto"/>
        <w:jc w:val="center"/>
        <w:rPr>
          <w:rFonts w:hint="eastAsia" w:ascii="宋体" w:hAnsi="宋体"/>
          <w:b/>
          <w:color w:val="auto"/>
          <w:sz w:val="44"/>
          <w:szCs w:val="44"/>
        </w:rPr>
      </w:pPr>
      <w:r>
        <w:rPr>
          <w:rFonts w:hint="eastAsia" w:ascii="宋体" w:hAnsi="宋体"/>
          <w:b/>
          <w:color w:val="auto"/>
          <w:sz w:val="44"/>
          <w:szCs w:val="44"/>
        </w:rPr>
        <w:t>目  录</w:t>
      </w:r>
    </w:p>
    <w:p w14:paraId="3A2A3849">
      <w:pPr>
        <w:spacing w:line="400" w:lineRule="exact"/>
        <w:jc w:val="center"/>
        <w:rPr>
          <w:rFonts w:hint="eastAsia" w:ascii="宋体" w:hAnsi="宋体"/>
          <w:b/>
          <w:color w:val="auto"/>
          <w:sz w:val="44"/>
          <w:szCs w:val="44"/>
        </w:rPr>
      </w:pPr>
    </w:p>
    <w:p w14:paraId="23517014">
      <w:pPr>
        <w:pStyle w:val="34"/>
        <w:tabs>
          <w:tab w:val="right" w:leader="dot" w:pos="8869"/>
        </w:tabs>
        <w:spacing w:line="360" w:lineRule="auto"/>
        <w:rPr>
          <w:rFonts w:ascii="Calibri" w:hAnsi="Calibri"/>
          <w:b/>
          <w:color w:val="auto"/>
          <w:sz w:val="24"/>
        </w:rPr>
      </w:pPr>
      <w:r>
        <w:rPr>
          <w:rFonts w:ascii="宋体" w:hAnsi="宋体"/>
          <w:b/>
          <w:color w:val="auto"/>
          <w:sz w:val="24"/>
        </w:rPr>
        <w:fldChar w:fldCharType="begin"/>
      </w:r>
      <w:r>
        <w:rPr>
          <w:rFonts w:ascii="宋体" w:hAnsi="宋体"/>
          <w:b/>
          <w:color w:val="auto"/>
          <w:sz w:val="24"/>
        </w:rPr>
        <w:instrText xml:space="preserve"> </w:instrText>
      </w:r>
      <w:r>
        <w:rPr>
          <w:rFonts w:hint="eastAsia" w:ascii="宋体" w:hAnsi="宋体"/>
          <w:b/>
          <w:color w:val="auto"/>
          <w:sz w:val="24"/>
        </w:rPr>
        <w:instrText xml:space="preserve">TOC \o "1-3" \h \z \u</w:instrText>
      </w:r>
      <w:r>
        <w:rPr>
          <w:rFonts w:ascii="宋体" w:hAnsi="宋体"/>
          <w:b/>
          <w:color w:val="auto"/>
          <w:sz w:val="24"/>
        </w:rPr>
        <w:instrText xml:space="preserve"> </w:instrText>
      </w:r>
      <w:r>
        <w:rPr>
          <w:rFonts w:ascii="宋体" w:hAnsi="宋体"/>
          <w:b/>
          <w:color w:val="auto"/>
          <w:sz w:val="24"/>
        </w:rPr>
        <w:fldChar w:fldCharType="separate"/>
      </w:r>
      <w:r>
        <w:rPr>
          <w:b/>
          <w:color w:val="auto"/>
          <w:sz w:val="24"/>
        </w:rPr>
        <w:fldChar w:fldCharType="begin"/>
      </w:r>
      <w:r>
        <w:rPr>
          <w:rStyle w:val="53"/>
          <w:b/>
          <w:color w:val="auto"/>
          <w:sz w:val="24"/>
        </w:rPr>
        <w:instrText xml:space="preserve"> </w:instrText>
      </w:r>
      <w:r>
        <w:rPr>
          <w:b/>
          <w:color w:val="auto"/>
          <w:sz w:val="24"/>
        </w:rPr>
        <w:instrText xml:space="preserve">HYPERLINK \l "_Toc122424244"</w:instrText>
      </w:r>
      <w:r>
        <w:rPr>
          <w:rStyle w:val="53"/>
          <w:b/>
          <w:color w:val="auto"/>
          <w:sz w:val="24"/>
        </w:rPr>
        <w:instrText xml:space="preserve"> </w:instrText>
      </w:r>
      <w:r>
        <w:rPr>
          <w:b/>
          <w:color w:val="auto"/>
          <w:sz w:val="24"/>
        </w:rPr>
        <w:fldChar w:fldCharType="separate"/>
      </w:r>
      <w:r>
        <w:rPr>
          <w:rStyle w:val="53"/>
          <w:rFonts w:hint="eastAsia"/>
          <w:b/>
          <w:color w:val="auto"/>
          <w:sz w:val="24"/>
        </w:rPr>
        <w:t>第一章</w:t>
      </w:r>
      <w:r>
        <w:rPr>
          <w:rStyle w:val="53"/>
          <w:b/>
          <w:color w:val="auto"/>
          <w:sz w:val="24"/>
        </w:rPr>
        <w:t xml:space="preserve"> </w:t>
      </w:r>
      <w:r>
        <w:rPr>
          <w:rStyle w:val="53"/>
          <w:rFonts w:hint="eastAsia"/>
          <w:b/>
          <w:color w:val="auto"/>
          <w:sz w:val="24"/>
        </w:rPr>
        <w:t>竞争性磋商公告</w:t>
      </w:r>
      <w:r>
        <w:rPr>
          <w:b/>
          <w:color w:val="auto"/>
          <w:sz w:val="24"/>
        </w:rPr>
        <w:tab/>
      </w:r>
      <w:r>
        <w:rPr>
          <w:b/>
          <w:color w:val="auto"/>
          <w:sz w:val="24"/>
        </w:rPr>
        <w:fldChar w:fldCharType="begin"/>
      </w:r>
      <w:r>
        <w:rPr>
          <w:b/>
          <w:color w:val="auto"/>
          <w:sz w:val="24"/>
        </w:rPr>
        <w:instrText xml:space="preserve"> PAGEREF _Toc122424244 \h </w:instrText>
      </w:r>
      <w:r>
        <w:rPr>
          <w:b/>
          <w:color w:val="auto"/>
          <w:sz w:val="24"/>
        </w:rPr>
        <w:fldChar w:fldCharType="separate"/>
      </w:r>
      <w:r>
        <w:rPr>
          <w:b/>
          <w:color w:val="auto"/>
          <w:sz w:val="24"/>
        </w:rPr>
        <w:t>2</w:t>
      </w:r>
      <w:r>
        <w:rPr>
          <w:b/>
          <w:color w:val="auto"/>
          <w:sz w:val="24"/>
        </w:rPr>
        <w:fldChar w:fldCharType="end"/>
      </w:r>
      <w:r>
        <w:rPr>
          <w:b/>
          <w:color w:val="auto"/>
          <w:sz w:val="24"/>
        </w:rPr>
        <w:fldChar w:fldCharType="end"/>
      </w:r>
    </w:p>
    <w:p w14:paraId="686B9FF9">
      <w:pPr>
        <w:pStyle w:val="34"/>
        <w:tabs>
          <w:tab w:val="right" w:leader="dot" w:pos="8869"/>
        </w:tabs>
        <w:spacing w:line="360" w:lineRule="auto"/>
        <w:rPr>
          <w:rFonts w:ascii="Calibri" w:hAnsi="Calibri"/>
          <w:b/>
          <w:color w:val="auto"/>
          <w:sz w:val="24"/>
        </w:rPr>
      </w:pPr>
      <w:r>
        <w:rPr>
          <w:b/>
          <w:color w:val="auto"/>
          <w:sz w:val="24"/>
        </w:rPr>
        <w:fldChar w:fldCharType="begin"/>
      </w:r>
      <w:r>
        <w:rPr>
          <w:rStyle w:val="53"/>
          <w:b/>
          <w:color w:val="auto"/>
          <w:sz w:val="24"/>
        </w:rPr>
        <w:instrText xml:space="preserve"> </w:instrText>
      </w:r>
      <w:r>
        <w:rPr>
          <w:b/>
          <w:color w:val="auto"/>
          <w:sz w:val="24"/>
        </w:rPr>
        <w:instrText xml:space="preserve">HYPERLINK \l "_Toc122424245"</w:instrText>
      </w:r>
      <w:r>
        <w:rPr>
          <w:rStyle w:val="53"/>
          <w:b/>
          <w:color w:val="auto"/>
          <w:sz w:val="24"/>
        </w:rPr>
        <w:instrText xml:space="preserve"> </w:instrText>
      </w:r>
      <w:r>
        <w:rPr>
          <w:b/>
          <w:color w:val="auto"/>
          <w:sz w:val="24"/>
        </w:rPr>
        <w:fldChar w:fldCharType="separate"/>
      </w:r>
      <w:r>
        <w:rPr>
          <w:rStyle w:val="53"/>
          <w:rFonts w:hint="eastAsia"/>
          <w:b/>
          <w:color w:val="auto"/>
          <w:sz w:val="24"/>
        </w:rPr>
        <w:t>第二章</w:t>
      </w:r>
      <w:r>
        <w:rPr>
          <w:rStyle w:val="53"/>
          <w:b/>
          <w:color w:val="auto"/>
          <w:sz w:val="24"/>
        </w:rPr>
        <w:t xml:space="preserve"> </w:t>
      </w:r>
      <w:r>
        <w:rPr>
          <w:rStyle w:val="53"/>
          <w:rFonts w:hint="eastAsia"/>
          <w:b/>
          <w:color w:val="auto"/>
          <w:sz w:val="24"/>
        </w:rPr>
        <w:t>供应商须知</w:t>
      </w:r>
      <w:r>
        <w:rPr>
          <w:b/>
          <w:color w:val="auto"/>
          <w:sz w:val="24"/>
        </w:rPr>
        <w:tab/>
      </w:r>
      <w:r>
        <w:rPr>
          <w:b/>
          <w:color w:val="auto"/>
          <w:sz w:val="24"/>
        </w:rPr>
        <w:fldChar w:fldCharType="begin"/>
      </w:r>
      <w:r>
        <w:rPr>
          <w:b/>
          <w:color w:val="auto"/>
          <w:sz w:val="24"/>
        </w:rPr>
        <w:instrText xml:space="preserve"> PAGEREF _Toc122424245 \h </w:instrText>
      </w:r>
      <w:r>
        <w:rPr>
          <w:b/>
          <w:color w:val="auto"/>
          <w:sz w:val="24"/>
        </w:rPr>
        <w:fldChar w:fldCharType="separate"/>
      </w:r>
      <w:r>
        <w:rPr>
          <w:b/>
          <w:color w:val="auto"/>
          <w:sz w:val="24"/>
        </w:rPr>
        <w:t>6</w:t>
      </w:r>
      <w:r>
        <w:rPr>
          <w:b/>
          <w:color w:val="auto"/>
          <w:sz w:val="24"/>
        </w:rPr>
        <w:fldChar w:fldCharType="end"/>
      </w:r>
      <w:r>
        <w:rPr>
          <w:b/>
          <w:color w:val="auto"/>
          <w:sz w:val="24"/>
        </w:rPr>
        <w:fldChar w:fldCharType="end"/>
      </w:r>
    </w:p>
    <w:p w14:paraId="0BF18E3E">
      <w:pPr>
        <w:pStyle w:val="34"/>
        <w:tabs>
          <w:tab w:val="right" w:leader="dot" w:pos="8869"/>
        </w:tabs>
        <w:spacing w:line="360" w:lineRule="auto"/>
        <w:rPr>
          <w:rFonts w:hint="eastAsia" w:ascii="Calibri" w:hAnsi="Calibri"/>
          <w:b/>
          <w:color w:val="auto"/>
          <w:sz w:val="24"/>
        </w:rPr>
      </w:pPr>
      <w:r>
        <w:rPr>
          <w:b/>
          <w:color w:val="auto"/>
          <w:sz w:val="24"/>
        </w:rPr>
        <w:fldChar w:fldCharType="begin"/>
      </w:r>
      <w:r>
        <w:rPr>
          <w:rStyle w:val="53"/>
          <w:b/>
          <w:color w:val="auto"/>
          <w:sz w:val="24"/>
        </w:rPr>
        <w:instrText xml:space="preserve"> </w:instrText>
      </w:r>
      <w:r>
        <w:rPr>
          <w:b/>
          <w:color w:val="auto"/>
          <w:sz w:val="24"/>
        </w:rPr>
        <w:instrText xml:space="preserve">HYPERLINK \l "_Toc122424246"</w:instrText>
      </w:r>
      <w:r>
        <w:rPr>
          <w:rStyle w:val="53"/>
          <w:b/>
          <w:color w:val="auto"/>
          <w:sz w:val="24"/>
        </w:rPr>
        <w:instrText xml:space="preserve"> </w:instrText>
      </w:r>
      <w:r>
        <w:rPr>
          <w:b/>
          <w:color w:val="auto"/>
          <w:sz w:val="24"/>
        </w:rPr>
        <w:fldChar w:fldCharType="separate"/>
      </w:r>
      <w:r>
        <w:rPr>
          <w:rStyle w:val="53"/>
          <w:rFonts w:hint="eastAsia"/>
          <w:b/>
          <w:color w:val="auto"/>
          <w:sz w:val="24"/>
        </w:rPr>
        <w:t>第三章</w:t>
      </w:r>
      <w:r>
        <w:rPr>
          <w:rStyle w:val="53"/>
          <w:b/>
          <w:color w:val="auto"/>
          <w:sz w:val="24"/>
        </w:rPr>
        <w:t xml:space="preserve"> </w:t>
      </w:r>
      <w:r>
        <w:rPr>
          <w:rStyle w:val="53"/>
          <w:rFonts w:hint="eastAsia"/>
          <w:b/>
          <w:color w:val="auto"/>
          <w:sz w:val="24"/>
        </w:rPr>
        <w:t>采购需求</w:t>
      </w:r>
      <w:r>
        <w:rPr>
          <w:b/>
          <w:color w:val="auto"/>
          <w:sz w:val="24"/>
        </w:rPr>
        <w:tab/>
      </w:r>
      <w:r>
        <w:rPr>
          <w:rFonts w:hint="eastAsia"/>
          <w:b/>
          <w:color w:val="auto"/>
          <w:sz w:val="24"/>
        </w:rPr>
        <w:t>2</w:t>
      </w:r>
      <w:r>
        <w:rPr>
          <w:b/>
          <w:color w:val="auto"/>
          <w:sz w:val="24"/>
        </w:rPr>
        <w:fldChar w:fldCharType="end"/>
      </w:r>
      <w:r>
        <w:rPr>
          <w:rStyle w:val="53"/>
          <w:rFonts w:hint="eastAsia"/>
          <w:b/>
          <w:color w:val="auto"/>
          <w:sz w:val="24"/>
        </w:rPr>
        <w:t>1</w:t>
      </w:r>
    </w:p>
    <w:p w14:paraId="03B92D29">
      <w:pPr>
        <w:pStyle w:val="34"/>
        <w:tabs>
          <w:tab w:val="right" w:leader="dot" w:pos="8869"/>
        </w:tabs>
        <w:spacing w:line="360" w:lineRule="auto"/>
        <w:rPr>
          <w:rFonts w:ascii="Calibri" w:hAnsi="Calibri"/>
          <w:b/>
          <w:color w:val="auto"/>
          <w:sz w:val="24"/>
        </w:rPr>
      </w:pPr>
      <w:r>
        <w:rPr>
          <w:b/>
          <w:color w:val="auto"/>
          <w:sz w:val="24"/>
        </w:rPr>
        <w:fldChar w:fldCharType="begin"/>
      </w:r>
      <w:r>
        <w:rPr>
          <w:rStyle w:val="53"/>
          <w:b/>
          <w:color w:val="auto"/>
          <w:sz w:val="24"/>
        </w:rPr>
        <w:instrText xml:space="preserve"> </w:instrText>
      </w:r>
      <w:r>
        <w:rPr>
          <w:b/>
          <w:color w:val="auto"/>
          <w:sz w:val="24"/>
        </w:rPr>
        <w:instrText xml:space="preserve">HYPERLINK \l "_Toc122424247"</w:instrText>
      </w:r>
      <w:r>
        <w:rPr>
          <w:rStyle w:val="53"/>
          <w:b/>
          <w:color w:val="auto"/>
          <w:sz w:val="24"/>
        </w:rPr>
        <w:instrText xml:space="preserve"> </w:instrText>
      </w:r>
      <w:r>
        <w:rPr>
          <w:b/>
          <w:color w:val="auto"/>
          <w:sz w:val="24"/>
        </w:rPr>
        <w:fldChar w:fldCharType="separate"/>
      </w:r>
      <w:r>
        <w:rPr>
          <w:rStyle w:val="53"/>
          <w:rFonts w:hint="eastAsia"/>
          <w:b/>
          <w:color w:val="auto"/>
          <w:sz w:val="24"/>
        </w:rPr>
        <w:t>第四章</w:t>
      </w:r>
      <w:r>
        <w:rPr>
          <w:rStyle w:val="53"/>
          <w:b/>
          <w:color w:val="auto"/>
          <w:sz w:val="24"/>
        </w:rPr>
        <w:t xml:space="preserve"> </w:t>
      </w:r>
      <w:r>
        <w:rPr>
          <w:rStyle w:val="53"/>
          <w:rFonts w:hint="eastAsia"/>
          <w:b/>
          <w:color w:val="auto"/>
          <w:sz w:val="24"/>
        </w:rPr>
        <w:t>评审程序、评审方法和评审标准</w:t>
      </w:r>
      <w:r>
        <w:rPr>
          <w:b/>
          <w:color w:val="auto"/>
          <w:sz w:val="24"/>
        </w:rPr>
        <w:tab/>
      </w:r>
      <w:r>
        <w:rPr>
          <w:b/>
          <w:color w:val="auto"/>
          <w:sz w:val="24"/>
        </w:rPr>
        <w:fldChar w:fldCharType="begin"/>
      </w:r>
      <w:r>
        <w:rPr>
          <w:b/>
          <w:color w:val="auto"/>
          <w:sz w:val="24"/>
        </w:rPr>
        <w:instrText xml:space="preserve"> PAGEREF _Toc122424247 \h </w:instrText>
      </w:r>
      <w:r>
        <w:rPr>
          <w:b/>
          <w:color w:val="auto"/>
          <w:sz w:val="24"/>
        </w:rPr>
        <w:fldChar w:fldCharType="separate"/>
      </w:r>
      <w:r>
        <w:rPr>
          <w:b/>
          <w:color w:val="auto"/>
          <w:sz w:val="24"/>
        </w:rPr>
        <w:t>21</w:t>
      </w:r>
      <w:r>
        <w:rPr>
          <w:b/>
          <w:color w:val="auto"/>
          <w:sz w:val="24"/>
        </w:rPr>
        <w:fldChar w:fldCharType="end"/>
      </w:r>
      <w:r>
        <w:rPr>
          <w:b/>
          <w:color w:val="auto"/>
          <w:sz w:val="24"/>
        </w:rPr>
        <w:fldChar w:fldCharType="end"/>
      </w:r>
    </w:p>
    <w:p w14:paraId="4574E495">
      <w:pPr>
        <w:pStyle w:val="34"/>
        <w:tabs>
          <w:tab w:val="right" w:leader="dot" w:pos="8869"/>
        </w:tabs>
        <w:spacing w:line="360" w:lineRule="auto"/>
        <w:rPr>
          <w:rFonts w:ascii="Calibri" w:hAnsi="Calibri"/>
          <w:b/>
          <w:color w:val="auto"/>
          <w:sz w:val="24"/>
        </w:rPr>
      </w:pPr>
      <w:r>
        <w:rPr>
          <w:b/>
          <w:color w:val="auto"/>
          <w:sz w:val="24"/>
        </w:rPr>
        <w:fldChar w:fldCharType="begin"/>
      </w:r>
      <w:r>
        <w:rPr>
          <w:rStyle w:val="53"/>
          <w:b/>
          <w:color w:val="auto"/>
          <w:sz w:val="24"/>
        </w:rPr>
        <w:instrText xml:space="preserve"> </w:instrText>
      </w:r>
      <w:r>
        <w:rPr>
          <w:b/>
          <w:color w:val="auto"/>
          <w:sz w:val="24"/>
        </w:rPr>
        <w:instrText xml:space="preserve">HYPERLINK \l "_Toc122424248"</w:instrText>
      </w:r>
      <w:r>
        <w:rPr>
          <w:rStyle w:val="53"/>
          <w:b/>
          <w:color w:val="auto"/>
          <w:sz w:val="24"/>
        </w:rPr>
        <w:instrText xml:space="preserve"> </w:instrText>
      </w:r>
      <w:r>
        <w:rPr>
          <w:b/>
          <w:color w:val="auto"/>
          <w:sz w:val="24"/>
        </w:rPr>
        <w:fldChar w:fldCharType="separate"/>
      </w:r>
      <w:r>
        <w:rPr>
          <w:rStyle w:val="53"/>
          <w:rFonts w:hint="eastAsia"/>
          <w:b/>
          <w:color w:val="auto"/>
          <w:sz w:val="24"/>
        </w:rPr>
        <w:t>第五章</w:t>
      </w:r>
      <w:r>
        <w:rPr>
          <w:rStyle w:val="53"/>
          <w:b/>
          <w:color w:val="auto"/>
          <w:sz w:val="24"/>
        </w:rPr>
        <w:t xml:space="preserve"> </w:t>
      </w:r>
      <w:r>
        <w:rPr>
          <w:rStyle w:val="53"/>
          <w:rFonts w:hint="eastAsia"/>
          <w:b/>
          <w:color w:val="auto"/>
          <w:sz w:val="24"/>
        </w:rPr>
        <w:t>工程量清单及图纸</w:t>
      </w:r>
      <w:r>
        <w:rPr>
          <w:b/>
          <w:color w:val="auto"/>
          <w:sz w:val="24"/>
        </w:rPr>
        <w:tab/>
      </w:r>
      <w:r>
        <w:rPr>
          <w:b/>
          <w:color w:val="auto"/>
          <w:sz w:val="24"/>
        </w:rPr>
        <w:fldChar w:fldCharType="begin"/>
      </w:r>
      <w:r>
        <w:rPr>
          <w:b/>
          <w:color w:val="auto"/>
          <w:sz w:val="24"/>
        </w:rPr>
        <w:instrText xml:space="preserve"> PAGEREF _Toc122424248 \h </w:instrText>
      </w:r>
      <w:r>
        <w:rPr>
          <w:b/>
          <w:color w:val="auto"/>
          <w:sz w:val="24"/>
        </w:rPr>
        <w:fldChar w:fldCharType="separate"/>
      </w:r>
      <w:r>
        <w:rPr>
          <w:b/>
          <w:color w:val="auto"/>
          <w:sz w:val="24"/>
        </w:rPr>
        <w:t>29</w:t>
      </w:r>
      <w:r>
        <w:rPr>
          <w:b/>
          <w:color w:val="auto"/>
          <w:sz w:val="24"/>
        </w:rPr>
        <w:fldChar w:fldCharType="end"/>
      </w:r>
      <w:r>
        <w:rPr>
          <w:b/>
          <w:color w:val="auto"/>
          <w:sz w:val="24"/>
        </w:rPr>
        <w:fldChar w:fldCharType="end"/>
      </w:r>
    </w:p>
    <w:p w14:paraId="7DAB8F4E">
      <w:pPr>
        <w:pStyle w:val="34"/>
        <w:tabs>
          <w:tab w:val="right" w:leader="dot" w:pos="8869"/>
        </w:tabs>
        <w:spacing w:line="360" w:lineRule="auto"/>
        <w:rPr>
          <w:rFonts w:ascii="Calibri" w:hAnsi="Calibri"/>
          <w:b/>
          <w:color w:val="auto"/>
          <w:sz w:val="24"/>
        </w:rPr>
      </w:pPr>
      <w:r>
        <w:rPr>
          <w:b/>
          <w:color w:val="auto"/>
          <w:sz w:val="24"/>
        </w:rPr>
        <w:fldChar w:fldCharType="begin"/>
      </w:r>
      <w:r>
        <w:rPr>
          <w:rStyle w:val="53"/>
          <w:b/>
          <w:color w:val="auto"/>
          <w:sz w:val="24"/>
        </w:rPr>
        <w:instrText xml:space="preserve"> </w:instrText>
      </w:r>
      <w:r>
        <w:rPr>
          <w:b/>
          <w:color w:val="auto"/>
          <w:sz w:val="24"/>
        </w:rPr>
        <w:instrText xml:space="preserve">HYPERLINK \l "_Toc122424265"</w:instrText>
      </w:r>
      <w:r>
        <w:rPr>
          <w:rStyle w:val="53"/>
          <w:b/>
          <w:color w:val="auto"/>
          <w:sz w:val="24"/>
        </w:rPr>
        <w:instrText xml:space="preserve"> </w:instrText>
      </w:r>
      <w:r>
        <w:rPr>
          <w:b/>
          <w:color w:val="auto"/>
          <w:sz w:val="24"/>
        </w:rPr>
        <w:fldChar w:fldCharType="separate"/>
      </w:r>
      <w:r>
        <w:rPr>
          <w:rStyle w:val="53"/>
          <w:rFonts w:hint="eastAsia"/>
          <w:b/>
          <w:color w:val="auto"/>
          <w:sz w:val="24"/>
        </w:rPr>
        <w:t>第六章</w:t>
      </w:r>
      <w:r>
        <w:rPr>
          <w:rStyle w:val="53"/>
          <w:b/>
          <w:color w:val="auto"/>
          <w:sz w:val="24"/>
        </w:rPr>
        <w:t xml:space="preserve"> </w:t>
      </w:r>
      <w:r>
        <w:rPr>
          <w:rStyle w:val="53"/>
          <w:rFonts w:hint="eastAsia"/>
          <w:b/>
          <w:color w:val="auto"/>
          <w:sz w:val="24"/>
        </w:rPr>
        <w:t>响应文件格式</w:t>
      </w:r>
      <w:r>
        <w:rPr>
          <w:b/>
          <w:color w:val="auto"/>
          <w:sz w:val="24"/>
        </w:rPr>
        <w:tab/>
      </w:r>
      <w:r>
        <w:rPr>
          <w:b/>
          <w:color w:val="auto"/>
          <w:sz w:val="24"/>
        </w:rPr>
        <w:fldChar w:fldCharType="begin"/>
      </w:r>
      <w:r>
        <w:rPr>
          <w:b/>
          <w:color w:val="auto"/>
          <w:sz w:val="24"/>
        </w:rPr>
        <w:instrText xml:space="preserve"> PAGEREF _Toc122424265 \h </w:instrText>
      </w:r>
      <w:r>
        <w:rPr>
          <w:b/>
          <w:color w:val="auto"/>
          <w:sz w:val="24"/>
        </w:rPr>
        <w:fldChar w:fldCharType="separate"/>
      </w:r>
      <w:r>
        <w:rPr>
          <w:b/>
          <w:color w:val="auto"/>
          <w:sz w:val="24"/>
        </w:rPr>
        <w:t>39</w:t>
      </w:r>
      <w:r>
        <w:rPr>
          <w:b/>
          <w:color w:val="auto"/>
          <w:sz w:val="24"/>
        </w:rPr>
        <w:fldChar w:fldCharType="end"/>
      </w:r>
      <w:r>
        <w:rPr>
          <w:b/>
          <w:color w:val="auto"/>
          <w:sz w:val="24"/>
        </w:rPr>
        <w:fldChar w:fldCharType="end"/>
      </w:r>
    </w:p>
    <w:p w14:paraId="034CDC22">
      <w:pPr>
        <w:pStyle w:val="34"/>
        <w:tabs>
          <w:tab w:val="right" w:leader="dot" w:pos="8869"/>
        </w:tabs>
        <w:spacing w:line="360" w:lineRule="auto"/>
        <w:rPr>
          <w:rFonts w:ascii="Calibri" w:hAnsi="Calibri"/>
          <w:b/>
          <w:color w:val="auto"/>
          <w:sz w:val="24"/>
        </w:rPr>
      </w:pPr>
      <w:r>
        <w:rPr>
          <w:b/>
          <w:color w:val="auto"/>
          <w:sz w:val="24"/>
        </w:rPr>
        <w:fldChar w:fldCharType="begin"/>
      </w:r>
      <w:r>
        <w:rPr>
          <w:rStyle w:val="53"/>
          <w:b/>
          <w:color w:val="auto"/>
          <w:sz w:val="24"/>
        </w:rPr>
        <w:instrText xml:space="preserve"> </w:instrText>
      </w:r>
      <w:r>
        <w:rPr>
          <w:b/>
          <w:color w:val="auto"/>
          <w:sz w:val="24"/>
        </w:rPr>
        <w:instrText xml:space="preserve">HYPERLINK \l "_Toc122424267"</w:instrText>
      </w:r>
      <w:r>
        <w:rPr>
          <w:rStyle w:val="53"/>
          <w:b/>
          <w:color w:val="auto"/>
          <w:sz w:val="24"/>
        </w:rPr>
        <w:instrText xml:space="preserve"> </w:instrText>
      </w:r>
      <w:r>
        <w:rPr>
          <w:b/>
          <w:color w:val="auto"/>
          <w:sz w:val="24"/>
        </w:rPr>
        <w:fldChar w:fldCharType="separate"/>
      </w:r>
      <w:r>
        <w:rPr>
          <w:rStyle w:val="53"/>
          <w:rFonts w:hint="eastAsia"/>
          <w:b/>
          <w:color w:val="auto"/>
          <w:sz w:val="24"/>
        </w:rPr>
        <w:t>第七章</w:t>
      </w:r>
      <w:r>
        <w:rPr>
          <w:rStyle w:val="53"/>
          <w:b/>
          <w:color w:val="auto"/>
          <w:sz w:val="24"/>
        </w:rPr>
        <w:t xml:space="preserve"> </w:t>
      </w:r>
      <w:r>
        <w:rPr>
          <w:rStyle w:val="53"/>
          <w:rFonts w:hint="eastAsia"/>
          <w:b/>
          <w:color w:val="auto"/>
          <w:sz w:val="24"/>
        </w:rPr>
        <w:t>合同文本</w:t>
      </w:r>
      <w:r>
        <w:rPr>
          <w:b/>
          <w:color w:val="auto"/>
          <w:sz w:val="24"/>
        </w:rPr>
        <w:tab/>
      </w:r>
      <w:r>
        <w:rPr>
          <w:b/>
          <w:color w:val="auto"/>
          <w:sz w:val="24"/>
        </w:rPr>
        <w:fldChar w:fldCharType="begin"/>
      </w:r>
      <w:r>
        <w:rPr>
          <w:b/>
          <w:color w:val="auto"/>
          <w:sz w:val="24"/>
        </w:rPr>
        <w:instrText xml:space="preserve"> PAGEREF _Toc122424267 \h </w:instrText>
      </w:r>
      <w:r>
        <w:rPr>
          <w:b/>
          <w:color w:val="auto"/>
          <w:sz w:val="24"/>
        </w:rPr>
        <w:fldChar w:fldCharType="separate"/>
      </w:r>
      <w:r>
        <w:rPr>
          <w:b/>
          <w:color w:val="auto"/>
          <w:sz w:val="24"/>
        </w:rPr>
        <w:t>71</w:t>
      </w:r>
      <w:r>
        <w:rPr>
          <w:b/>
          <w:color w:val="auto"/>
          <w:sz w:val="24"/>
        </w:rPr>
        <w:fldChar w:fldCharType="end"/>
      </w:r>
      <w:r>
        <w:rPr>
          <w:b/>
          <w:color w:val="auto"/>
          <w:sz w:val="24"/>
        </w:rPr>
        <w:fldChar w:fldCharType="end"/>
      </w:r>
    </w:p>
    <w:p w14:paraId="3E096FDB">
      <w:pPr>
        <w:pStyle w:val="34"/>
        <w:tabs>
          <w:tab w:val="right" w:leader="dot" w:pos="8869"/>
        </w:tabs>
        <w:spacing w:line="360" w:lineRule="auto"/>
        <w:rPr>
          <w:rFonts w:hint="eastAsia" w:ascii="宋体" w:hAnsi="宋体"/>
          <w:b/>
          <w:color w:val="auto"/>
          <w:sz w:val="24"/>
        </w:rPr>
      </w:pPr>
      <w:r>
        <w:rPr>
          <w:rFonts w:ascii="宋体" w:hAnsi="宋体"/>
          <w:b/>
          <w:color w:val="auto"/>
          <w:sz w:val="24"/>
        </w:rPr>
        <w:fldChar w:fldCharType="end"/>
      </w:r>
    </w:p>
    <w:p w14:paraId="321FF1C1">
      <w:pPr>
        <w:spacing w:line="360" w:lineRule="auto"/>
        <w:jc w:val="left"/>
        <w:rPr>
          <w:rFonts w:hint="eastAsia" w:ascii="宋体" w:hAnsi="宋体"/>
          <w:b/>
          <w:color w:val="auto"/>
          <w:sz w:val="32"/>
          <w:szCs w:val="32"/>
        </w:rPr>
      </w:pPr>
    </w:p>
    <w:p w14:paraId="26FBDC31">
      <w:pPr>
        <w:spacing w:line="400" w:lineRule="exact"/>
        <w:jc w:val="center"/>
        <w:rPr>
          <w:rFonts w:hint="eastAsia" w:ascii="宋体" w:hAnsi="宋体"/>
          <w:b/>
          <w:color w:val="auto"/>
          <w:sz w:val="32"/>
          <w:szCs w:val="32"/>
        </w:rPr>
      </w:pPr>
    </w:p>
    <w:p w14:paraId="17A28E75">
      <w:pPr>
        <w:spacing w:line="400" w:lineRule="exact"/>
        <w:jc w:val="center"/>
        <w:rPr>
          <w:rFonts w:hint="eastAsia" w:ascii="宋体" w:hAnsi="宋体"/>
          <w:b/>
          <w:color w:val="auto"/>
          <w:sz w:val="32"/>
          <w:szCs w:val="32"/>
        </w:rPr>
      </w:pPr>
    </w:p>
    <w:p w14:paraId="2F46A867">
      <w:pPr>
        <w:spacing w:line="400" w:lineRule="exact"/>
        <w:jc w:val="center"/>
        <w:rPr>
          <w:rFonts w:hint="eastAsia" w:ascii="宋体" w:hAnsi="宋体"/>
          <w:b/>
          <w:color w:val="auto"/>
          <w:sz w:val="32"/>
          <w:szCs w:val="32"/>
        </w:rPr>
      </w:pPr>
    </w:p>
    <w:p w14:paraId="7749F7C7">
      <w:pPr>
        <w:spacing w:line="400" w:lineRule="exact"/>
        <w:jc w:val="center"/>
        <w:rPr>
          <w:rFonts w:hint="eastAsia" w:ascii="宋体" w:hAnsi="宋体"/>
          <w:b/>
          <w:color w:val="auto"/>
          <w:sz w:val="32"/>
          <w:szCs w:val="32"/>
        </w:rPr>
      </w:pPr>
    </w:p>
    <w:p w14:paraId="255002FC">
      <w:pPr>
        <w:spacing w:line="400" w:lineRule="exact"/>
        <w:rPr>
          <w:rFonts w:hint="eastAsia" w:ascii="宋体" w:hAnsi="宋体"/>
          <w:b/>
          <w:color w:val="auto"/>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210AF4A8">
      <w:pPr>
        <w:pStyle w:val="5"/>
        <w:spacing w:after="340" w:line="360" w:lineRule="auto"/>
        <w:jc w:val="center"/>
        <w:rPr>
          <w:color w:val="auto"/>
        </w:rPr>
      </w:pPr>
      <w:bookmarkStart w:id="0" w:name="_Toc122424244"/>
      <w:r>
        <w:rPr>
          <w:rFonts w:hint="eastAsia"/>
          <w:color w:val="auto"/>
        </w:rPr>
        <w:t>第一章 竞争性磋商公告</w:t>
      </w:r>
      <w:bookmarkEnd w:id="0"/>
    </w:p>
    <w:p w14:paraId="7E895A4D">
      <w:pPr>
        <w:spacing w:line="360" w:lineRule="auto"/>
        <w:jc w:val="center"/>
        <w:rPr>
          <w:rFonts w:hint="eastAsia" w:ascii="宋体" w:hAnsi="宋体"/>
          <w:b/>
          <w:bCs/>
          <w:color w:val="auto"/>
          <w:sz w:val="32"/>
          <w:szCs w:val="32"/>
        </w:rPr>
      </w:pPr>
      <w:r>
        <w:rPr>
          <w:rFonts w:hint="eastAsia" w:ascii="宋体" w:hAnsi="宋体"/>
          <w:b/>
          <w:bCs/>
          <w:color w:val="auto"/>
          <w:sz w:val="32"/>
          <w:szCs w:val="32"/>
        </w:rPr>
        <w:t>竞争性磋商公告（远程异地评标）</w:t>
      </w:r>
    </w:p>
    <w:p w14:paraId="373AC58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bookmarkStart w:id="1" w:name="_Hlk37430271"/>
      <w:r>
        <w:rPr>
          <w:rFonts w:hint="eastAsia" w:ascii="宋体" w:hAnsi="宋体"/>
          <w:color w:val="auto"/>
          <w:szCs w:val="21"/>
        </w:rPr>
        <w:t>项目概况</w:t>
      </w:r>
    </w:p>
    <w:p w14:paraId="2F32AE2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u w:val="single"/>
          <w:lang w:eastAsia="zh-CN"/>
        </w:rPr>
        <w:t>岑溪市梨木中学学生食堂扩建工程</w:t>
      </w:r>
      <w:r>
        <w:rPr>
          <w:rFonts w:hint="eastAsia" w:ascii="宋体" w:hAnsi="宋体"/>
          <w:color w:val="auto"/>
          <w:szCs w:val="21"/>
          <w:u w:val="single"/>
        </w:rPr>
        <w:t xml:space="preserve"> </w:t>
      </w:r>
      <w:r>
        <w:rPr>
          <w:rFonts w:hint="eastAsia" w:ascii="宋体" w:hAnsi="宋体"/>
          <w:color w:val="auto"/>
          <w:szCs w:val="21"/>
        </w:rPr>
        <w:t>采购项目的潜在供应商应在广西政府采购云平台（https://www.gcy.zfcg.gxzf.gov.cn/）获取（下载）竞争性磋商文件，并于</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u w:val="single"/>
        </w:rPr>
        <w:t>年</w:t>
      </w:r>
      <w:r>
        <w:rPr>
          <w:rFonts w:hint="eastAsia" w:ascii="宋体" w:hAnsi="宋体"/>
          <w:color w:val="auto"/>
          <w:szCs w:val="21"/>
          <w:u w:val="single"/>
          <w:lang w:val="en-US" w:eastAsia="zh-CN"/>
        </w:rPr>
        <w:t>3</w:t>
      </w:r>
      <w:r>
        <w:rPr>
          <w:rFonts w:hint="eastAsia" w:ascii="宋体" w:hAnsi="宋体"/>
          <w:color w:val="auto"/>
          <w:szCs w:val="21"/>
          <w:u w:val="single"/>
        </w:rPr>
        <w:t>月</w:t>
      </w:r>
      <w:r>
        <w:rPr>
          <w:rFonts w:hint="eastAsia" w:ascii="宋体" w:hAnsi="宋体"/>
          <w:color w:val="auto"/>
          <w:szCs w:val="21"/>
          <w:u w:val="single"/>
          <w:lang w:val="en-US" w:eastAsia="zh-CN"/>
        </w:rPr>
        <w:t>13</w:t>
      </w:r>
      <w:r>
        <w:rPr>
          <w:rFonts w:hint="eastAsia" w:ascii="宋体" w:hAnsi="宋体"/>
          <w:color w:val="auto"/>
          <w:szCs w:val="21"/>
          <w:u w:val="single"/>
        </w:rPr>
        <w:t>日</w:t>
      </w:r>
      <w:r>
        <w:rPr>
          <w:rFonts w:hint="eastAsia" w:ascii="宋体" w:hAnsi="宋体"/>
          <w:color w:val="auto"/>
          <w:szCs w:val="21"/>
          <w:u w:val="single"/>
          <w:lang w:val="en-US" w:eastAsia="zh-CN"/>
        </w:rPr>
        <w:t>9</w:t>
      </w:r>
      <w:r>
        <w:rPr>
          <w:rFonts w:hint="eastAsia" w:ascii="宋体" w:hAnsi="宋体"/>
          <w:color w:val="auto"/>
          <w:szCs w:val="21"/>
          <w:u w:val="single"/>
        </w:rPr>
        <w:t>时00分</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66D27553">
      <w:pPr>
        <w:spacing w:line="360" w:lineRule="auto"/>
        <w:ind w:firstLine="354" w:firstLineChars="147"/>
        <w:rPr>
          <w:rFonts w:ascii="黑体" w:hAnsi="黑体" w:eastAsia="黑体"/>
          <w:b/>
          <w:color w:val="auto"/>
          <w:sz w:val="24"/>
        </w:rPr>
      </w:pPr>
      <w:bookmarkStart w:id="2" w:name="_Toc71365905"/>
      <w:bookmarkStart w:id="3" w:name="_Toc28359089"/>
      <w:bookmarkStart w:id="4" w:name="_Toc44229878"/>
      <w:bookmarkStart w:id="5" w:name="_Toc35393629"/>
      <w:bookmarkStart w:id="6" w:name="_Toc28359012"/>
      <w:bookmarkStart w:id="7" w:name="_Toc35393798"/>
      <w:r>
        <w:rPr>
          <w:rFonts w:hint="eastAsia" w:ascii="黑体" w:hAnsi="黑体" w:eastAsia="黑体"/>
          <w:b/>
          <w:color w:val="auto"/>
          <w:sz w:val="24"/>
        </w:rPr>
        <w:t>一、项目基本情况</w:t>
      </w:r>
      <w:bookmarkEnd w:id="2"/>
      <w:bookmarkEnd w:id="3"/>
      <w:bookmarkEnd w:id="4"/>
      <w:bookmarkEnd w:id="5"/>
      <w:bookmarkEnd w:id="6"/>
      <w:bookmarkEnd w:id="7"/>
    </w:p>
    <w:p w14:paraId="45BF30D7">
      <w:pPr>
        <w:spacing w:line="360" w:lineRule="auto"/>
        <w:ind w:firstLine="420" w:firstLineChars="200"/>
        <w:rPr>
          <w:rFonts w:ascii="宋体" w:hAnsi="宋体"/>
          <w:color w:val="auto"/>
          <w:szCs w:val="21"/>
        </w:rPr>
      </w:pPr>
      <w:r>
        <w:rPr>
          <w:rFonts w:hint="eastAsia" w:ascii="宋体" w:hAnsi="宋体"/>
          <w:color w:val="auto"/>
          <w:szCs w:val="21"/>
        </w:rPr>
        <w:t>项目编号：WZZC2026-C2-810009-YZLZ</w:t>
      </w:r>
    </w:p>
    <w:p w14:paraId="3D11B8BF">
      <w:pPr>
        <w:spacing w:line="360" w:lineRule="auto"/>
        <w:ind w:firstLine="420" w:firstLineChars="200"/>
        <w:rPr>
          <w:rFonts w:hint="eastAsia" w:ascii="宋体" w:hAnsi="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岑溪市梨木中学学生食堂扩建工程</w:t>
      </w:r>
    </w:p>
    <w:p w14:paraId="6649AF6B">
      <w:pPr>
        <w:spacing w:line="360" w:lineRule="auto"/>
        <w:ind w:firstLine="420" w:firstLineChars="200"/>
        <w:rPr>
          <w:rFonts w:ascii="宋体" w:hAnsi="宋体"/>
          <w:color w:val="auto"/>
          <w:szCs w:val="21"/>
        </w:rPr>
      </w:pPr>
      <w:r>
        <w:rPr>
          <w:rFonts w:hint="eastAsia" w:ascii="宋体" w:hAnsi="宋体"/>
          <w:color w:val="auto"/>
          <w:szCs w:val="21"/>
        </w:rPr>
        <w:t>采购方式：竞争性磋商</w:t>
      </w:r>
    </w:p>
    <w:p w14:paraId="5D144377">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预算总金额（元）：</w:t>
      </w:r>
      <w:r>
        <w:rPr>
          <w:rFonts w:hint="eastAsia" w:ascii="宋体" w:hAnsi="宋体"/>
          <w:color w:val="auto"/>
          <w:szCs w:val="21"/>
          <w:lang w:val="en-US" w:eastAsia="zh-CN"/>
        </w:rPr>
        <w:t>1645350.69</w:t>
      </w:r>
    </w:p>
    <w:p w14:paraId="64270A09">
      <w:pPr>
        <w:spacing w:line="360" w:lineRule="auto"/>
        <w:ind w:firstLine="420" w:firstLineChars="200"/>
        <w:rPr>
          <w:rFonts w:hint="eastAsia" w:ascii="宋体" w:hAnsi="宋体"/>
          <w:color w:val="auto"/>
          <w:szCs w:val="21"/>
        </w:rPr>
      </w:pPr>
      <w:r>
        <w:rPr>
          <w:rFonts w:hint="eastAsia" w:ascii="宋体" w:hAnsi="宋体"/>
          <w:color w:val="auto"/>
          <w:szCs w:val="21"/>
        </w:rPr>
        <w:t>采购需求：</w:t>
      </w:r>
    </w:p>
    <w:p w14:paraId="10F4DEDA">
      <w:pPr>
        <w:spacing w:line="360" w:lineRule="auto"/>
        <w:ind w:firstLine="420" w:firstLineChars="200"/>
        <w:rPr>
          <w:rFonts w:hint="eastAsia" w:ascii="宋体" w:hAnsi="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岑溪市梨木中学学生食堂扩建工程</w:t>
      </w:r>
    </w:p>
    <w:p w14:paraId="253BDFA9">
      <w:pPr>
        <w:spacing w:line="360" w:lineRule="auto"/>
        <w:ind w:firstLine="420" w:firstLineChars="200"/>
        <w:rPr>
          <w:rFonts w:hint="eastAsia" w:ascii="宋体" w:hAnsi="宋体"/>
          <w:color w:val="auto"/>
          <w:szCs w:val="21"/>
        </w:rPr>
      </w:pPr>
      <w:r>
        <w:rPr>
          <w:rFonts w:hint="eastAsia" w:ascii="宋体" w:hAnsi="宋体"/>
          <w:color w:val="auto"/>
          <w:szCs w:val="21"/>
        </w:rPr>
        <w:t>数量：1</w:t>
      </w:r>
    </w:p>
    <w:p w14:paraId="7269F5C5">
      <w:pPr>
        <w:pStyle w:val="19"/>
        <w:spacing w:line="360" w:lineRule="auto"/>
        <w:ind w:firstLine="420" w:firstLineChars="200"/>
        <w:rPr>
          <w:rFonts w:hint="eastAsia" w:ascii="宋体" w:hAnsi="宋体"/>
          <w:color w:val="auto"/>
          <w:szCs w:val="21"/>
        </w:rPr>
      </w:pPr>
      <w:r>
        <w:rPr>
          <w:rFonts w:hint="eastAsia" w:ascii="宋体" w:hAnsi="宋体"/>
          <w:color w:val="auto"/>
          <w:szCs w:val="21"/>
        </w:rPr>
        <w:t>简要规格描述或项目基本概况介绍、用途：新建2层学生食堂，建筑面积700㎡</w:t>
      </w:r>
      <w:r>
        <w:rPr>
          <w:rFonts w:hint="eastAsia" w:ascii="宋体" w:hAnsi="宋体"/>
          <w:color w:val="auto"/>
          <w:szCs w:val="21"/>
          <w:lang w:eastAsia="zh-CN"/>
        </w:rPr>
        <w:t>。</w:t>
      </w:r>
      <w:r>
        <w:rPr>
          <w:rFonts w:hint="eastAsia" w:ascii="宋体" w:hAnsi="宋体"/>
          <w:color w:val="auto"/>
          <w:szCs w:val="21"/>
        </w:rPr>
        <w:t>建筑与装饰工程、室外雨棚工程、电气工程、给排水工程等内容，具体详见本项目工程量清单及图纸。</w:t>
      </w:r>
    </w:p>
    <w:p w14:paraId="4BBBD22F">
      <w:pPr>
        <w:spacing w:line="360" w:lineRule="auto"/>
        <w:ind w:firstLine="420" w:firstLineChars="200"/>
        <w:rPr>
          <w:rFonts w:hint="eastAsia" w:ascii="宋体" w:hAnsi="宋体" w:eastAsia="宋体"/>
          <w:color w:val="auto"/>
          <w:szCs w:val="21"/>
          <w:lang w:val="en-US" w:eastAsia="zh-CN"/>
        </w:rPr>
      </w:pPr>
      <w:r>
        <w:rPr>
          <w:rFonts w:hint="eastAsia" w:ascii="宋体" w:hAnsi="宋体"/>
          <w:color w:val="auto"/>
          <w:szCs w:val="21"/>
        </w:rPr>
        <w:t>最高限价（如有）：</w:t>
      </w:r>
      <w:r>
        <w:rPr>
          <w:rFonts w:hint="eastAsia" w:ascii="宋体" w:hAnsi="宋体"/>
          <w:color w:val="auto"/>
          <w:szCs w:val="21"/>
          <w:lang w:val="en-US" w:eastAsia="zh-CN"/>
        </w:rPr>
        <w:t>1645350.69元</w:t>
      </w:r>
    </w:p>
    <w:p w14:paraId="4750BDC2">
      <w:pPr>
        <w:spacing w:line="360" w:lineRule="auto"/>
        <w:ind w:firstLine="420" w:firstLineChars="200"/>
        <w:rPr>
          <w:rFonts w:ascii="宋体" w:hAnsi="宋体"/>
          <w:color w:val="auto"/>
          <w:szCs w:val="21"/>
          <w:u w:val="single"/>
        </w:rPr>
      </w:pPr>
      <w:r>
        <w:rPr>
          <w:rFonts w:hint="eastAsia" w:ascii="宋体" w:hAnsi="宋体"/>
          <w:color w:val="auto"/>
          <w:szCs w:val="21"/>
        </w:rPr>
        <w:t>合同履行期限：</w:t>
      </w:r>
      <w:r>
        <w:rPr>
          <w:rFonts w:hint="eastAsia" w:ascii="宋体" w:hAnsi="宋体" w:cs="宋体"/>
          <w:color w:val="auto"/>
        </w:rPr>
        <w:t>自签订合同之日起</w:t>
      </w:r>
      <w:r>
        <w:rPr>
          <w:rFonts w:hint="eastAsia" w:ascii="宋体" w:hAnsi="宋体" w:cs="宋体"/>
          <w:color w:val="auto"/>
          <w:lang w:eastAsia="zh-CN"/>
        </w:rPr>
        <w:t>90个日历日</w:t>
      </w:r>
      <w:r>
        <w:rPr>
          <w:rFonts w:hint="eastAsia" w:ascii="宋体" w:hAnsi="宋体" w:cs="宋体"/>
          <w:color w:val="auto"/>
        </w:rPr>
        <w:t>内完工。</w:t>
      </w:r>
    </w:p>
    <w:p w14:paraId="1730FEAD">
      <w:pPr>
        <w:spacing w:line="360" w:lineRule="auto"/>
        <w:ind w:firstLine="420" w:firstLineChars="200"/>
        <w:rPr>
          <w:rFonts w:hint="eastAsia" w:ascii="宋体" w:hAnsi="宋体"/>
          <w:color w:val="auto"/>
          <w:szCs w:val="21"/>
        </w:rPr>
      </w:pPr>
      <w:r>
        <w:rPr>
          <w:rFonts w:ascii="宋体" w:hAnsi="宋体"/>
          <w:color w:val="auto"/>
          <w:szCs w:val="21"/>
        </w:rPr>
        <w:t>本标项（否</w:t>
      </w:r>
      <w:r>
        <w:rPr>
          <w:rFonts w:hint="eastAsia" w:ascii="宋体" w:hAnsi="宋体"/>
          <w:color w:val="auto"/>
          <w:szCs w:val="21"/>
        </w:rPr>
        <w:t>）接受联合体竞标。</w:t>
      </w:r>
    </w:p>
    <w:p w14:paraId="1098CEBB">
      <w:pPr>
        <w:spacing w:line="360" w:lineRule="auto"/>
        <w:ind w:firstLine="354" w:firstLineChars="147"/>
        <w:rPr>
          <w:rFonts w:ascii="黑体" w:hAnsi="黑体" w:eastAsia="黑体"/>
          <w:b/>
          <w:color w:val="auto"/>
          <w:sz w:val="24"/>
        </w:rPr>
      </w:pPr>
      <w:bookmarkStart w:id="8" w:name="_Toc44229879"/>
      <w:bookmarkStart w:id="9" w:name="_Toc35393799"/>
      <w:bookmarkStart w:id="10" w:name="_Toc28359013"/>
      <w:bookmarkStart w:id="11" w:name="_Toc35393630"/>
      <w:bookmarkStart w:id="12" w:name="_Toc28359090"/>
      <w:bookmarkStart w:id="13" w:name="_Toc71365906"/>
      <w:r>
        <w:rPr>
          <w:rFonts w:hint="eastAsia" w:ascii="黑体" w:hAnsi="黑体" w:eastAsia="黑体"/>
          <w:b/>
          <w:color w:val="auto"/>
          <w:sz w:val="24"/>
        </w:rPr>
        <w:t>二、申请人的资格条件：</w:t>
      </w:r>
      <w:bookmarkEnd w:id="8"/>
      <w:bookmarkEnd w:id="9"/>
      <w:bookmarkEnd w:id="10"/>
      <w:bookmarkEnd w:id="11"/>
      <w:bookmarkEnd w:id="12"/>
      <w:bookmarkEnd w:id="13"/>
    </w:p>
    <w:p w14:paraId="444AAE12">
      <w:pPr>
        <w:spacing w:line="360" w:lineRule="auto"/>
        <w:ind w:firstLine="420" w:firstLineChars="200"/>
        <w:rPr>
          <w:rFonts w:ascii="宋体" w:hAnsi="宋体"/>
          <w:color w:val="auto"/>
          <w:szCs w:val="21"/>
        </w:rPr>
      </w:pPr>
      <w:bookmarkStart w:id="14" w:name="_Toc28359014"/>
      <w:bookmarkStart w:id="15" w:name="_Toc35393800"/>
      <w:bookmarkStart w:id="16" w:name="_Toc35393631"/>
      <w:bookmarkStart w:id="17" w:name="_Toc28359091"/>
      <w:bookmarkStart w:id="18" w:name="_Toc44229880"/>
      <w:r>
        <w:rPr>
          <w:rFonts w:hint="eastAsia" w:ascii="宋体" w:hAnsi="宋体"/>
          <w:color w:val="auto"/>
          <w:szCs w:val="21"/>
        </w:rPr>
        <w:t>1.满足《中华人民共和国政府采购法》第二十二条规定；</w:t>
      </w:r>
    </w:p>
    <w:p w14:paraId="117DF7BC">
      <w:pPr>
        <w:spacing w:line="360" w:lineRule="auto"/>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.落实政府采购政策需满足的资格要求：本项目属于专门面向小</w:t>
      </w:r>
      <w:r>
        <w:rPr>
          <w:rFonts w:hint="eastAsia" w:ascii="宋体" w:hAnsi="宋体"/>
          <w:color w:val="auto"/>
          <w:szCs w:val="21"/>
          <w:lang w:val="en-US" w:eastAsia="zh-CN"/>
        </w:rPr>
        <w:t>微</w:t>
      </w:r>
      <w:r>
        <w:rPr>
          <w:rFonts w:hint="eastAsia" w:ascii="宋体" w:hAnsi="宋体"/>
          <w:color w:val="auto"/>
          <w:szCs w:val="21"/>
        </w:rPr>
        <w:t>企业采购的项目，工程的施工单位全部为符合政策要求的小型或微型企业（包括监狱企业及残疾人福利单位），须提供中小企业声明函【如属于残疾人福利性单位的提供残疾人福利性单位声明函，属于监狱企业的提供由省级以上监狱管理局、戒毒管理局（含新疆生产建设兵团）出具的属于监狱企业的证明文件】</w:t>
      </w:r>
    </w:p>
    <w:p w14:paraId="1C2B4649">
      <w:pPr>
        <w:spacing w:line="360" w:lineRule="auto"/>
        <w:ind w:firstLine="420" w:firstLineChars="200"/>
        <w:rPr>
          <w:rFonts w:hint="eastAsia" w:ascii="宋体" w:hAnsi="宋体"/>
          <w:color w:val="auto"/>
          <w:szCs w:val="21"/>
        </w:rPr>
      </w:pPr>
      <w:r>
        <w:rPr>
          <w:rFonts w:hint="eastAsia" w:ascii="宋体" w:hAnsi="宋体"/>
          <w:color w:val="auto"/>
          <w:szCs w:val="21"/>
        </w:rPr>
        <w:t>3.本项目的特定资格要求：</w:t>
      </w:r>
    </w:p>
    <w:p w14:paraId="7D36CB87">
      <w:pPr>
        <w:spacing w:line="360" w:lineRule="auto"/>
        <w:ind w:firstLine="420" w:firstLineChars="200"/>
        <w:rPr>
          <w:rFonts w:hint="eastAsia" w:ascii="宋体" w:hAnsi="宋体"/>
          <w:color w:val="auto"/>
          <w:szCs w:val="21"/>
        </w:rPr>
      </w:pPr>
      <w:r>
        <w:rPr>
          <w:rFonts w:hint="eastAsia" w:ascii="宋体" w:hAnsi="宋体"/>
          <w:color w:val="auto"/>
          <w:szCs w:val="21"/>
        </w:rPr>
        <w:t>（1）供应商具备建筑工程施工总承包叁级及以上资质，并具有有效安全生产许可证的供应商。</w:t>
      </w:r>
    </w:p>
    <w:p w14:paraId="774F6D8D">
      <w:pPr>
        <w:spacing w:line="360" w:lineRule="auto"/>
        <w:ind w:firstLine="420" w:firstLineChars="200"/>
        <w:rPr>
          <w:rFonts w:hint="eastAsia" w:ascii="宋体" w:hAnsi="宋体"/>
          <w:color w:val="auto"/>
          <w:szCs w:val="21"/>
        </w:rPr>
      </w:pPr>
      <w:r>
        <w:rPr>
          <w:rFonts w:hint="eastAsia" w:ascii="宋体" w:hAnsi="宋体"/>
          <w:color w:val="auto"/>
          <w:szCs w:val="21"/>
        </w:rPr>
        <w:t>（2）供应商拟派项目经理须具备建筑工程专业贰级（含以上级）注册建造师执业资格，具备有效的安全生产考核合格证书（B类），且未担任其他在建、已中标未开工或已列为其他项目中标候选人第一名的建造师作为项目经理。</w:t>
      </w:r>
    </w:p>
    <w:p w14:paraId="5850369A">
      <w:pPr>
        <w:spacing w:line="360" w:lineRule="auto"/>
        <w:ind w:firstLine="420" w:firstLineChars="200"/>
        <w:rPr>
          <w:rFonts w:hint="eastAsia" w:ascii="宋体" w:hAnsi="宋体"/>
          <w:color w:val="auto"/>
          <w:szCs w:val="21"/>
        </w:rPr>
      </w:pPr>
      <w:r>
        <w:rPr>
          <w:rFonts w:hint="eastAsia" w:ascii="宋体" w:hAnsi="宋体"/>
          <w:color w:val="auto"/>
          <w:szCs w:val="21"/>
        </w:rPr>
        <w:t>（3）拟投入专职安全员须具备安全生产考核合格证书（C类），人数符合住房和城乡建设部《建筑施工企业安全生产管理机构设置及专职安全生产管理人员配备办法》（建质〔2008〕91号）的规定，且按专业配备专职安全生产管理人员至少1人。</w:t>
      </w:r>
    </w:p>
    <w:p w14:paraId="1B0F1391">
      <w:pPr>
        <w:spacing w:line="360" w:lineRule="auto"/>
        <w:ind w:firstLine="354" w:firstLineChars="147"/>
        <w:rPr>
          <w:rFonts w:ascii="黑体" w:hAnsi="黑体" w:eastAsia="黑体"/>
          <w:b/>
          <w:color w:val="auto"/>
          <w:sz w:val="24"/>
        </w:rPr>
      </w:pPr>
      <w:bookmarkStart w:id="19" w:name="_Toc71365907"/>
      <w:r>
        <w:rPr>
          <w:rFonts w:hint="eastAsia" w:ascii="黑体" w:hAnsi="黑体" w:eastAsia="黑体"/>
          <w:b/>
          <w:color w:val="auto"/>
          <w:sz w:val="24"/>
        </w:rPr>
        <w:t>三、获取竞争性磋商文件</w:t>
      </w:r>
      <w:bookmarkEnd w:id="14"/>
      <w:bookmarkEnd w:id="15"/>
      <w:bookmarkEnd w:id="16"/>
      <w:bookmarkEnd w:id="17"/>
      <w:bookmarkEnd w:id="18"/>
      <w:bookmarkEnd w:id="19"/>
    </w:p>
    <w:p w14:paraId="2E5A7B41">
      <w:pPr>
        <w:spacing w:line="360" w:lineRule="auto"/>
        <w:ind w:firstLine="420" w:firstLineChars="200"/>
        <w:rPr>
          <w:rFonts w:hint="eastAsia" w:ascii="宋体" w:hAnsi="宋体" w:cs="宋体"/>
          <w:bCs/>
          <w:color w:val="auto"/>
          <w:kern w:val="0"/>
          <w:szCs w:val="21"/>
        </w:rPr>
      </w:pPr>
      <w:bookmarkStart w:id="20" w:name="_Toc35393632"/>
      <w:bookmarkStart w:id="21" w:name="_Toc44229881"/>
      <w:bookmarkStart w:id="22" w:name="_Toc28359092"/>
      <w:bookmarkStart w:id="23" w:name="_Toc35393801"/>
      <w:bookmarkStart w:id="24" w:name="_Toc28359015"/>
      <w:r>
        <w:rPr>
          <w:rFonts w:hint="eastAsia" w:ascii="宋体" w:hAnsi="宋体" w:cs="宋体"/>
          <w:bCs/>
          <w:color w:val="auto"/>
          <w:kern w:val="0"/>
          <w:szCs w:val="21"/>
        </w:rPr>
        <w:t>时间：202</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3</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w:t>
      </w:r>
      <w:r>
        <w:rPr>
          <w:rFonts w:hint="eastAsia" w:ascii="宋体" w:hAnsi="宋体" w:cs="宋体"/>
          <w:bCs/>
          <w:color w:val="auto"/>
          <w:kern w:val="0"/>
          <w:szCs w:val="21"/>
        </w:rPr>
        <w:t>日起至202</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3</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9</w:t>
      </w:r>
      <w:r>
        <w:rPr>
          <w:rFonts w:hint="eastAsia" w:ascii="宋体" w:hAnsi="宋体" w:cs="宋体"/>
          <w:bCs/>
          <w:color w:val="auto"/>
          <w:kern w:val="0"/>
          <w:szCs w:val="21"/>
        </w:rPr>
        <w:t>日，每天上午8:00至12:00，下午3:00至6:00（北京时间，法定节假日除外）</w:t>
      </w:r>
    </w:p>
    <w:p w14:paraId="0C228530">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574FACBC">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rPr>
        <w:t>电子</w:t>
      </w:r>
      <w:r>
        <w:rPr>
          <w:rFonts w:hint="eastAsia"/>
          <w:color w:val="auto"/>
        </w:rPr>
        <w:t>响应文件</w:t>
      </w:r>
      <w:r>
        <w:rPr>
          <w:rFonts w:hint="eastAsia" w:ascii="宋体" w:hAnsi="宋体"/>
          <w:color w:val="auto"/>
          <w:szCs w:val="21"/>
        </w:rPr>
        <w:t>制作需要基于广西政府采购云平台获取的磋商文件编制，</w:t>
      </w:r>
      <w:r>
        <w:rPr>
          <w:rFonts w:hint="eastAsia" w:ascii="宋体" w:hAnsi="宋体" w:cs="宋体"/>
          <w:bCs/>
          <w:color w:val="auto"/>
          <w:kern w:val="0"/>
          <w:szCs w:val="21"/>
        </w:rPr>
        <w:t>通过其他方式获取磋商文件的，将有可能导致供应商无法在广西政府采购云平台编制及上传响应文件。</w:t>
      </w:r>
    </w:p>
    <w:p w14:paraId="7A43E374">
      <w:pPr>
        <w:spacing w:line="360" w:lineRule="auto"/>
        <w:ind w:firstLine="420" w:firstLineChars="200"/>
        <w:rPr>
          <w:rFonts w:hint="eastAsia" w:ascii="宋体" w:hAnsi="宋体" w:cs="宋体"/>
          <w:iCs/>
          <w:color w:val="auto"/>
          <w:szCs w:val="21"/>
        </w:rPr>
      </w:pPr>
      <w:r>
        <w:rPr>
          <w:rFonts w:hint="eastAsia" w:ascii="宋体" w:hAnsi="宋体" w:cs="宋体"/>
          <w:bCs/>
          <w:color w:val="auto"/>
          <w:kern w:val="0"/>
          <w:szCs w:val="21"/>
        </w:rPr>
        <w:t>售价：</w:t>
      </w:r>
      <w:r>
        <w:rPr>
          <w:rFonts w:hint="eastAsia" w:ascii="宋体" w:hAnsi="宋体" w:cs="宋体"/>
          <w:iCs/>
          <w:color w:val="auto"/>
          <w:szCs w:val="21"/>
          <w:u w:val="single"/>
        </w:rPr>
        <w:t>0</w:t>
      </w:r>
      <w:r>
        <w:rPr>
          <w:rFonts w:hint="eastAsia" w:ascii="宋体" w:hAnsi="宋体" w:cs="宋体"/>
          <w:iCs/>
          <w:color w:val="auto"/>
          <w:szCs w:val="21"/>
        </w:rPr>
        <w:t>元</w:t>
      </w:r>
    </w:p>
    <w:p w14:paraId="7CC69221">
      <w:pPr>
        <w:spacing w:line="360" w:lineRule="auto"/>
        <w:ind w:firstLine="354" w:firstLineChars="147"/>
        <w:rPr>
          <w:rFonts w:ascii="黑体" w:hAnsi="黑体" w:eastAsia="黑体"/>
          <w:b/>
          <w:color w:val="auto"/>
          <w:sz w:val="24"/>
        </w:rPr>
      </w:pPr>
      <w:bookmarkStart w:id="25" w:name="_Toc71365908"/>
      <w:r>
        <w:rPr>
          <w:rFonts w:hint="eastAsia" w:ascii="黑体" w:hAnsi="黑体" w:eastAsia="黑体"/>
          <w:b/>
          <w:color w:val="auto"/>
          <w:sz w:val="24"/>
        </w:rPr>
        <w:t>四、响应文件提交</w:t>
      </w:r>
      <w:bookmarkEnd w:id="20"/>
      <w:bookmarkEnd w:id="21"/>
      <w:bookmarkEnd w:id="22"/>
      <w:bookmarkEnd w:id="23"/>
      <w:bookmarkEnd w:id="24"/>
      <w:bookmarkEnd w:id="25"/>
    </w:p>
    <w:p w14:paraId="7068C016">
      <w:pPr>
        <w:spacing w:line="360" w:lineRule="auto"/>
        <w:ind w:firstLine="420" w:firstLineChars="200"/>
        <w:rPr>
          <w:rFonts w:hint="eastAsia" w:ascii="宋体" w:hAnsi="宋体"/>
          <w:color w:val="auto"/>
          <w:szCs w:val="21"/>
        </w:rPr>
      </w:pPr>
      <w:bookmarkStart w:id="26" w:name="_Toc71365909"/>
      <w:bookmarkStart w:id="27" w:name="_Toc35393633"/>
      <w:bookmarkStart w:id="28" w:name="_Toc28359016"/>
      <w:bookmarkStart w:id="29" w:name="_Toc35393802"/>
      <w:bookmarkStart w:id="30" w:name="_Toc28359093"/>
      <w:bookmarkStart w:id="31" w:name="_Toc44229882"/>
      <w:r>
        <w:rPr>
          <w:rFonts w:hint="eastAsia" w:ascii="宋体" w:hAnsi="宋体"/>
          <w:color w:val="auto"/>
          <w:szCs w:val="21"/>
        </w:rPr>
        <w:t>截止时间</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u w:val="single"/>
        </w:rPr>
        <w:t>年</w:t>
      </w:r>
      <w:r>
        <w:rPr>
          <w:rFonts w:hint="eastAsia" w:ascii="宋体" w:hAnsi="宋体"/>
          <w:color w:val="auto"/>
          <w:szCs w:val="21"/>
          <w:u w:val="single"/>
          <w:lang w:val="en-US" w:eastAsia="zh-CN"/>
        </w:rPr>
        <w:t>3</w:t>
      </w:r>
      <w:r>
        <w:rPr>
          <w:rFonts w:hint="eastAsia" w:ascii="宋体" w:hAnsi="宋体"/>
          <w:color w:val="auto"/>
          <w:szCs w:val="21"/>
          <w:u w:val="single"/>
        </w:rPr>
        <w:t>月</w:t>
      </w:r>
      <w:r>
        <w:rPr>
          <w:rFonts w:hint="eastAsia" w:ascii="宋体" w:hAnsi="宋体"/>
          <w:color w:val="auto"/>
          <w:szCs w:val="21"/>
          <w:u w:val="single"/>
          <w:lang w:val="en-US" w:eastAsia="zh-CN"/>
        </w:rPr>
        <w:t>13</w:t>
      </w:r>
      <w:r>
        <w:rPr>
          <w:rFonts w:hint="eastAsia" w:ascii="宋体" w:hAnsi="宋体"/>
          <w:color w:val="auto"/>
          <w:szCs w:val="21"/>
          <w:u w:val="single"/>
        </w:rPr>
        <w:t>日9时00分</w:t>
      </w:r>
      <w:r>
        <w:rPr>
          <w:rFonts w:hint="eastAsia" w:ascii="宋体" w:hAnsi="宋体"/>
          <w:color w:val="auto"/>
          <w:szCs w:val="21"/>
        </w:rPr>
        <w:t>（北京时间）</w:t>
      </w:r>
    </w:p>
    <w:p w14:paraId="7EDC6228">
      <w:pPr>
        <w:spacing w:line="360" w:lineRule="auto"/>
        <w:ind w:firstLine="420" w:firstLineChars="200"/>
        <w:rPr>
          <w:rFonts w:hint="eastAsia" w:ascii="宋体" w:hAnsi="宋体"/>
          <w:color w:val="auto"/>
          <w:szCs w:val="21"/>
        </w:rPr>
      </w:pPr>
      <w:r>
        <w:rPr>
          <w:rFonts w:hint="eastAsia" w:ascii="宋体" w:hAnsi="宋体"/>
          <w:color w:val="auto"/>
          <w:szCs w:val="21"/>
        </w:rPr>
        <w:t>地点：广西政府采购云平台（https://www.gcy.zfcg.gxzf.gov.cn/）</w:t>
      </w:r>
    </w:p>
    <w:p w14:paraId="45F92B00">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五、开启</w:t>
      </w:r>
      <w:bookmarkEnd w:id="26"/>
      <w:bookmarkEnd w:id="27"/>
      <w:bookmarkEnd w:id="28"/>
      <w:bookmarkEnd w:id="29"/>
      <w:bookmarkEnd w:id="30"/>
      <w:bookmarkEnd w:id="31"/>
    </w:p>
    <w:p w14:paraId="5DAEDF53">
      <w:pPr>
        <w:spacing w:line="360" w:lineRule="auto"/>
        <w:ind w:firstLine="420" w:firstLineChars="200"/>
        <w:rPr>
          <w:rFonts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u w:val="single"/>
        </w:rPr>
        <w:t>年</w:t>
      </w:r>
      <w:r>
        <w:rPr>
          <w:rFonts w:hint="eastAsia" w:ascii="宋体" w:hAnsi="宋体"/>
          <w:color w:val="auto"/>
          <w:szCs w:val="21"/>
          <w:u w:val="single"/>
          <w:lang w:val="en-US" w:eastAsia="zh-CN"/>
        </w:rPr>
        <w:t>3</w:t>
      </w:r>
      <w:r>
        <w:rPr>
          <w:rFonts w:hint="eastAsia" w:ascii="宋体" w:hAnsi="宋体"/>
          <w:color w:val="auto"/>
          <w:szCs w:val="21"/>
          <w:u w:val="single"/>
        </w:rPr>
        <w:t>月</w:t>
      </w:r>
      <w:r>
        <w:rPr>
          <w:rFonts w:hint="eastAsia" w:ascii="宋体" w:hAnsi="宋体"/>
          <w:color w:val="auto"/>
          <w:szCs w:val="21"/>
          <w:u w:val="single"/>
          <w:lang w:val="en-US" w:eastAsia="zh-CN"/>
        </w:rPr>
        <w:t>13</w:t>
      </w:r>
      <w:r>
        <w:rPr>
          <w:rFonts w:hint="eastAsia" w:ascii="宋体" w:hAnsi="宋体"/>
          <w:color w:val="auto"/>
          <w:szCs w:val="21"/>
          <w:u w:val="single"/>
        </w:rPr>
        <w:t>日9时00分</w:t>
      </w:r>
      <w:r>
        <w:rPr>
          <w:rFonts w:hint="eastAsia" w:ascii="宋体" w:hAnsi="宋体"/>
          <w:bCs/>
          <w:color w:val="auto"/>
          <w:szCs w:val="21"/>
        </w:rPr>
        <w:t>（北京时间）</w:t>
      </w:r>
    </w:p>
    <w:p w14:paraId="5CF30453">
      <w:pPr>
        <w:spacing w:line="360" w:lineRule="auto"/>
        <w:ind w:firstLine="420" w:firstLineChars="200"/>
        <w:rPr>
          <w:rFonts w:hint="eastAsia"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地点：广西政府采购云平台（https://www.gcy.zfcg.gxzf.gov.cn/）</w:t>
      </w:r>
    </w:p>
    <w:p w14:paraId="483C035F">
      <w:pPr>
        <w:spacing w:line="360" w:lineRule="auto"/>
        <w:ind w:firstLine="354" w:firstLineChars="147"/>
        <w:rPr>
          <w:rFonts w:ascii="黑体" w:hAnsi="黑体" w:eastAsia="黑体"/>
          <w:b/>
          <w:color w:val="auto"/>
          <w:sz w:val="24"/>
        </w:rPr>
      </w:pPr>
      <w:bookmarkStart w:id="32" w:name="_Toc28359094"/>
      <w:bookmarkStart w:id="33" w:name="_Toc35393634"/>
      <w:bookmarkStart w:id="34" w:name="_Toc44229883"/>
      <w:bookmarkStart w:id="35" w:name="_Toc35393803"/>
      <w:bookmarkStart w:id="36" w:name="_Toc71365910"/>
      <w:bookmarkStart w:id="37" w:name="_Toc28359017"/>
      <w:r>
        <w:rPr>
          <w:rFonts w:hint="eastAsia" w:ascii="黑体" w:hAnsi="黑体" w:eastAsia="黑体"/>
          <w:b/>
          <w:color w:val="auto"/>
          <w:sz w:val="24"/>
        </w:rPr>
        <w:t>六、公告期限</w:t>
      </w:r>
      <w:bookmarkEnd w:id="32"/>
      <w:bookmarkEnd w:id="33"/>
      <w:bookmarkEnd w:id="34"/>
      <w:bookmarkEnd w:id="35"/>
      <w:bookmarkEnd w:id="36"/>
      <w:bookmarkEnd w:id="37"/>
    </w:p>
    <w:p w14:paraId="5F60323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5A6F42D6">
      <w:pPr>
        <w:spacing w:line="360" w:lineRule="auto"/>
        <w:ind w:firstLine="354" w:firstLineChars="147"/>
        <w:rPr>
          <w:rFonts w:ascii="黑体" w:hAnsi="黑体" w:eastAsia="黑体"/>
          <w:b/>
          <w:color w:val="auto"/>
          <w:sz w:val="24"/>
        </w:rPr>
      </w:pPr>
      <w:bookmarkStart w:id="38" w:name="_Toc35393635"/>
      <w:bookmarkStart w:id="39" w:name="_Toc71365911"/>
      <w:bookmarkStart w:id="40" w:name="_Toc35393804"/>
      <w:bookmarkStart w:id="41" w:name="_Toc44229884"/>
      <w:r>
        <w:rPr>
          <w:rFonts w:hint="eastAsia" w:ascii="黑体" w:hAnsi="黑体" w:eastAsia="黑体"/>
          <w:b/>
          <w:color w:val="auto"/>
          <w:sz w:val="24"/>
        </w:rPr>
        <w:t>七、其他补充事宜</w:t>
      </w:r>
      <w:bookmarkEnd w:id="38"/>
      <w:bookmarkEnd w:id="39"/>
      <w:bookmarkEnd w:id="40"/>
      <w:bookmarkEnd w:id="41"/>
    </w:p>
    <w:p w14:paraId="17527F81">
      <w:pPr>
        <w:wordWrap w:val="0"/>
        <w:spacing w:line="360" w:lineRule="auto"/>
        <w:ind w:firstLine="420" w:firstLineChars="200"/>
        <w:rPr>
          <w:rFonts w:hint="eastAsia" w:ascii="宋体" w:hAnsi="宋体" w:cs="宋体"/>
          <w:color w:val="auto"/>
          <w:kern w:val="0"/>
          <w:szCs w:val="21"/>
        </w:rPr>
      </w:pPr>
      <w:bookmarkStart w:id="42" w:name="_Toc35393805"/>
      <w:bookmarkStart w:id="43" w:name="_Toc28359095"/>
      <w:bookmarkStart w:id="44" w:name="_Toc35393636"/>
      <w:bookmarkStart w:id="45" w:name="_Toc28359018"/>
      <w:bookmarkStart w:id="46" w:name="_Toc44229885"/>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网上查询地址</w:t>
      </w:r>
    </w:p>
    <w:p w14:paraId="044134FA">
      <w:pPr>
        <w:wordWrap w:val="0"/>
        <w:spacing w:line="360" w:lineRule="auto"/>
        <w:ind w:firstLine="424" w:firstLineChars="202"/>
        <w:rPr>
          <w:rFonts w:hint="eastAsia" w:ascii="宋体" w:hAnsi="宋体"/>
          <w:color w:val="auto"/>
          <w:szCs w:val="21"/>
        </w:rPr>
      </w:pPr>
      <w:bookmarkStart w:id="47" w:name="_Hlk37429674"/>
      <w:r>
        <w:rPr>
          <w:rFonts w:hint="eastAsia" w:ascii="宋体" w:hAnsi="宋体"/>
          <w:color w:val="auto"/>
          <w:szCs w:val="21"/>
        </w:rPr>
        <w:t>中国政府采购网（www.ccgp.gov.cn）、广西壮族自治区政府采购网（zfcg.gxzf.gov.cn）、梧州市政府采购网（http://117.141.250.58:10030/web/cgw/index.ptl）、全国公共资源交易平台（广西•岑溪）（http://ggzy.jgswj.gxzf.gov.cn/cxsggzy/）。</w:t>
      </w:r>
    </w:p>
    <w:p w14:paraId="1E6F5E06">
      <w:pPr>
        <w:wordWrap w:val="0"/>
        <w:spacing w:line="360" w:lineRule="auto"/>
        <w:ind w:firstLine="424" w:firstLineChars="202"/>
        <w:rPr>
          <w:rFonts w:hint="eastAsia" w:ascii="宋体" w:hAnsi="宋体" w:cs="宋体"/>
          <w:color w:val="auto"/>
          <w:kern w:val="0"/>
          <w:szCs w:val="21"/>
        </w:rPr>
      </w:pPr>
      <w:r>
        <w:rPr>
          <w:rFonts w:hint="eastAsia" w:ascii="宋体" w:hAnsi="宋体"/>
          <w:color w:val="auto"/>
          <w:szCs w:val="21"/>
        </w:rPr>
        <w:t>2</w:t>
      </w:r>
      <w:r>
        <w:rPr>
          <w:rFonts w:ascii="宋体" w:hAnsi="宋体"/>
          <w:color w:val="auto"/>
          <w:szCs w:val="21"/>
        </w:rPr>
        <w:t>.</w:t>
      </w:r>
      <w:r>
        <w:rPr>
          <w:rFonts w:hint="eastAsia" w:ascii="宋体" w:hAnsi="宋体" w:cs="宋体"/>
          <w:color w:val="auto"/>
          <w:kern w:val="0"/>
          <w:szCs w:val="21"/>
        </w:rPr>
        <w:t>本项目需要落实的政府采购政策</w:t>
      </w:r>
    </w:p>
    <w:p w14:paraId="45AE674C">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49E04E13">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5A4814B0">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18F80272">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（4）政府采购促进残疾人就业政策。</w:t>
      </w:r>
    </w:p>
    <w:p w14:paraId="18D3DC15">
      <w:pPr>
        <w:spacing w:line="360" w:lineRule="auto"/>
        <w:ind w:firstLine="420" w:firstLineChars="200"/>
        <w:rPr>
          <w:rFonts w:hint="eastAsia" w:ascii="宋体" w:hAnsi="宋体" w:cs="宋体"/>
          <w:i/>
          <w:iCs/>
          <w:color w:val="auto"/>
          <w:kern w:val="0"/>
          <w:szCs w:val="21"/>
        </w:rPr>
      </w:pPr>
      <w:r>
        <w:rPr>
          <w:rFonts w:hint="eastAsia" w:ascii="宋体" w:hAnsi="宋体" w:cs="宋体"/>
          <w:color w:val="auto"/>
          <w:kern w:val="0"/>
          <w:szCs w:val="21"/>
        </w:rPr>
        <w:t>（5）政府采购支持监狱企业发展。</w:t>
      </w:r>
    </w:p>
    <w:bookmarkEnd w:id="47"/>
    <w:p w14:paraId="54004788">
      <w:pPr>
        <w:widowControl/>
        <w:spacing w:line="360" w:lineRule="auto"/>
        <w:ind w:firstLine="420" w:firstLineChars="200"/>
        <w:jc w:val="left"/>
        <w:rPr>
          <w:rFonts w:ascii="宋体" w:hAnsi="宋体"/>
          <w:color w:val="auto"/>
          <w:szCs w:val="21"/>
        </w:rPr>
      </w:pPr>
      <w:r>
        <w:rPr>
          <w:rFonts w:hint="eastAsia" w:ascii="宋体" w:hAnsi="宋体" w:cs="宋体"/>
          <w:color w:val="auto"/>
          <w:kern w:val="0"/>
          <w:szCs w:val="21"/>
        </w:rPr>
        <w:t>3.供应商</w:t>
      </w:r>
      <w:r>
        <w:rPr>
          <w:rFonts w:hint="eastAsia" w:ascii="宋体" w:hAnsi="宋体"/>
          <w:color w:val="auto"/>
          <w:szCs w:val="21"/>
        </w:rPr>
        <w:t>竞标注意事项</w:t>
      </w:r>
    </w:p>
    <w:p w14:paraId="0C7A9358">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），供应商在广西政府采购云平台提交电子响应文件时，请填写参加远程采购活动经办人联系方式。供应商登录广西政府采购云平台，依次进入“服务中心-项目采购-操作流程-电子招投标-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”查看电子竞标具体操作流程。</w:t>
      </w:r>
    </w:p>
    <w:p w14:paraId="2555B657">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rPr>
        <w:t>广西政府采购云平台，</w:t>
      </w:r>
      <w:r>
        <w:rPr>
          <w:rFonts w:hint="eastAsia" w:ascii="宋体" w:hAnsi="宋体"/>
          <w:color w:val="auto"/>
          <w:szCs w:val="21"/>
        </w:rPr>
        <w:t>依次进入“服务中心-入驻与配置”中查看CA数字证书办理操作流程。如在操作过程中遇到问题或者需要技术支持，请致电广西政府采购云平台客服热线：95763或0771-3381253）。</w:t>
      </w:r>
    </w:p>
    <w:p w14:paraId="1AC38454">
      <w:pPr>
        <w:widowControl/>
        <w:spacing w:line="360" w:lineRule="auto"/>
        <w:ind w:firstLine="420" w:firstLineChars="200"/>
        <w:jc w:val="left"/>
        <w:rPr>
          <w:rFonts w:hint="eastAsia" w:ascii="宋体" w:hAnsi="宋体" w:cs="宋体"/>
          <w:color w:val="auto"/>
          <w:kern w:val="0"/>
          <w:szCs w:val="21"/>
        </w:rPr>
      </w:pPr>
      <w:r>
        <w:rPr>
          <w:rFonts w:hint="eastAsia" w:ascii="宋体" w:hAnsi="宋体"/>
          <w:color w:val="auto"/>
          <w:szCs w:val="21"/>
        </w:rPr>
        <w:t>（3）CA证书在线解密：首次响应文件开启时，需携带制作响应文件时用来加密的有效数字证书（CA认证）登录广西政府采购云平台</w:t>
      </w:r>
      <w:r>
        <w:rPr>
          <w:rFonts w:hint="eastAsia" w:ascii="宋体" w:hAnsi="宋体" w:cs="宋体"/>
          <w:color w:val="auto"/>
          <w:kern w:val="0"/>
          <w:szCs w:val="21"/>
        </w:rPr>
        <w:t>电子开标大厅现场按规定时间对加密的响应文件进行解密，否则后果自负。</w:t>
      </w:r>
    </w:p>
    <w:p w14:paraId="27DE1522">
      <w:pPr>
        <w:widowControl/>
        <w:spacing w:line="360" w:lineRule="auto"/>
        <w:ind w:firstLine="420" w:firstLineChars="200"/>
        <w:jc w:val="left"/>
        <w:rPr>
          <w:rFonts w:hint="eastAsia" w:ascii="宋体" w:hAnsi="宋体"/>
          <w:bCs/>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4A5E53A">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（4）供应商需要在具备有摄像头及语音功能且互联网网络状况良好的电脑登录广西政府采购云平台远程开标大厅参与本次磋商，否则后果自负。</w:t>
      </w:r>
    </w:p>
    <w:p w14:paraId="7523DCF9">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42"/>
      <w:bookmarkEnd w:id="43"/>
      <w:bookmarkEnd w:id="44"/>
      <w:bookmarkEnd w:id="45"/>
      <w:bookmarkEnd w:id="46"/>
    </w:p>
    <w:p w14:paraId="233EC5D7">
      <w:pPr>
        <w:spacing w:line="360" w:lineRule="auto"/>
        <w:ind w:firstLine="420" w:firstLineChars="200"/>
        <w:rPr>
          <w:rFonts w:hint="eastAsia" w:ascii="宋体" w:hAnsi="宋体" w:cs="宋体"/>
          <w:color w:val="auto"/>
          <w:kern w:val="0"/>
          <w:szCs w:val="21"/>
        </w:rPr>
      </w:pPr>
      <w:bookmarkStart w:id="48" w:name="_Toc28359019"/>
      <w:bookmarkStart w:id="49" w:name="_Toc35393806"/>
      <w:bookmarkStart w:id="50" w:name="_Toc28359096"/>
      <w:bookmarkStart w:id="51" w:name="_Toc35393637"/>
      <w:r>
        <w:rPr>
          <w:rFonts w:hint="eastAsia" w:ascii="宋体" w:hAnsi="宋体" w:cs="宋体"/>
          <w:color w:val="auto"/>
          <w:kern w:val="0"/>
          <w:szCs w:val="21"/>
        </w:rPr>
        <w:t>1.采购人信息</w:t>
      </w:r>
      <w:bookmarkEnd w:id="48"/>
      <w:bookmarkEnd w:id="49"/>
      <w:bookmarkEnd w:id="50"/>
      <w:bookmarkEnd w:id="51"/>
    </w:p>
    <w:p w14:paraId="720CAA7E">
      <w:pPr>
        <w:spacing w:line="360" w:lineRule="auto"/>
        <w:ind w:firstLine="420" w:firstLineChars="200"/>
        <w:rPr>
          <w:rFonts w:hint="eastAsia" w:ascii="宋体" w:hAnsi="宋体" w:eastAsia="宋体" w:cs="宋体"/>
          <w:color w:val="auto"/>
          <w:kern w:val="0"/>
          <w:szCs w:val="21"/>
          <w:lang w:eastAsia="zh-CN"/>
        </w:rPr>
      </w:pPr>
      <w:bookmarkStart w:id="52" w:name="_Toc28359097"/>
      <w:bookmarkStart w:id="53" w:name="_Toc35393638"/>
      <w:bookmarkStart w:id="54" w:name="_Toc28359020"/>
      <w:bookmarkStart w:id="55" w:name="_Toc35393807"/>
      <w:r>
        <w:rPr>
          <w:rFonts w:hint="eastAsia" w:ascii="宋体" w:hAnsi="宋体" w:cs="宋体"/>
          <w:color w:val="auto"/>
          <w:kern w:val="0"/>
          <w:szCs w:val="21"/>
        </w:rPr>
        <w:t>名    称：</w:t>
      </w:r>
      <w:r>
        <w:rPr>
          <w:rFonts w:hint="eastAsia" w:ascii="宋体" w:hAnsi="宋体" w:cs="宋体"/>
          <w:color w:val="auto"/>
          <w:kern w:val="0"/>
          <w:szCs w:val="21"/>
          <w:lang w:eastAsia="zh-CN"/>
        </w:rPr>
        <w:t>岑溪市梨木中学</w:t>
      </w:r>
    </w:p>
    <w:p w14:paraId="7E15B671">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地    址：岑溪市梨木镇梨木街</w:t>
      </w:r>
    </w:p>
    <w:p w14:paraId="755BA149">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联系方式：张丽华，0774-8311150</w:t>
      </w:r>
    </w:p>
    <w:p w14:paraId="61052818">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2.采购代理机构信息</w:t>
      </w:r>
      <w:bookmarkEnd w:id="52"/>
      <w:bookmarkEnd w:id="53"/>
      <w:bookmarkEnd w:id="54"/>
      <w:bookmarkEnd w:id="55"/>
    </w:p>
    <w:p w14:paraId="1A20469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名    称：云之龙咨询集团有限公司</w:t>
      </w:r>
    </w:p>
    <w:p w14:paraId="224775C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地　　址：岑溪市岑城镇城东路118号</w:t>
      </w:r>
    </w:p>
    <w:p w14:paraId="103C5E39">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联系方式：卢思颖</w:t>
      </w:r>
      <w:r>
        <w:rPr>
          <w:rFonts w:hint="eastAsia" w:hAnsi="宋体" w:cs="宋体"/>
          <w:color w:val="auto"/>
        </w:rPr>
        <w:t>、陈丽年</w:t>
      </w:r>
      <w:r>
        <w:rPr>
          <w:rFonts w:hint="eastAsia" w:ascii="宋体" w:hAnsi="宋体" w:cs="宋体"/>
          <w:color w:val="auto"/>
          <w:szCs w:val="21"/>
        </w:rPr>
        <w:t>，0774-8219456</w:t>
      </w:r>
    </w:p>
    <w:p w14:paraId="5FE5854E">
      <w:pPr>
        <w:spacing w:line="360" w:lineRule="auto"/>
        <w:ind w:firstLine="420" w:firstLineChars="200"/>
        <w:rPr>
          <w:rFonts w:hint="eastAsia" w:ascii="宋体" w:hAnsi="宋体" w:cs="宋体"/>
          <w:color w:val="auto"/>
          <w:kern w:val="0"/>
          <w:szCs w:val="21"/>
        </w:rPr>
      </w:pPr>
      <w:bookmarkStart w:id="56" w:name="_Toc28359021"/>
      <w:bookmarkStart w:id="57" w:name="_Toc35393639"/>
      <w:bookmarkStart w:id="58" w:name="_Toc28359098"/>
      <w:bookmarkStart w:id="59" w:name="_Toc35393808"/>
      <w:r>
        <w:rPr>
          <w:rFonts w:hint="eastAsia" w:ascii="宋体" w:hAnsi="宋体" w:cs="宋体"/>
          <w:color w:val="auto"/>
          <w:kern w:val="0"/>
          <w:szCs w:val="21"/>
        </w:rPr>
        <w:t>3.项目联系方式</w:t>
      </w:r>
      <w:bookmarkEnd w:id="56"/>
      <w:bookmarkEnd w:id="57"/>
      <w:bookmarkEnd w:id="58"/>
      <w:bookmarkEnd w:id="59"/>
    </w:p>
    <w:p w14:paraId="1232E565">
      <w:pPr>
        <w:pStyle w:val="27"/>
        <w:spacing w:line="360" w:lineRule="auto"/>
        <w:ind w:firstLine="420" w:firstLineChars="200"/>
        <w:rPr>
          <w:rFonts w:hint="eastAsia" w:hAnsi="宋体" w:cs="宋体"/>
          <w:color w:val="auto"/>
          <w:sz w:val="21"/>
        </w:rPr>
      </w:pPr>
      <w:r>
        <w:rPr>
          <w:rFonts w:hint="eastAsia" w:hAnsi="宋体" w:cs="宋体"/>
          <w:color w:val="auto"/>
          <w:sz w:val="21"/>
        </w:rPr>
        <w:t>项目联系人：卢思颖、陈丽年</w:t>
      </w:r>
    </w:p>
    <w:p w14:paraId="19772EFC">
      <w:pPr>
        <w:spacing w:line="360" w:lineRule="auto"/>
        <w:ind w:firstLine="420" w:firstLineChars="200"/>
        <w:rPr>
          <w:rFonts w:ascii="宋体" w:hAnsi="宋体"/>
          <w:color w:val="auto"/>
          <w:szCs w:val="21"/>
          <w:u w:val="single"/>
        </w:rPr>
      </w:pPr>
      <w:r>
        <w:rPr>
          <w:rFonts w:hint="eastAsia" w:ascii="宋体" w:hAnsi="宋体" w:cs="宋体"/>
          <w:color w:val="auto"/>
          <w:szCs w:val="21"/>
        </w:rPr>
        <w:t>电　　话：0774-8219456</w:t>
      </w:r>
    </w:p>
    <w:bookmarkEnd w:id="1"/>
    <w:p w14:paraId="28A6732C">
      <w:pPr>
        <w:pStyle w:val="5"/>
        <w:spacing w:before="300" w:after="300" w:line="240" w:lineRule="auto"/>
        <w:jc w:val="center"/>
        <w:rPr>
          <w:rFonts w:hint="eastAsia"/>
          <w:color w:val="auto"/>
        </w:rPr>
      </w:pPr>
      <w:bookmarkStart w:id="60" w:name="_Toc122424245"/>
      <w:r>
        <w:rPr>
          <w:rFonts w:hint="eastAsia"/>
          <w:color w:val="auto"/>
        </w:rPr>
        <w:br w:type="page"/>
      </w:r>
      <w:r>
        <w:rPr>
          <w:rFonts w:hint="eastAsia"/>
          <w:color w:val="auto"/>
        </w:rPr>
        <w:t>第二章 供应商须知</w:t>
      </w:r>
      <w:bookmarkEnd w:id="60"/>
    </w:p>
    <w:p w14:paraId="5D51DADB">
      <w:pPr>
        <w:spacing w:line="240" w:lineRule="auto"/>
        <w:jc w:val="center"/>
        <w:rPr>
          <w:rFonts w:hint="eastAsia" w:ascii="宋体" w:hAnsi="宋体"/>
          <w:b/>
          <w:color w:val="auto"/>
          <w:sz w:val="32"/>
          <w:szCs w:val="32"/>
        </w:rPr>
      </w:pPr>
      <w:r>
        <w:rPr>
          <w:rFonts w:hint="eastAsia" w:ascii="宋体" w:hAnsi="宋体"/>
          <w:b/>
          <w:color w:val="auto"/>
          <w:sz w:val="32"/>
          <w:szCs w:val="32"/>
        </w:rPr>
        <w:t>供应商须知前附表</w:t>
      </w:r>
    </w:p>
    <w:tbl>
      <w:tblPr>
        <w:tblStyle w:val="45"/>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74EA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4DCFF2F8">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7912" w:type="dxa"/>
            <w:noWrap w:val="0"/>
            <w:vAlign w:val="top"/>
          </w:tcPr>
          <w:p w14:paraId="02087259">
            <w:pPr>
              <w:spacing w:line="360" w:lineRule="auto"/>
              <w:jc w:val="center"/>
              <w:rPr>
                <w:rFonts w:hint="eastAsia" w:ascii="宋体" w:hAnsi="宋体" w:cs="宋体"/>
                <w:b/>
                <w:color w:val="auto"/>
                <w:szCs w:val="21"/>
              </w:rPr>
            </w:pPr>
            <w:r>
              <w:rPr>
                <w:rFonts w:hint="eastAsia" w:ascii="宋体" w:hAnsi="宋体" w:cs="宋体"/>
                <w:b/>
                <w:color w:val="auto"/>
                <w:szCs w:val="21"/>
              </w:rPr>
              <w:t>内    容</w:t>
            </w:r>
          </w:p>
        </w:tc>
      </w:tr>
      <w:tr w14:paraId="2FB51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95E672">
            <w:pPr>
              <w:spacing w:line="360" w:lineRule="auto"/>
              <w:jc w:val="center"/>
              <w:rPr>
                <w:rFonts w:hint="eastAsia" w:ascii="宋体" w:hAnsi="宋体" w:cs="宋体"/>
                <w:color w:val="auto"/>
                <w:szCs w:val="21"/>
              </w:rPr>
            </w:pPr>
            <w:r>
              <w:rPr>
                <w:rFonts w:hint="eastAsia" w:ascii="宋体" w:hAnsi="宋体" w:cs="宋体"/>
                <w:color w:val="auto"/>
                <w:szCs w:val="21"/>
              </w:rPr>
              <w:t>3.1</w:t>
            </w:r>
          </w:p>
        </w:tc>
        <w:tc>
          <w:tcPr>
            <w:tcW w:w="7912" w:type="dxa"/>
            <w:noWrap w:val="0"/>
            <w:vAlign w:val="center"/>
          </w:tcPr>
          <w:p w14:paraId="4C3D62F3">
            <w:pPr>
              <w:spacing w:line="360" w:lineRule="auto"/>
              <w:rPr>
                <w:rFonts w:hint="eastAsia" w:ascii="宋体" w:hAnsi="宋体"/>
                <w:color w:val="auto"/>
                <w:szCs w:val="21"/>
              </w:rPr>
            </w:pPr>
            <w:r>
              <w:rPr>
                <w:rFonts w:hint="eastAsia" w:ascii="宋体" w:hAnsi="宋体" w:cs="宋体"/>
                <w:bCs/>
                <w:color w:val="auto"/>
                <w:szCs w:val="21"/>
              </w:rPr>
              <w:t>供应商的资格条件</w:t>
            </w:r>
            <w:r>
              <w:rPr>
                <w:rFonts w:hint="eastAsia" w:ascii="宋体" w:hAnsi="宋体" w:cs="宋体"/>
                <w:color w:val="auto"/>
                <w:szCs w:val="21"/>
              </w:rPr>
              <w:t>：</w:t>
            </w:r>
            <w:r>
              <w:rPr>
                <w:rFonts w:hint="eastAsia" w:ascii="宋体" w:hAnsi="宋体" w:cs="宋体"/>
                <w:iCs/>
                <w:color w:val="auto"/>
                <w:szCs w:val="21"/>
                <w:u w:val="single"/>
              </w:rPr>
              <w:t>详见竞争性磋商公告</w:t>
            </w:r>
          </w:p>
        </w:tc>
      </w:tr>
      <w:tr w14:paraId="1FE74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40B2245">
            <w:pPr>
              <w:spacing w:line="360" w:lineRule="auto"/>
              <w:jc w:val="center"/>
              <w:rPr>
                <w:rFonts w:hint="eastAsia" w:ascii="宋体" w:hAnsi="宋体" w:cs="宋体"/>
                <w:color w:val="auto"/>
                <w:szCs w:val="21"/>
              </w:rPr>
            </w:pPr>
            <w:r>
              <w:rPr>
                <w:rFonts w:hint="eastAsia" w:ascii="宋体" w:hAnsi="宋体" w:cs="宋体"/>
                <w:color w:val="auto"/>
                <w:szCs w:val="21"/>
              </w:rPr>
              <w:t>5.1</w:t>
            </w:r>
          </w:p>
        </w:tc>
        <w:tc>
          <w:tcPr>
            <w:tcW w:w="7912" w:type="dxa"/>
            <w:noWrap w:val="0"/>
            <w:vAlign w:val="center"/>
          </w:tcPr>
          <w:p w14:paraId="5A093795">
            <w:pPr>
              <w:spacing w:line="360" w:lineRule="auto"/>
              <w:rPr>
                <w:rFonts w:hint="eastAsia" w:ascii="宋体" w:hAnsi="宋体" w:cs="宋体"/>
                <w:color w:val="auto"/>
                <w:szCs w:val="21"/>
              </w:rPr>
            </w:pPr>
            <w:r>
              <w:rPr>
                <w:rFonts w:hint="eastAsia" w:ascii="宋体" w:hAnsi="宋体" w:cs="宋体"/>
                <w:color w:val="auto"/>
                <w:szCs w:val="21"/>
              </w:rPr>
              <w:t>是否接受联合体竞标: 详见竞争性磋商公告</w:t>
            </w:r>
          </w:p>
        </w:tc>
      </w:tr>
      <w:tr w14:paraId="66B6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517D578">
            <w:pPr>
              <w:spacing w:line="360" w:lineRule="auto"/>
              <w:jc w:val="center"/>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noWrap w:val="0"/>
            <w:vAlign w:val="center"/>
          </w:tcPr>
          <w:p w14:paraId="1BC6E496">
            <w:pPr>
              <w:spacing w:line="360" w:lineRule="auto"/>
              <w:rPr>
                <w:rFonts w:hint="eastAsia" w:ascii="宋体" w:hAnsi="宋体" w:cs="宋体"/>
                <w:color w:val="auto"/>
                <w:szCs w:val="21"/>
              </w:rPr>
            </w:pPr>
            <w:r>
              <w:rPr>
                <w:rFonts w:hint="eastAsia" w:ascii="宋体" w:hAnsi="宋体" w:cs="宋体"/>
                <w:color w:val="auto"/>
                <w:szCs w:val="21"/>
              </w:rPr>
              <w:t>本项目不接受联合体。</w:t>
            </w:r>
          </w:p>
        </w:tc>
      </w:tr>
      <w:tr w14:paraId="4823F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6D4958">
            <w:pPr>
              <w:spacing w:line="360" w:lineRule="auto"/>
              <w:jc w:val="center"/>
              <w:rPr>
                <w:rFonts w:hint="eastAsia" w:ascii="宋体" w:hAnsi="宋体" w:cs="宋体"/>
                <w:color w:val="auto"/>
                <w:szCs w:val="21"/>
              </w:rPr>
            </w:pPr>
            <w:r>
              <w:rPr>
                <w:rFonts w:hint="eastAsia" w:ascii="宋体" w:hAnsi="宋体" w:cs="宋体"/>
                <w:color w:val="auto"/>
                <w:szCs w:val="21"/>
              </w:rPr>
              <w:t>6.2</w:t>
            </w:r>
          </w:p>
        </w:tc>
        <w:tc>
          <w:tcPr>
            <w:tcW w:w="7912" w:type="dxa"/>
            <w:noWrap w:val="0"/>
            <w:vAlign w:val="center"/>
          </w:tcPr>
          <w:p w14:paraId="055FEB88">
            <w:pPr>
              <w:pStyle w:val="19"/>
              <w:spacing w:line="360" w:lineRule="auto"/>
              <w:rPr>
                <w:rFonts w:hint="eastAsia" w:ascii="宋体" w:hAnsi="宋体" w:cs="宋体"/>
                <w:color w:val="auto"/>
                <w:szCs w:val="21"/>
              </w:rPr>
            </w:pPr>
            <w:r>
              <w:rPr>
                <w:rFonts w:hint="eastAsia" w:ascii="宋体" w:hAnsi="宋体"/>
                <w:color w:val="auto"/>
                <w:szCs w:val="21"/>
              </w:rPr>
              <w:sym w:font="Wingdings 2" w:char="0052"/>
            </w:r>
            <w:r>
              <w:rPr>
                <w:rFonts w:hint="eastAsia" w:ascii="宋体" w:hAnsi="宋体"/>
                <w:color w:val="auto"/>
                <w:szCs w:val="21"/>
              </w:rPr>
              <w:t>不允许分包</w:t>
            </w:r>
          </w:p>
        </w:tc>
      </w:tr>
      <w:tr w14:paraId="7B116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005DCF2">
            <w:pPr>
              <w:spacing w:line="360" w:lineRule="auto"/>
              <w:jc w:val="center"/>
              <w:rPr>
                <w:rFonts w:hint="eastAsia"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noWrap w:val="0"/>
            <w:vAlign w:val="center"/>
          </w:tcPr>
          <w:p w14:paraId="161AE26C">
            <w:pPr>
              <w:snapToGrid w:val="0"/>
              <w:spacing w:line="360" w:lineRule="auto"/>
              <w:jc w:val="left"/>
              <w:rPr>
                <w:rFonts w:hint="eastAsia" w:ascii="宋体" w:hAnsi="宋体" w:cs="宋体"/>
                <w:b/>
                <w:color w:val="auto"/>
                <w:szCs w:val="21"/>
              </w:rPr>
            </w:pPr>
            <w:r>
              <w:rPr>
                <w:rFonts w:hint="eastAsia" w:ascii="宋体" w:hAnsi="宋体" w:cs="宋体"/>
                <w:b/>
                <w:color w:val="auto"/>
                <w:szCs w:val="21"/>
              </w:rPr>
              <w:t>资格证明文件</w:t>
            </w:r>
          </w:p>
          <w:p w14:paraId="33339228">
            <w:pPr>
              <w:pStyle w:val="19"/>
              <w:spacing w:line="360" w:lineRule="auto"/>
              <w:rPr>
                <w:rFonts w:hint="eastAsia" w:ascii="宋体" w:hAnsi="宋体"/>
                <w:color w:val="auto"/>
                <w:szCs w:val="21"/>
              </w:rPr>
            </w:pPr>
            <w:r>
              <w:rPr>
                <w:rFonts w:hint="eastAsia" w:ascii="宋体" w:hAnsi="宋体" w:cs="宋体"/>
                <w:color w:val="auto"/>
                <w:szCs w:val="21"/>
              </w:rPr>
              <w:t>1.供应商为法人或者其他组织的提供其</w:t>
            </w:r>
            <w:r>
              <w:rPr>
                <w:rFonts w:hint="eastAsia" w:ascii="宋体" w:hAnsi="宋体" w:cs="宋体"/>
                <w:b/>
                <w:bCs/>
                <w:color w:val="auto"/>
                <w:szCs w:val="21"/>
              </w:rPr>
              <w:t>营业执照</w:t>
            </w:r>
            <w:r>
              <w:rPr>
                <w:rFonts w:hint="eastAsia" w:ascii="宋体" w:hAnsi="宋体" w:cs="宋体"/>
                <w:color w:val="auto"/>
                <w:szCs w:val="21"/>
              </w:rPr>
              <w:t>等证明文件（如营业执照或者事业单位法人证书或者执业许可证或者登记证书等）、</w:t>
            </w:r>
            <w:r>
              <w:rPr>
                <w:rFonts w:hint="eastAsia" w:ascii="宋体" w:hAnsi="宋体" w:cs="宋体"/>
                <w:b/>
                <w:color w:val="auto"/>
                <w:szCs w:val="21"/>
              </w:rPr>
              <w:t>资质证书复印件、安全生产许可证复印件</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1FC3C3E">
            <w:pPr>
              <w:spacing w:line="360" w:lineRule="auto"/>
              <w:contextualSpacing/>
              <w:jc w:val="left"/>
              <w:rPr>
                <w:rFonts w:hint="eastAsia" w:ascii="宋体" w:hAnsi="宋体" w:cs="宋体"/>
                <w:color w:val="auto"/>
                <w:szCs w:val="21"/>
              </w:rPr>
            </w:pPr>
            <w:r>
              <w:rPr>
                <w:rFonts w:hint="eastAsia" w:ascii="宋体" w:hAnsi="宋体" w:cs="宋体"/>
                <w:color w:val="auto"/>
                <w:szCs w:val="21"/>
              </w:rPr>
              <w:t>2.供应商依法缴纳税收的相关材料（2025年</w:t>
            </w:r>
            <w:r>
              <w:rPr>
                <w:rFonts w:hint="eastAsia" w:ascii="宋体" w:hAnsi="宋体" w:cs="宋体"/>
                <w:color w:val="auto"/>
                <w:szCs w:val="21"/>
                <w:lang w:val="en-US" w:eastAsia="zh-CN"/>
              </w:rPr>
              <w:t>9</w:t>
            </w:r>
            <w:r>
              <w:rPr>
                <w:rFonts w:hint="eastAsia" w:ascii="宋体" w:hAnsi="宋体" w:cs="宋体"/>
                <w:color w:val="auto"/>
                <w:szCs w:val="21"/>
              </w:rPr>
              <w:t>月至响应文件提交截止时间内任意一个月的依法缴纳税收的凭据复印件；</w:t>
            </w:r>
            <w:r>
              <w:rPr>
                <w:rFonts w:hint="eastAsia"/>
                <w:color w:val="auto"/>
              </w:rPr>
              <w:t>依法免税的，必须提供相应文件证明其依法免税。</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到响应文件提交截止时间止不足要求月数的，不需提供）；（</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B463EAC">
            <w:pPr>
              <w:pStyle w:val="19"/>
              <w:spacing w:line="360" w:lineRule="auto"/>
              <w:rPr>
                <w:rFonts w:hint="eastAsia" w:ascii="宋体" w:hAnsi="宋体" w:cs="宋体"/>
                <w:color w:val="auto"/>
                <w:szCs w:val="21"/>
              </w:rPr>
            </w:pPr>
            <w:r>
              <w:rPr>
                <w:rFonts w:hint="eastAsia" w:ascii="宋体" w:hAnsi="宋体" w:cs="宋体"/>
                <w:color w:val="auto"/>
                <w:szCs w:val="21"/>
              </w:rPr>
              <w:t>3.供应商依法缴纳社会保障资金的相关材料[2025年</w:t>
            </w:r>
            <w:r>
              <w:rPr>
                <w:rFonts w:hint="eastAsia" w:ascii="宋体" w:hAnsi="宋体" w:cs="宋体"/>
                <w:color w:val="auto"/>
                <w:szCs w:val="21"/>
                <w:lang w:val="en-US" w:eastAsia="zh-CN"/>
              </w:rPr>
              <w:t>9</w:t>
            </w:r>
            <w:r>
              <w:rPr>
                <w:rFonts w:hint="eastAsia" w:ascii="宋体" w:hAnsi="宋体" w:cs="宋体"/>
                <w:color w:val="auto"/>
                <w:szCs w:val="21"/>
              </w:rPr>
              <w:t>月至响应文件</w:t>
            </w:r>
            <w:r>
              <w:rPr>
                <w:rFonts w:hint="eastAsia"/>
                <w:color w:val="auto"/>
              </w:rPr>
              <w:t>提交</w:t>
            </w:r>
            <w:r>
              <w:rPr>
                <w:rFonts w:hint="eastAsia" w:ascii="宋体" w:hAnsi="宋体" w:cs="宋体"/>
                <w:color w:val="auto"/>
                <w:szCs w:val="21"/>
              </w:rPr>
              <w:t>截止时间内任意一个月的依法缴纳社会保障资金的缴费凭证复印件；</w:t>
            </w:r>
            <w:r>
              <w:rPr>
                <w:rFonts w:hint="eastAsia"/>
                <w:color w:val="auto"/>
              </w:rPr>
              <w:t>依法不需要缴纳社会保障资金的，必须提供相应文件证明不需要缴纳社会保障资金。</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到响应文件提交截止时间止不足要求月数的，不需提供]；（</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8DD1F73">
            <w:pPr>
              <w:spacing w:line="360" w:lineRule="auto"/>
              <w:contextualSpacing/>
              <w:jc w:val="left"/>
              <w:rPr>
                <w:rFonts w:hint="eastAsia" w:ascii="宋体" w:hAnsi="宋体" w:cs="宋体"/>
                <w:b/>
                <w:color w:val="auto"/>
                <w:szCs w:val="21"/>
              </w:rPr>
            </w:pPr>
            <w:r>
              <w:rPr>
                <w:rFonts w:hint="eastAsia" w:ascii="宋体" w:hAnsi="宋体" w:cs="宋体"/>
                <w:color w:val="auto"/>
                <w:szCs w:val="21"/>
              </w:rPr>
              <w:t>4.供应商</w:t>
            </w:r>
            <w:r>
              <w:rPr>
                <w:rFonts w:hint="eastAsia"/>
                <w:color w:val="auto"/>
                <w:szCs w:val="21"/>
              </w:rPr>
              <w:t>财务状况报告（</w:t>
            </w:r>
            <w:r>
              <w:rPr>
                <w:rFonts w:hint="eastAsia" w:ascii="宋体" w:hAnsi="宋体" w:cs="宋体"/>
                <w:color w:val="auto"/>
                <w:szCs w:val="21"/>
              </w:rPr>
              <w:t>2024年</w:t>
            </w:r>
            <w:r>
              <w:rPr>
                <w:rFonts w:hint="eastAsia"/>
                <w:color w:val="auto"/>
                <w:szCs w:val="21"/>
              </w:rPr>
              <w:t>度</w:t>
            </w:r>
            <w:r>
              <w:rPr>
                <w:rFonts w:hint="eastAsia"/>
                <w:color w:val="auto"/>
                <w:szCs w:val="21"/>
                <w:lang w:val="en-US" w:eastAsia="zh-CN"/>
              </w:rPr>
              <w:t>或2025年度</w:t>
            </w:r>
            <w:r>
              <w:rPr>
                <w:rFonts w:hint="eastAsia"/>
                <w:color w:val="auto"/>
                <w:szCs w:val="21"/>
              </w:rPr>
              <w:t>财务报表复印件，或者银行出具的资信证明，或者中国人民银行征信中心出具的信用报告；供应商属于</w:t>
            </w:r>
            <w:r>
              <w:rPr>
                <w:rFonts w:hint="eastAsia"/>
                <w:color w:val="auto"/>
              </w:rPr>
              <w:t>成立时间</w:t>
            </w:r>
            <w:r>
              <w:rPr>
                <w:rFonts w:hint="eastAsia"/>
                <w:color w:val="auto"/>
                <w:kern w:val="0"/>
              </w:rPr>
              <w:t>在规定年度之后</w:t>
            </w:r>
            <w:r>
              <w:rPr>
                <w:rFonts w:hint="eastAsia"/>
                <w:color w:val="auto"/>
              </w:rPr>
              <w:t>的</w:t>
            </w:r>
            <w:r>
              <w:rPr>
                <w:rFonts w:hint="eastAsia"/>
                <w:color w:val="auto"/>
                <w:szCs w:val="21"/>
              </w:rPr>
              <w:t>法人或其他组织</w:t>
            </w:r>
            <w:r>
              <w:rPr>
                <w:rFonts w:hint="eastAsia"/>
                <w:color w:val="auto"/>
              </w:rPr>
              <w:t>，需提供成立之日起至响应文件提交截止时间前的月报表</w:t>
            </w:r>
            <w:r>
              <w:rPr>
                <w:rFonts w:hint="eastAsia"/>
                <w:color w:val="auto"/>
                <w:szCs w:val="21"/>
              </w:rPr>
              <w:t>或银行出具的资信证明或者中国人民银行征信中心出具的企业信用报告；资信证明应在有效期内，未注明有效期的，银行出具时间至响应文件提交截止时间不得超过一年）</w:t>
            </w:r>
            <w:r>
              <w:rPr>
                <w:rFonts w:hint="eastAsia" w:ascii="宋体" w:hAnsi="宋体" w:cs="宋体"/>
                <w:color w:val="auto"/>
                <w:szCs w:val="21"/>
              </w:rPr>
              <w:t>；</w:t>
            </w:r>
            <w:r>
              <w:rPr>
                <w:rFonts w:hint="eastAsia" w:ascii="宋体" w:hAnsi="宋体" w:cs="宋体"/>
                <w:bCs/>
                <w:color w:val="auto"/>
                <w:szCs w:val="21"/>
              </w:rPr>
              <w:t>（</w:t>
            </w:r>
            <w:r>
              <w:rPr>
                <w:rFonts w:hint="eastAsia" w:ascii="宋体" w:hAnsi="宋体"/>
                <w:b/>
                <w:color w:val="auto"/>
                <w:szCs w:val="21"/>
              </w:rPr>
              <w:t>必须提供</w:t>
            </w:r>
            <w:r>
              <w:rPr>
                <w:rFonts w:hint="eastAsia" w:ascii="宋体" w:hAnsi="宋体" w:cs="宋体"/>
                <w:b/>
                <w:color w:val="auto"/>
                <w:szCs w:val="21"/>
              </w:rPr>
              <w:t>，否则响应文件按无效处理</w:t>
            </w:r>
            <w:r>
              <w:rPr>
                <w:rFonts w:hint="eastAsia" w:ascii="宋体" w:hAnsi="宋体" w:cs="宋体"/>
                <w:bCs/>
                <w:color w:val="auto"/>
                <w:szCs w:val="21"/>
              </w:rPr>
              <w:t>）</w:t>
            </w:r>
          </w:p>
          <w:p w14:paraId="6B94522F">
            <w:pPr>
              <w:snapToGrid w:val="0"/>
              <w:spacing w:line="360" w:lineRule="auto"/>
              <w:jc w:val="left"/>
              <w:rPr>
                <w:rFonts w:hint="eastAsia"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E42012F">
            <w:pPr>
              <w:snapToGrid w:val="0"/>
              <w:spacing w:line="360" w:lineRule="auto"/>
              <w:jc w:val="left"/>
              <w:rPr>
                <w:rFonts w:hint="eastAsia"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B49872E">
            <w:pPr>
              <w:snapToGrid w:val="0"/>
              <w:spacing w:line="360" w:lineRule="auto"/>
              <w:jc w:val="left"/>
              <w:rPr>
                <w:rFonts w:hint="eastAsia" w:ascii="宋体" w:hAnsi="宋体"/>
                <w:color w:val="auto"/>
                <w:szCs w:val="21"/>
              </w:rPr>
            </w:pPr>
            <w:r>
              <w:rPr>
                <w:rFonts w:ascii="宋体" w:hAnsi="宋体" w:cs="宋体"/>
                <w:color w:val="auto"/>
                <w:szCs w:val="21"/>
              </w:rPr>
              <w:t>7</w:t>
            </w:r>
            <w:r>
              <w:rPr>
                <w:rFonts w:hint="eastAsia" w:ascii="宋体" w:hAnsi="宋体" w:cs="宋体"/>
                <w:color w:val="auto"/>
                <w:szCs w:val="21"/>
              </w:rPr>
              <w:t>.供应商</w:t>
            </w:r>
            <w:r>
              <w:rPr>
                <w:rFonts w:hint="eastAsia" w:ascii="宋体" w:hAnsi="宋体" w:cs="宋体"/>
                <w:bCs/>
                <w:color w:val="auto"/>
                <w:szCs w:val="21"/>
              </w:rPr>
              <w:t>拟投入本项目项目经理的注册建造师执业资格证书复印件、安全生产考核合格证书（B类）复印件</w:t>
            </w:r>
            <w:r>
              <w:rPr>
                <w:rFonts w:hint="eastAsia" w:ascii="宋体" w:hAnsi="宋体" w:cs="宋体"/>
                <w:iCs/>
                <w:color w:val="auto"/>
                <w:szCs w:val="21"/>
              </w:rPr>
              <w:t>；</w:t>
            </w:r>
            <w:r>
              <w:rPr>
                <w:rFonts w:hint="eastAsia" w:ascii="宋体" w:hAnsi="宋体"/>
                <w:color w:val="auto"/>
                <w:szCs w:val="21"/>
              </w:rPr>
              <w:t>（</w:t>
            </w:r>
            <w:r>
              <w:rPr>
                <w:rFonts w:hint="eastAsia" w:ascii="宋体" w:hAnsi="宋体"/>
                <w:b/>
                <w:color w:val="auto"/>
                <w:szCs w:val="21"/>
              </w:rPr>
              <w:t>必须提供，否则响应文件按无效处理</w:t>
            </w:r>
            <w:r>
              <w:rPr>
                <w:rFonts w:hint="eastAsia" w:ascii="宋体" w:hAnsi="宋体"/>
                <w:color w:val="auto"/>
                <w:szCs w:val="21"/>
              </w:rPr>
              <w:t>）</w:t>
            </w:r>
          </w:p>
          <w:p w14:paraId="10C0EF9D">
            <w:pPr>
              <w:snapToGrid w:val="0"/>
              <w:spacing w:line="360" w:lineRule="auto"/>
              <w:jc w:val="left"/>
              <w:rPr>
                <w:rFonts w:hint="eastAsia" w:ascii="宋体" w:hAnsi="宋体"/>
                <w:color w:val="auto"/>
                <w:szCs w:val="21"/>
              </w:rPr>
            </w:pPr>
            <w:r>
              <w:rPr>
                <w:rFonts w:hint="eastAsia" w:ascii="宋体" w:hAnsi="宋体" w:cs="宋体"/>
                <w:bCs/>
                <w:color w:val="auto"/>
                <w:szCs w:val="21"/>
              </w:rPr>
              <w:t>8.</w:t>
            </w:r>
            <w:r>
              <w:rPr>
                <w:rFonts w:hint="eastAsia" w:ascii="宋体" w:hAnsi="宋体" w:cs="宋体"/>
                <w:color w:val="auto"/>
                <w:szCs w:val="21"/>
              </w:rPr>
              <w:t>供应商</w:t>
            </w:r>
            <w:r>
              <w:rPr>
                <w:rFonts w:hint="eastAsia" w:ascii="宋体" w:hAnsi="宋体" w:cs="宋体"/>
                <w:bCs/>
                <w:color w:val="auto"/>
                <w:szCs w:val="21"/>
              </w:rPr>
              <w:t>拟投入本项目专职安全员安全生产考核合格证书（C类）复印件。</w:t>
            </w:r>
            <w:r>
              <w:rPr>
                <w:rFonts w:hint="eastAsia" w:ascii="宋体" w:hAnsi="宋体"/>
                <w:color w:val="auto"/>
                <w:szCs w:val="21"/>
              </w:rPr>
              <w:t>（</w:t>
            </w:r>
            <w:r>
              <w:rPr>
                <w:rFonts w:hint="eastAsia" w:ascii="宋体" w:hAnsi="宋体"/>
                <w:b/>
                <w:color w:val="auto"/>
                <w:szCs w:val="21"/>
              </w:rPr>
              <w:t>必须提供，否则响应文件按无效处理</w:t>
            </w:r>
            <w:r>
              <w:rPr>
                <w:rFonts w:hint="eastAsia" w:ascii="宋体" w:hAnsi="宋体"/>
                <w:color w:val="auto"/>
                <w:szCs w:val="21"/>
              </w:rPr>
              <w:t>）</w:t>
            </w:r>
          </w:p>
          <w:p w14:paraId="645BDB22">
            <w:pPr>
              <w:snapToGrid w:val="0"/>
              <w:spacing w:line="360" w:lineRule="auto"/>
              <w:jc w:val="left"/>
              <w:rPr>
                <w:rFonts w:hint="eastAsia" w:ascii="宋体" w:hAnsi="宋体" w:cs="宋体"/>
                <w:color w:val="auto"/>
                <w:szCs w:val="21"/>
              </w:rPr>
            </w:pPr>
            <w:r>
              <w:rPr>
                <w:rFonts w:hint="eastAsia" w:ascii="宋体" w:hAnsi="宋体" w:cs="宋体"/>
                <w:color w:val="auto"/>
                <w:szCs w:val="21"/>
              </w:rPr>
              <w:t>9.中小企业声明函（格式后附）【如属于残疾人福利性单位的提供残疾人福利性单位声明函，属于监狱企业的提供由省级以上监狱管理局、戒毒管理局（含新疆生产建设兵团）出具的属于监狱企业的证明文件】；</w:t>
            </w:r>
            <w:r>
              <w:rPr>
                <w:rFonts w:hint="eastAsia" w:ascii="宋体" w:hAnsi="宋体"/>
                <w:color w:val="auto"/>
                <w:szCs w:val="21"/>
              </w:rPr>
              <w:t>（</w:t>
            </w:r>
            <w:r>
              <w:rPr>
                <w:rFonts w:hint="eastAsia" w:ascii="宋体" w:hAnsi="宋体"/>
                <w:b/>
                <w:color w:val="auto"/>
                <w:szCs w:val="21"/>
              </w:rPr>
              <w:t>必须提供，否则响应文件按无效处理</w:t>
            </w:r>
            <w:r>
              <w:rPr>
                <w:rFonts w:hint="eastAsia" w:ascii="宋体" w:hAnsi="宋体"/>
                <w:color w:val="auto"/>
                <w:szCs w:val="21"/>
              </w:rPr>
              <w:t>）</w:t>
            </w:r>
          </w:p>
          <w:p w14:paraId="7ED9A9A4">
            <w:pPr>
              <w:snapToGrid w:val="0"/>
              <w:spacing w:line="360" w:lineRule="auto"/>
              <w:jc w:val="left"/>
              <w:rPr>
                <w:rFonts w:hint="eastAsia" w:ascii="宋体" w:hAnsi="宋体" w:cs="宋体"/>
                <w:color w:val="auto"/>
                <w:szCs w:val="21"/>
              </w:rPr>
            </w:pPr>
            <w:r>
              <w:rPr>
                <w:rFonts w:hint="eastAsia" w:ascii="宋体" w:hAnsi="宋体" w:cs="宋体"/>
                <w:color w:val="auto"/>
                <w:szCs w:val="21"/>
              </w:rPr>
              <w:t>10.除磋商文件规定必须提供以外，供应商认为需要提供的其他证明材料。</w:t>
            </w:r>
          </w:p>
          <w:p w14:paraId="50C71FA9">
            <w:pPr>
              <w:snapToGrid w:val="0"/>
              <w:spacing w:line="360" w:lineRule="auto"/>
              <w:jc w:val="left"/>
              <w:rPr>
                <w:rFonts w:hint="eastAsia" w:ascii="宋体" w:hAnsi="宋体" w:cs="宋体"/>
                <w:b/>
                <w:color w:val="auto"/>
                <w:szCs w:val="21"/>
              </w:rPr>
            </w:pPr>
            <w:r>
              <w:rPr>
                <w:rFonts w:hint="eastAsia" w:ascii="宋体" w:hAnsi="宋体" w:cs="宋体"/>
                <w:b/>
                <w:color w:val="auto"/>
                <w:szCs w:val="21"/>
              </w:rPr>
              <w:t>注：</w:t>
            </w:r>
          </w:p>
          <w:p w14:paraId="0D257AD0">
            <w:pPr>
              <w:snapToGrid w:val="0"/>
              <w:spacing w:line="360" w:lineRule="auto"/>
              <w:ind w:firstLine="413" w:firstLineChars="196"/>
              <w:jc w:val="left"/>
              <w:rPr>
                <w:rFonts w:hint="eastAsia" w:ascii="宋体" w:hAnsi="宋体" w:cs="宋体"/>
                <w:b/>
                <w:color w:val="auto"/>
                <w:szCs w:val="21"/>
              </w:rPr>
            </w:pPr>
            <w:r>
              <w:rPr>
                <w:rFonts w:hint="eastAsia" w:ascii="宋体" w:hAnsi="宋体" w:cs="宋体"/>
                <w:b/>
                <w:color w:val="auto"/>
                <w:szCs w:val="21"/>
              </w:rPr>
              <w:t>以上标明“必须提供”的材料属于复印件的，必须加盖供应商</w:t>
            </w:r>
            <w:r>
              <w:rPr>
                <w:rFonts w:hint="eastAsia"/>
                <w:b/>
                <w:color w:val="auto"/>
              </w:rPr>
              <w:t>电子签章</w:t>
            </w:r>
            <w:r>
              <w:rPr>
                <w:rFonts w:hint="eastAsia" w:ascii="宋体" w:hAnsi="宋体" w:cs="宋体"/>
                <w:b/>
                <w:color w:val="auto"/>
                <w:szCs w:val="21"/>
              </w:rPr>
              <w:t>，否则响应文件按无效处理。</w:t>
            </w:r>
          </w:p>
        </w:tc>
      </w:tr>
      <w:tr w14:paraId="683E8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60C8BDE">
            <w:pPr>
              <w:spacing w:line="360" w:lineRule="auto"/>
              <w:jc w:val="center"/>
              <w:rPr>
                <w:rFonts w:ascii="宋体" w:hAnsi="宋体" w:cs="宋体"/>
                <w:color w:val="auto"/>
                <w:szCs w:val="21"/>
              </w:rPr>
            </w:pPr>
            <w:r>
              <w:rPr>
                <w:rFonts w:hint="eastAsia" w:ascii="宋体" w:hAnsi="宋体" w:cs="宋体"/>
                <w:color w:val="auto"/>
                <w:szCs w:val="21"/>
              </w:rPr>
              <w:t>12.1.2</w:t>
            </w:r>
          </w:p>
        </w:tc>
        <w:tc>
          <w:tcPr>
            <w:tcW w:w="7912" w:type="dxa"/>
            <w:noWrap w:val="0"/>
            <w:vAlign w:val="center"/>
          </w:tcPr>
          <w:p w14:paraId="57F3A0FB">
            <w:pPr>
              <w:spacing w:line="360" w:lineRule="auto"/>
              <w:rPr>
                <w:rFonts w:ascii="宋体" w:hAnsi="宋体" w:cs="宋体"/>
                <w:color w:val="auto"/>
                <w:szCs w:val="21"/>
              </w:rPr>
            </w:pPr>
            <w:r>
              <w:rPr>
                <w:rFonts w:hint="eastAsia" w:ascii="宋体" w:hAnsi="宋体" w:cs="宋体"/>
                <w:color w:val="auto"/>
                <w:szCs w:val="21"/>
              </w:rPr>
              <w:t>报价文件</w:t>
            </w:r>
          </w:p>
          <w:p w14:paraId="437CBBC5">
            <w:pPr>
              <w:spacing w:line="360" w:lineRule="auto"/>
              <w:rPr>
                <w:rFonts w:hint="eastAsia" w:ascii="宋体" w:hAnsi="宋体" w:cs="宋体"/>
                <w:color w:val="auto"/>
                <w:szCs w:val="21"/>
              </w:rPr>
            </w:pPr>
            <w:r>
              <w:rPr>
                <w:rFonts w:hint="eastAsia" w:ascii="宋体" w:hAnsi="宋体" w:cs="宋体"/>
                <w:color w:val="auto"/>
                <w:szCs w:val="21"/>
              </w:rPr>
              <w:t>1.竞标函及竞标函附录（格式后附）；（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FE98898">
            <w:pPr>
              <w:spacing w:line="360" w:lineRule="auto"/>
              <w:rPr>
                <w:rFonts w:hint="eastAsia" w:ascii="宋体" w:hAnsi="宋体" w:cs="宋体"/>
                <w:color w:val="auto"/>
                <w:szCs w:val="21"/>
              </w:rPr>
            </w:pPr>
            <w:r>
              <w:rPr>
                <w:rFonts w:hint="eastAsia" w:ascii="宋体" w:hAnsi="宋体" w:cs="宋体"/>
                <w:color w:val="auto"/>
                <w:szCs w:val="21"/>
              </w:rPr>
              <w:t>2.竞标报价表（格式后附）；（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D9B01FA">
            <w:pPr>
              <w:spacing w:line="360" w:lineRule="auto"/>
              <w:rPr>
                <w:rFonts w:hint="eastAsia" w:ascii="宋体" w:hAnsi="宋体" w:cs="宋体"/>
                <w:color w:val="auto"/>
                <w:szCs w:val="21"/>
              </w:rPr>
            </w:pPr>
            <w:r>
              <w:rPr>
                <w:rFonts w:hint="eastAsia" w:ascii="宋体" w:hAnsi="宋体" w:cs="宋体"/>
                <w:color w:val="auto"/>
                <w:szCs w:val="21"/>
              </w:rPr>
              <w:t>3.已标价工程量清单；（</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0C1A2CD">
            <w:pPr>
              <w:spacing w:line="360" w:lineRule="auto"/>
              <w:rPr>
                <w:rFonts w:ascii="宋体" w:hAnsi="宋体" w:cs="宋体"/>
                <w:color w:val="auto"/>
                <w:szCs w:val="21"/>
              </w:rPr>
            </w:pPr>
            <w:r>
              <w:rPr>
                <w:rFonts w:hint="eastAsia" w:ascii="宋体" w:hAnsi="宋体" w:cs="宋体"/>
                <w:color w:val="auto"/>
                <w:szCs w:val="21"/>
              </w:rPr>
              <w:t>4.供应商认为需要提供的其他有关资料。</w:t>
            </w:r>
          </w:p>
        </w:tc>
      </w:tr>
      <w:tr w14:paraId="1C12D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3E7058D">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w:t>
            </w:r>
          </w:p>
        </w:tc>
        <w:tc>
          <w:tcPr>
            <w:tcW w:w="7912" w:type="dxa"/>
            <w:noWrap w:val="0"/>
            <w:vAlign w:val="center"/>
          </w:tcPr>
          <w:p w14:paraId="361AF222">
            <w:pPr>
              <w:spacing w:line="360" w:lineRule="auto"/>
              <w:rPr>
                <w:rFonts w:hint="eastAsia" w:ascii="宋体" w:hAnsi="宋体" w:cs="宋体"/>
                <w:b/>
                <w:bCs/>
                <w:color w:val="auto"/>
                <w:szCs w:val="21"/>
              </w:rPr>
            </w:pPr>
            <w:r>
              <w:rPr>
                <w:rFonts w:hint="eastAsia" w:ascii="宋体" w:hAnsi="宋体" w:cs="宋体"/>
                <w:b/>
                <w:bCs/>
                <w:color w:val="auto"/>
                <w:szCs w:val="21"/>
              </w:rPr>
              <w:t>商务技术文件</w:t>
            </w:r>
          </w:p>
          <w:p w14:paraId="41797D6B">
            <w:pPr>
              <w:spacing w:line="360" w:lineRule="auto"/>
              <w:rPr>
                <w:rFonts w:hint="eastAsia"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41D2587">
            <w:pPr>
              <w:snapToGrid w:val="0"/>
              <w:spacing w:line="360" w:lineRule="auto"/>
              <w:jc w:val="left"/>
              <w:rPr>
                <w:rFonts w:hint="eastAsia" w:ascii="宋体" w:hAnsi="宋体" w:cs="宋体"/>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B52D529">
            <w:pPr>
              <w:spacing w:line="360" w:lineRule="auto"/>
              <w:rPr>
                <w:rFonts w:hint="eastAsia" w:ascii="宋体" w:hAnsi="宋体" w:cs="宋体"/>
                <w:b/>
                <w:color w:val="auto"/>
                <w:szCs w:val="21"/>
              </w:rPr>
            </w:pPr>
            <w:r>
              <w:rPr>
                <w:rFonts w:hint="eastAsia" w:ascii="宋体" w:hAnsi="宋体" w:cs="宋体"/>
                <w:color w:val="auto"/>
                <w:szCs w:val="21"/>
              </w:rPr>
              <w:t>3.授权委托书及委托代理人有效身份证正反面复印件（格式后附）；（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524D259C">
            <w:pPr>
              <w:spacing w:line="360" w:lineRule="auto"/>
              <w:rPr>
                <w:rFonts w:hint="eastAsia" w:ascii="宋体" w:hAnsi="宋体" w:cs="宋体"/>
                <w:color w:val="auto"/>
                <w:szCs w:val="21"/>
              </w:rPr>
            </w:pPr>
            <w:r>
              <w:rPr>
                <w:rFonts w:hint="eastAsia" w:ascii="宋体" w:hAnsi="宋体" w:cs="宋体"/>
                <w:color w:val="auto"/>
                <w:szCs w:val="21"/>
              </w:rPr>
              <w:t>4.建筑材料和设备节能环保要求承诺书（格式后附）；（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BA379C9">
            <w:pPr>
              <w:spacing w:line="360" w:lineRule="auto"/>
              <w:rPr>
                <w:rFonts w:ascii="宋体" w:hAnsi="宋体" w:cs="宋体"/>
                <w:b/>
                <w:bCs/>
                <w:color w:val="auto"/>
                <w:szCs w:val="21"/>
              </w:rPr>
            </w:pPr>
            <w:r>
              <w:rPr>
                <w:rFonts w:hint="eastAsia" w:ascii="宋体" w:hAnsi="宋体" w:cs="宋体"/>
                <w:color w:val="auto"/>
                <w:szCs w:val="21"/>
              </w:rPr>
              <w:t>5.农民工工资保证金的交纳与使用承诺书（格式自拟）；</w:t>
            </w:r>
            <w:r>
              <w:rPr>
                <w:rFonts w:hint="eastAsia" w:ascii="宋体" w:hAnsi="宋体" w:cs="宋体"/>
                <w:b/>
                <w:bCs/>
                <w:color w:val="auto"/>
                <w:szCs w:val="21"/>
              </w:rPr>
              <w:t>（必须提供，否则响应文件按无效处理）</w:t>
            </w:r>
          </w:p>
          <w:p w14:paraId="04E7D5F7">
            <w:pPr>
              <w:spacing w:line="360" w:lineRule="auto"/>
              <w:rPr>
                <w:rFonts w:hint="eastAsia" w:ascii="宋体" w:hAnsi="宋体" w:cs="宋体"/>
                <w:color w:val="auto"/>
                <w:szCs w:val="21"/>
              </w:rPr>
            </w:pPr>
            <w:r>
              <w:rPr>
                <w:rFonts w:hint="eastAsia" w:ascii="宋体" w:hAnsi="宋体" w:cs="宋体"/>
                <w:color w:val="auto"/>
                <w:szCs w:val="21"/>
              </w:rPr>
              <w:t>6.施工组织设计（格式自拟）；（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A322874">
            <w:pPr>
              <w:spacing w:line="360" w:lineRule="auto"/>
              <w:rPr>
                <w:rFonts w:hint="eastAsia" w:ascii="宋体" w:hAnsi="宋体" w:cs="宋体"/>
                <w:color w:val="auto"/>
                <w:szCs w:val="21"/>
              </w:rPr>
            </w:pPr>
            <w:r>
              <w:rPr>
                <w:rFonts w:hint="eastAsia" w:ascii="宋体" w:hAnsi="宋体" w:cs="宋体"/>
                <w:color w:val="auto"/>
                <w:szCs w:val="21"/>
              </w:rPr>
              <w:t>7.项目管理机构配备情况表及主要人员简历表（格式后附）；（</w:t>
            </w:r>
            <w:r>
              <w:rPr>
                <w:rFonts w:hint="eastAsia" w:ascii="宋体" w:hAnsi="宋体" w:cs="宋体"/>
                <w:b/>
                <w:color w:val="auto"/>
                <w:szCs w:val="21"/>
              </w:rPr>
              <w:t>必须提供，否则响应文件按无效处理</w:t>
            </w:r>
            <w:r>
              <w:rPr>
                <w:rFonts w:hint="eastAsia" w:ascii="宋体" w:hAnsi="宋体" w:cs="宋体"/>
                <w:color w:val="auto"/>
                <w:szCs w:val="21"/>
              </w:rPr>
              <w:t xml:space="preserve">） </w:t>
            </w:r>
          </w:p>
          <w:p w14:paraId="260AF9A5">
            <w:pPr>
              <w:spacing w:line="360" w:lineRule="auto"/>
              <w:rPr>
                <w:rFonts w:hint="eastAsia" w:ascii="宋体" w:hAnsi="宋体" w:cs="宋体"/>
                <w:color w:val="auto"/>
                <w:szCs w:val="21"/>
              </w:rPr>
            </w:pPr>
            <w:r>
              <w:rPr>
                <w:rFonts w:hint="eastAsia" w:ascii="宋体" w:hAnsi="宋体" w:cs="宋体"/>
                <w:color w:val="auto"/>
                <w:szCs w:val="21"/>
              </w:rPr>
              <w:t>8.代理服务费承诺书</w:t>
            </w:r>
            <w:r>
              <w:rPr>
                <w:rFonts w:hint="eastAsia"/>
                <w:color w:val="auto"/>
              </w:rPr>
              <w:t>（格式后附）；</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E62BBA2">
            <w:pPr>
              <w:spacing w:line="360" w:lineRule="auto"/>
              <w:rPr>
                <w:rFonts w:hint="eastAsia" w:ascii="宋体" w:hAnsi="宋体" w:cs="宋体"/>
                <w:color w:val="auto"/>
                <w:szCs w:val="21"/>
              </w:rPr>
            </w:pPr>
            <w:r>
              <w:rPr>
                <w:rFonts w:hint="eastAsia" w:ascii="宋体" w:hAnsi="宋体" w:cs="宋体"/>
                <w:color w:val="auto"/>
                <w:szCs w:val="21"/>
              </w:rPr>
              <w:t>9.供应商认为需要提供的其他有关资料。</w:t>
            </w:r>
          </w:p>
          <w:p w14:paraId="52A1E74F">
            <w:pPr>
              <w:spacing w:line="360" w:lineRule="auto"/>
              <w:rPr>
                <w:rFonts w:hint="eastAsia" w:ascii="宋体" w:hAnsi="宋体" w:cs="宋体"/>
                <w:b/>
                <w:color w:val="auto"/>
                <w:szCs w:val="21"/>
              </w:rPr>
            </w:pPr>
            <w:r>
              <w:rPr>
                <w:rFonts w:hint="eastAsia" w:ascii="宋体" w:hAnsi="宋体" w:cs="宋体"/>
                <w:b/>
                <w:color w:val="auto"/>
                <w:szCs w:val="21"/>
              </w:rPr>
              <w:t>注：以上标明“必须提供”的材料属于复印件的，必须加盖供应商电子签章，否则响应文件按无效处理。</w:t>
            </w:r>
          </w:p>
        </w:tc>
      </w:tr>
      <w:tr w14:paraId="4007B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FC9C387">
            <w:pPr>
              <w:spacing w:line="360" w:lineRule="auto"/>
              <w:jc w:val="center"/>
              <w:rPr>
                <w:rFonts w:hint="eastAsia" w:ascii="宋体" w:hAnsi="宋体" w:cs="宋体"/>
                <w:color w:val="auto"/>
                <w:szCs w:val="21"/>
              </w:rPr>
            </w:pPr>
            <w:r>
              <w:rPr>
                <w:rFonts w:hint="eastAsia" w:ascii="宋体" w:hAnsi="宋体" w:cs="宋体"/>
                <w:color w:val="auto"/>
                <w:szCs w:val="21"/>
              </w:rPr>
              <w:t>15.2</w:t>
            </w:r>
          </w:p>
        </w:tc>
        <w:tc>
          <w:tcPr>
            <w:tcW w:w="7912" w:type="dxa"/>
            <w:noWrap w:val="0"/>
            <w:vAlign w:val="center"/>
          </w:tcPr>
          <w:p w14:paraId="3D95501B">
            <w:pPr>
              <w:spacing w:line="360" w:lineRule="auto"/>
              <w:contextualSpacing/>
              <w:jc w:val="left"/>
              <w:rPr>
                <w:rFonts w:hint="eastAsia" w:ascii="宋体" w:hAnsi="宋体" w:cs="宋体"/>
                <w:color w:val="auto"/>
                <w:szCs w:val="21"/>
              </w:rPr>
            </w:pPr>
            <w:r>
              <w:rPr>
                <w:rFonts w:hint="eastAsia" w:ascii="宋体" w:hAnsi="宋体"/>
                <w:color w:val="auto"/>
                <w:szCs w:val="21"/>
              </w:rPr>
              <w:t>竞标报价是履行合同的最终价格，包括了</w:t>
            </w:r>
            <w:r>
              <w:rPr>
                <w:rFonts w:hint="eastAsia" w:ascii="宋体" w:hAnsi="宋体" w:cs="宋体"/>
                <w:color w:val="auto"/>
                <w:szCs w:val="21"/>
              </w:rPr>
              <w:t>为实施和完成合同工程所需的劳务、材料、机械、质检（自检）、安装、缺陷修复、管理、保险、税费、利润等费用，以及合同明示或暗示的所有责任、义务和一般风险。</w:t>
            </w:r>
          </w:p>
        </w:tc>
      </w:tr>
      <w:tr w14:paraId="21107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9510427">
            <w:pPr>
              <w:spacing w:line="360" w:lineRule="auto"/>
              <w:jc w:val="center"/>
              <w:rPr>
                <w:rFonts w:hint="eastAsia" w:ascii="宋体" w:hAnsi="宋体" w:cs="宋体"/>
                <w:color w:val="auto"/>
                <w:szCs w:val="21"/>
              </w:rPr>
            </w:pPr>
            <w:r>
              <w:rPr>
                <w:rFonts w:hint="eastAsia" w:ascii="宋体" w:hAnsi="宋体" w:cs="宋体"/>
                <w:color w:val="auto"/>
                <w:szCs w:val="21"/>
              </w:rPr>
              <w:t>15.3</w:t>
            </w:r>
          </w:p>
        </w:tc>
        <w:tc>
          <w:tcPr>
            <w:tcW w:w="7912" w:type="dxa"/>
            <w:noWrap w:val="0"/>
            <w:vAlign w:val="center"/>
          </w:tcPr>
          <w:p w14:paraId="0145CD0F">
            <w:pPr>
              <w:spacing w:line="360" w:lineRule="auto"/>
              <w:contextualSpacing/>
              <w:jc w:val="left"/>
              <w:rPr>
                <w:rFonts w:hint="eastAsia" w:ascii="宋体" w:hAnsi="宋体"/>
                <w:color w:val="auto"/>
                <w:szCs w:val="21"/>
              </w:rPr>
            </w:pPr>
            <w:r>
              <w:rPr>
                <w:rFonts w:hint="eastAsia" w:cs="宋体"/>
                <w:color w:val="auto"/>
              </w:rPr>
              <w:t>本工程增值税计税方法：</w:t>
            </w:r>
            <w:r>
              <w:rPr>
                <w:rFonts w:hint="eastAsia" w:cs="宋体"/>
                <w:color w:val="auto"/>
                <w:lang w:val="en-US" w:eastAsia="zh-CN"/>
              </w:rPr>
              <w:t>一般</w:t>
            </w:r>
            <w:r>
              <w:rPr>
                <w:rFonts w:hint="eastAsia" w:cs="宋体"/>
                <w:color w:val="auto"/>
              </w:rPr>
              <w:t>计税法。</w:t>
            </w:r>
          </w:p>
        </w:tc>
      </w:tr>
      <w:tr w14:paraId="46FE4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511298">
            <w:pPr>
              <w:spacing w:line="360" w:lineRule="auto"/>
              <w:jc w:val="center"/>
              <w:rPr>
                <w:rFonts w:hint="eastAsia"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noWrap w:val="0"/>
            <w:vAlign w:val="center"/>
          </w:tcPr>
          <w:p w14:paraId="6992FC7A">
            <w:pPr>
              <w:pStyle w:val="16"/>
              <w:widowControl w:val="0"/>
              <w:tabs>
                <w:tab w:val="clear" w:pos="454"/>
              </w:tabs>
              <w:snapToGrid w:val="0"/>
              <w:spacing w:afterLines="0" w:line="360" w:lineRule="auto"/>
              <w:ind w:left="283" w:hanging="283" w:hangingChars="135"/>
              <w:rPr>
                <w:rFonts w:hint="eastAsia" w:ascii="宋体" w:hAns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hint="eastAsia" w:ascii="宋体" w:hAnsi="宋体" w:cs="宋体"/>
                <w:color w:val="auto"/>
                <w:kern w:val="2"/>
                <w:sz w:val="21"/>
                <w:szCs w:val="21"/>
                <w:u w:val="single"/>
              </w:rPr>
              <w:t>90</w:t>
            </w:r>
            <w:r>
              <w:rPr>
                <w:rFonts w:hint="eastAsia" w:ascii="宋体" w:hAnsi="宋体" w:cs="宋体"/>
                <w:color w:val="auto"/>
                <w:kern w:val="2"/>
                <w:sz w:val="21"/>
                <w:szCs w:val="21"/>
              </w:rPr>
              <w:t>日。</w:t>
            </w:r>
          </w:p>
        </w:tc>
      </w:tr>
      <w:tr w14:paraId="74DBA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99967A4">
            <w:pPr>
              <w:spacing w:line="360" w:lineRule="auto"/>
              <w:jc w:val="center"/>
              <w:rPr>
                <w:rFonts w:hint="eastAsia" w:ascii="宋体" w:hAnsi="宋体" w:cs="宋体"/>
                <w:color w:val="auto"/>
                <w:szCs w:val="21"/>
              </w:rPr>
            </w:pPr>
            <w:r>
              <w:rPr>
                <w:rFonts w:hint="eastAsia" w:ascii="宋体" w:hAnsi="宋体" w:cs="宋体"/>
                <w:color w:val="auto"/>
                <w:szCs w:val="21"/>
              </w:rPr>
              <w:t>17.1</w:t>
            </w:r>
          </w:p>
        </w:tc>
        <w:tc>
          <w:tcPr>
            <w:tcW w:w="7912" w:type="dxa"/>
            <w:noWrap w:val="0"/>
            <w:vAlign w:val="center"/>
          </w:tcPr>
          <w:p w14:paraId="4B7E496E">
            <w:pPr>
              <w:snapToGrid w:val="0"/>
              <w:spacing w:line="360" w:lineRule="auto"/>
              <w:rPr>
                <w:rFonts w:hint="eastAsia" w:ascii="宋体" w:hAnsi="宋体" w:cs="宋体"/>
                <w:color w:val="auto"/>
                <w:szCs w:val="21"/>
              </w:rPr>
            </w:pPr>
            <w:r>
              <w:rPr>
                <w:rFonts w:hint="eastAsia" w:ascii="宋体" w:hAnsi="宋体"/>
                <w:color w:val="auto"/>
                <w:szCs w:val="21"/>
              </w:rPr>
              <w:sym w:font="Wingdings 2" w:char="0052"/>
            </w:r>
            <w:r>
              <w:rPr>
                <w:rFonts w:hint="eastAsia" w:ascii="宋体" w:hAnsi="宋体"/>
                <w:color w:val="auto"/>
                <w:szCs w:val="21"/>
              </w:rPr>
              <w:t>本项目不收取磋商保证金。</w:t>
            </w:r>
          </w:p>
        </w:tc>
      </w:tr>
      <w:tr w14:paraId="2A1DF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EC7AA07">
            <w:pPr>
              <w:spacing w:line="360" w:lineRule="auto"/>
              <w:jc w:val="center"/>
              <w:rPr>
                <w:rFonts w:hint="eastAsia" w:ascii="宋体" w:hAnsi="宋体" w:cs="宋体"/>
                <w:color w:val="auto"/>
                <w:szCs w:val="21"/>
              </w:rPr>
            </w:pPr>
            <w:r>
              <w:rPr>
                <w:rFonts w:ascii="宋体" w:hAnsi="宋体" w:cs="宋体"/>
                <w:color w:val="auto"/>
                <w:szCs w:val="21"/>
              </w:rPr>
              <w:t>19</w:t>
            </w:r>
          </w:p>
        </w:tc>
        <w:tc>
          <w:tcPr>
            <w:tcW w:w="7912" w:type="dxa"/>
            <w:noWrap w:val="0"/>
            <w:vAlign w:val="center"/>
          </w:tcPr>
          <w:p w14:paraId="0A6454AA">
            <w:pPr>
              <w:spacing w:line="360" w:lineRule="auto"/>
              <w:rPr>
                <w:rFonts w:hint="eastAsia" w:ascii="宋体" w:hAnsi="宋体" w:cs="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备份响应文件</w:t>
            </w:r>
          </w:p>
        </w:tc>
      </w:tr>
      <w:tr w14:paraId="550D4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9E1435C">
            <w:pPr>
              <w:spacing w:line="360" w:lineRule="auto"/>
              <w:jc w:val="center"/>
              <w:rPr>
                <w:rFonts w:hint="eastAsia" w:ascii="宋体" w:hAnsi="宋体" w:cs="宋体"/>
                <w:color w:val="auto"/>
                <w:szCs w:val="21"/>
              </w:rPr>
            </w:pPr>
            <w:r>
              <w:rPr>
                <w:rFonts w:hint="eastAsia" w:ascii="宋体" w:hAnsi="宋体" w:cs="宋体"/>
                <w:color w:val="auto"/>
                <w:szCs w:val="21"/>
              </w:rPr>
              <w:t>20.1</w:t>
            </w:r>
          </w:p>
        </w:tc>
        <w:tc>
          <w:tcPr>
            <w:tcW w:w="7912" w:type="dxa"/>
            <w:noWrap w:val="0"/>
            <w:vAlign w:val="center"/>
          </w:tcPr>
          <w:p w14:paraId="72DA5312">
            <w:pPr>
              <w:spacing w:line="360" w:lineRule="auto"/>
              <w:contextualSpacing/>
              <w:jc w:val="left"/>
              <w:rPr>
                <w:rFonts w:hint="eastAsia" w:ascii="宋体" w:hAnsi="宋体" w:cs="宋体"/>
                <w:color w:val="auto"/>
                <w:szCs w:val="21"/>
                <w:u w:val="single"/>
              </w:rPr>
            </w:pPr>
            <w:r>
              <w:rPr>
                <w:rFonts w:hint="eastAsia" w:ascii="宋体" w:hAnsi="宋体" w:cs="宋体"/>
                <w:color w:val="auto"/>
                <w:szCs w:val="21"/>
              </w:rPr>
              <w:t>响应文件提交截止时间：详见竞争性磋商公告。</w:t>
            </w:r>
          </w:p>
          <w:p w14:paraId="0654CD45">
            <w:pPr>
              <w:spacing w:line="360" w:lineRule="auto"/>
              <w:contextualSpacing/>
              <w:jc w:val="left"/>
              <w:rPr>
                <w:rFonts w:hint="eastAsia" w:ascii="宋体" w:hAnsi="宋体" w:cs="宋体"/>
                <w:color w:val="auto"/>
                <w:szCs w:val="21"/>
              </w:rPr>
            </w:pPr>
            <w:r>
              <w:rPr>
                <w:rFonts w:hint="eastAsia" w:ascii="宋体" w:hAnsi="宋体" w:cs="宋体"/>
                <w:color w:val="auto"/>
                <w:szCs w:val="21"/>
              </w:rPr>
              <w:t>响应文件提交地点：详见竞争性磋商公告。</w:t>
            </w:r>
          </w:p>
        </w:tc>
      </w:tr>
      <w:tr w14:paraId="74A73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4091334">
            <w:pPr>
              <w:spacing w:line="360" w:lineRule="auto"/>
              <w:jc w:val="center"/>
              <w:rPr>
                <w:rFonts w:hint="eastAsia" w:ascii="宋体" w:hAnsi="宋体" w:cs="宋体"/>
                <w:color w:val="auto"/>
                <w:szCs w:val="21"/>
              </w:rPr>
            </w:pPr>
            <w:r>
              <w:rPr>
                <w:rFonts w:hint="eastAsia" w:ascii="宋体" w:hAnsi="宋体" w:cs="宋体"/>
                <w:color w:val="auto"/>
                <w:szCs w:val="21"/>
              </w:rPr>
              <w:t>24.1</w:t>
            </w:r>
          </w:p>
        </w:tc>
        <w:tc>
          <w:tcPr>
            <w:tcW w:w="7912" w:type="dxa"/>
            <w:noWrap w:val="0"/>
            <w:vAlign w:val="center"/>
          </w:tcPr>
          <w:p w14:paraId="59BAF21F">
            <w:pPr>
              <w:snapToGrid w:val="0"/>
              <w:spacing w:line="360" w:lineRule="auto"/>
              <w:jc w:val="left"/>
              <w:rPr>
                <w:rFonts w:hint="eastAsia"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3</w:t>
            </w:r>
            <w:r>
              <w:rPr>
                <w:rFonts w:hint="eastAsia" w:ascii="宋体" w:hAnsi="宋体" w:cs="宋体"/>
                <w:color w:val="auto"/>
                <w:szCs w:val="21"/>
              </w:rPr>
              <w:t>人。</w:t>
            </w:r>
          </w:p>
        </w:tc>
      </w:tr>
      <w:tr w14:paraId="7AF45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720C283">
            <w:pPr>
              <w:spacing w:line="360" w:lineRule="auto"/>
              <w:jc w:val="center"/>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7912" w:type="dxa"/>
            <w:noWrap w:val="0"/>
            <w:vAlign w:val="center"/>
          </w:tcPr>
          <w:p w14:paraId="4FAA62C1">
            <w:pPr>
              <w:snapToGrid w:val="0"/>
              <w:spacing w:line="360" w:lineRule="auto"/>
              <w:jc w:val="left"/>
              <w:rPr>
                <w:rFonts w:hint="eastAsia" w:ascii="宋体" w:hAnsi="宋体" w:cs="宋体"/>
                <w:color w:val="auto"/>
                <w:szCs w:val="21"/>
              </w:rPr>
            </w:pPr>
            <w:r>
              <w:rPr>
                <w:rFonts w:hint="eastAsia" w:ascii="宋体" w:hAnsi="宋体" w:cs="宋体"/>
                <w:color w:val="auto"/>
                <w:szCs w:val="21"/>
              </w:rPr>
              <w:t>首次响应文件开启时间详见“竞争性磋商公告”</w:t>
            </w:r>
          </w:p>
          <w:p w14:paraId="745042D0">
            <w:pPr>
              <w:snapToGrid w:val="0"/>
              <w:spacing w:line="360" w:lineRule="auto"/>
              <w:jc w:val="left"/>
              <w:rPr>
                <w:rFonts w:hint="eastAsia" w:ascii="宋体" w:hAnsi="宋体" w:cs="宋体"/>
                <w:color w:val="auto"/>
                <w:szCs w:val="21"/>
              </w:rPr>
            </w:pPr>
            <w:r>
              <w:rPr>
                <w:rFonts w:hint="eastAsia" w:ascii="宋体" w:hAnsi="宋体" w:cs="宋体"/>
                <w:color w:val="auto"/>
                <w:szCs w:val="21"/>
              </w:rPr>
              <w:t>首次响应文件解密时间：</w:t>
            </w:r>
            <w:r>
              <w:rPr>
                <w:rFonts w:hint="eastAsia" w:ascii="宋体" w:hAnsi="宋体" w:cs="宋体"/>
                <w:color w:val="auto"/>
                <w:u w:val="single"/>
              </w:rPr>
              <w:t>30</w:t>
            </w:r>
            <w:r>
              <w:rPr>
                <w:rFonts w:hint="eastAsia" w:hAnsi="宋体"/>
                <w:color w:val="auto"/>
              </w:rPr>
              <w:t>分钟</w:t>
            </w:r>
          </w:p>
        </w:tc>
      </w:tr>
      <w:tr w14:paraId="79645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065CB8F">
            <w:pPr>
              <w:spacing w:line="360" w:lineRule="auto"/>
              <w:jc w:val="center"/>
              <w:rPr>
                <w:rFonts w:hint="eastAsia" w:ascii="宋体" w:hAnsi="宋体" w:cs="宋体"/>
                <w:color w:val="auto"/>
                <w:szCs w:val="21"/>
              </w:rPr>
            </w:pPr>
            <w:r>
              <w:rPr>
                <w:rFonts w:ascii="宋体" w:hAnsi="宋体" w:cs="宋体"/>
                <w:color w:val="auto"/>
                <w:szCs w:val="21"/>
              </w:rPr>
              <w:t>28.1</w:t>
            </w:r>
          </w:p>
        </w:tc>
        <w:tc>
          <w:tcPr>
            <w:tcW w:w="7912" w:type="dxa"/>
            <w:noWrap w:val="0"/>
            <w:vAlign w:val="center"/>
          </w:tcPr>
          <w:p w14:paraId="27CAEF79">
            <w:pPr>
              <w:spacing w:line="360" w:lineRule="auto"/>
              <w:contextualSpacing/>
              <w:rPr>
                <w:rFonts w:hint="eastAsia" w:ascii="宋体" w:hAnsi="宋体" w:cs="宋体"/>
                <w:color w:val="auto"/>
                <w:szCs w:val="21"/>
              </w:rPr>
            </w:pPr>
            <w:r>
              <w:rPr>
                <w:rFonts w:hint="eastAsia" w:ascii="宋体" w:hAnsi="宋体"/>
                <w:color w:val="auto"/>
                <w:szCs w:val="21"/>
              </w:rPr>
              <w:sym w:font="Wingdings 2" w:char="0052"/>
            </w:r>
            <w:r>
              <w:rPr>
                <w:rFonts w:hint="eastAsia" w:ascii="宋体" w:hAnsi="宋体"/>
                <w:color w:val="auto"/>
                <w:szCs w:val="21"/>
              </w:rPr>
              <w:t>本项目不收取履约保证金。</w:t>
            </w:r>
          </w:p>
        </w:tc>
      </w:tr>
      <w:tr w14:paraId="5B2E5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2BE040C">
            <w:pPr>
              <w:spacing w:line="360" w:lineRule="auto"/>
              <w:jc w:val="center"/>
              <w:rPr>
                <w:rFonts w:hint="eastAsia" w:ascii="宋体" w:hAnsi="宋体" w:cs="宋体"/>
                <w:color w:val="auto"/>
                <w:szCs w:val="21"/>
              </w:rPr>
            </w:pPr>
            <w:r>
              <w:rPr>
                <w:rFonts w:ascii="宋体" w:hAnsi="宋体" w:cs="宋体"/>
                <w:color w:val="auto"/>
                <w:szCs w:val="21"/>
              </w:rPr>
              <w:t>29.1</w:t>
            </w:r>
          </w:p>
        </w:tc>
        <w:tc>
          <w:tcPr>
            <w:tcW w:w="7912" w:type="dxa"/>
            <w:noWrap w:val="0"/>
            <w:vAlign w:val="center"/>
          </w:tcPr>
          <w:p w14:paraId="3C6090D4">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 xml:space="preserve">签订合同携带的证明材料： </w:t>
            </w:r>
          </w:p>
          <w:p w14:paraId="64A394CF">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7CAAFC0C">
            <w:pPr>
              <w:snapToGrid w:val="0"/>
              <w:spacing w:line="360" w:lineRule="auto"/>
              <w:rPr>
                <w:rFonts w:hint="eastAsia"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2A1A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785B99D">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noWrap w:val="0"/>
            <w:vAlign w:val="center"/>
          </w:tcPr>
          <w:p w14:paraId="26F13ECD">
            <w:pPr>
              <w:snapToGrid w:val="0"/>
              <w:spacing w:line="360" w:lineRule="auto"/>
              <w:rPr>
                <w:rFonts w:hint="eastAsia" w:ascii="宋体" w:hAnsi="宋体" w:cs="宋体"/>
                <w:color w:val="auto"/>
                <w:szCs w:val="21"/>
              </w:rPr>
            </w:pPr>
            <w:r>
              <w:rPr>
                <w:rFonts w:hint="eastAsia" w:ascii="宋体" w:hAnsi="宋体" w:cs="宋体"/>
                <w:color w:val="auto"/>
                <w:szCs w:val="21"/>
              </w:rPr>
              <w:t>接收质疑函方式：书面形式或者广西政府采购云平台系统在线形式</w:t>
            </w:r>
          </w:p>
          <w:p w14:paraId="3A49ECCC">
            <w:pPr>
              <w:pStyle w:val="27"/>
              <w:snapToGrid w:val="0"/>
              <w:spacing w:line="360" w:lineRule="auto"/>
              <w:rPr>
                <w:rFonts w:hint="eastAsia" w:hAnsi="宋体" w:cs="宋体"/>
                <w:color w:val="auto"/>
                <w:sz w:val="21"/>
              </w:rPr>
            </w:pPr>
            <w:r>
              <w:rPr>
                <w:rFonts w:hint="eastAsia" w:hAnsi="宋体" w:cs="宋体"/>
                <w:color w:val="auto"/>
                <w:sz w:val="21"/>
              </w:rPr>
              <w:t>质疑联系部门：云之龙咨询集团有限公司岑溪分公司</w:t>
            </w:r>
          </w:p>
          <w:p w14:paraId="0FFF5646">
            <w:pPr>
              <w:pStyle w:val="27"/>
              <w:snapToGrid w:val="0"/>
              <w:spacing w:line="360" w:lineRule="auto"/>
              <w:rPr>
                <w:rFonts w:hint="eastAsia" w:hAnsi="宋体" w:cs="宋体"/>
                <w:color w:val="auto"/>
                <w:sz w:val="21"/>
              </w:rPr>
            </w:pPr>
            <w:r>
              <w:rPr>
                <w:rFonts w:hint="eastAsia" w:hAnsi="宋体" w:cs="宋体"/>
                <w:color w:val="auto"/>
                <w:sz w:val="21"/>
              </w:rPr>
              <w:t xml:space="preserve">联系电话：0774-8219456           </w:t>
            </w:r>
          </w:p>
          <w:p w14:paraId="27F8A87A">
            <w:pPr>
              <w:pStyle w:val="27"/>
              <w:snapToGrid w:val="0"/>
              <w:spacing w:line="360" w:lineRule="auto"/>
              <w:rPr>
                <w:rFonts w:hint="eastAsia" w:hAnsi="宋体" w:cs="宋体"/>
                <w:color w:val="auto"/>
                <w:sz w:val="21"/>
              </w:rPr>
            </w:pPr>
            <w:r>
              <w:rPr>
                <w:rFonts w:hint="eastAsia" w:hAnsi="宋体" w:cs="宋体"/>
                <w:color w:val="auto"/>
                <w:sz w:val="21"/>
              </w:rPr>
              <w:t xml:space="preserve">通讯地址：云之龙咨询集团有限公司（岑溪市岑城镇城东路118号） </w:t>
            </w:r>
          </w:p>
          <w:p w14:paraId="4227A175">
            <w:pPr>
              <w:autoSpaceDE w:val="0"/>
              <w:autoSpaceDN w:val="0"/>
              <w:snapToGrid w:val="0"/>
              <w:spacing w:line="360" w:lineRule="auto"/>
              <w:textAlignment w:val="bottom"/>
              <w:rPr>
                <w:rFonts w:hint="eastAsia" w:ascii="宋体" w:hAnsi="宋体"/>
                <w:color w:val="auto"/>
                <w:szCs w:val="21"/>
              </w:rPr>
            </w:pPr>
            <w:r>
              <w:rPr>
                <w:rFonts w:hint="eastAsia" w:ascii="宋体" w:hAnsi="宋体" w:cs="宋体"/>
                <w:color w:val="auto"/>
                <w:szCs w:val="21"/>
              </w:rPr>
              <w:t>业务时间：工作日每天上午8时00分到12时00分，下午3时00分到6时00分。</w:t>
            </w:r>
          </w:p>
        </w:tc>
      </w:tr>
      <w:tr w14:paraId="33DFF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9F33A29">
            <w:pPr>
              <w:spacing w:line="360" w:lineRule="auto"/>
              <w:jc w:val="center"/>
              <w:rPr>
                <w:rFonts w:hint="eastAsia" w:ascii="宋体" w:hAnsi="宋体" w:cs="宋体"/>
                <w:color w:val="auto"/>
                <w:szCs w:val="21"/>
              </w:rPr>
            </w:pPr>
            <w:r>
              <w:rPr>
                <w:rFonts w:ascii="宋体" w:hAnsi="宋体" w:cs="宋体"/>
                <w:color w:val="auto"/>
                <w:szCs w:val="21"/>
              </w:rPr>
              <w:t>32.1</w:t>
            </w:r>
          </w:p>
        </w:tc>
        <w:tc>
          <w:tcPr>
            <w:tcW w:w="7912" w:type="dxa"/>
            <w:noWrap w:val="0"/>
            <w:vAlign w:val="center"/>
          </w:tcPr>
          <w:p w14:paraId="0E0E4AEE">
            <w:pPr>
              <w:pStyle w:val="27"/>
              <w:snapToGrid w:val="0"/>
              <w:spacing w:line="360" w:lineRule="auto"/>
              <w:rPr>
                <w:rFonts w:hint="eastAsia" w:hAnsi="宋体" w:cs="宋体"/>
                <w:color w:val="auto"/>
                <w:sz w:val="21"/>
              </w:rPr>
            </w:pPr>
            <w:r>
              <w:rPr>
                <w:rFonts w:hint="eastAsia" w:hAnsi="宋体" w:cs="宋体"/>
                <w:color w:val="auto"/>
                <w:sz w:val="21"/>
              </w:rPr>
              <w:t>1.采购代理费支付方式：</w:t>
            </w:r>
          </w:p>
          <w:p w14:paraId="15C61564">
            <w:pPr>
              <w:pStyle w:val="27"/>
              <w:snapToGrid w:val="0"/>
              <w:spacing w:line="360" w:lineRule="auto"/>
              <w:rPr>
                <w:rFonts w:hint="eastAsia" w:hAnsi="宋体" w:cs="宋体"/>
                <w:color w:val="auto"/>
                <w:sz w:val="21"/>
              </w:rPr>
            </w:pPr>
            <w:r>
              <w:rPr>
                <w:rFonts w:hint="eastAsia" w:hAnsi="宋体" w:cs="宋体"/>
                <w:color w:val="auto"/>
                <w:sz w:val="21"/>
              </w:rPr>
              <w:t>本项目代理服务费在成交公告发布后7日内，由成交供应商一次性向采购代理机构支付。</w:t>
            </w:r>
          </w:p>
          <w:p w14:paraId="2BD4817B">
            <w:pPr>
              <w:pStyle w:val="27"/>
              <w:snapToGrid w:val="0"/>
              <w:spacing w:line="360" w:lineRule="auto"/>
              <w:rPr>
                <w:rFonts w:hint="eastAsia" w:hAnsi="宋体" w:cs="宋体"/>
                <w:color w:val="auto"/>
                <w:sz w:val="21"/>
              </w:rPr>
            </w:pPr>
            <w:r>
              <w:rPr>
                <w:rFonts w:hint="eastAsia" w:hAnsi="宋体" w:cs="宋体"/>
                <w:color w:val="auto"/>
                <w:sz w:val="21"/>
              </w:rPr>
              <w:t>2.采购代理费收取标准：</w:t>
            </w:r>
          </w:p>
          <w:p w14:paraId="2D18D91A">
            <w:pPr>
              <w:pStyle w:val="27"/>
              <w:snapToGrid w:val="0"/>
              <w:spacing w:line="360" w:lineRule="auto"/>
              <w:rPr>
                <w:rFonts w:hint="eastAsia" w:hAnsi="宋体" w:cs="宋体"/>
                <w:color w:val="auto"/>
                <w:sz w:val="21"/>
              </w:rPr>
            </w:pPr>
            <w:r>
              <w:rPr>
                <w:rFonts w:hint="eastAsia" w:hAnsi="宋体" w:cs="宋体"/>
                <w:color w:val="auto"/>
                <w:sz w:val="21"/>
              </w:rPr>
              <w:sym w:font="Wingdings 2" w:char="00A3"/>
            </w:r>
            <w:r>
              <w:rPr>
                <w:rFonts w:hint="eastAsia" w:hAnsi="宋体" w:cs="宋体"/>
                <w:color w:val="auto"/>
                <w:sz w:val="21"/>
              </w:rPr>
              <w:t>以本项目（</w:t>
            </w:r>
            <w:r>
              <w:rPr>
                <w:rFonts w:hint="eastAsia" w:hAnsi="宋体" w:cs="宋体"/>
                <w:color w:val="auto"/>
                <w:sz w:val="21"/>
              </w:rPr>
              <w:sym w:font="Wingdings 2" w:char="00A3"/>
            </w:r>
            <w:r>
              <w:rPr>
                <w:rFonts w:hint="eastAsia" w:hAnsi="宋体" w:cs="宋体"/>
                <w:color w:val="auto"/>
                <w:sz w:val="21"/>
              </w:rPr>
              <w:t>成交金额/□采购预算/□暂定中标金额/□其他</w:t>
            </w:r>
            <w:r>
              <w:rPr>
                <w:rFonts w:hint="eastAsia" w:hAnsi="宋体" w:cs="宋体"/>
                <w:color w:val="auto"/>
                <w:sz w:val="21"/>
                <w:u w:val="single"/>
              </w:rPr>
              <w:t xml:space="preserve">   </w:t>
            </w:r>
            <w:r>
              <w:rPr>
                <w:rFonts w:hint="eastAsia" w:hAnsi="宋体" w:cs="宋体"/>
                <w:color w:val="auto"/>
                <w:sz w:val="21"/>
              </w:rPr>
              <w:t>）为计费额，按本须知正文第32.2条规定的收费计算标准（工程招标）采用差额定率累进法计算。</w:t>
            </w:r>
          </w:p>
          <w:p w14:paraId="444EBAF3">
            <w:pPr>
              <w:pStyle w:val="27"/>
              <w:snapToGrid w:val="0"/>
              <w:spacing w:line="360" w:lineRule="auto"/>
              <w:rPr>
                <w:color w:val="auto"/>
              </w:rPr>
            </w:pPr>
            <w:r>
              <w:rPr>
                <w:rFonts w:hint="eastAsia" w:hAnsi="宋体" w:cs="宋体"/>
                <w:color w:val="auto"/>
                <w:sz w:val="21"/>
              </w:rPr>
              <w:t>☑固定采购代理服务费：</w:t>
            </w:r>
            <w:r>
              <w:rPr>
                <w:rFonts w:hint="eastAsia" w:hAnsi="宋体" w:cs="宋体"/>
                <w:color w:val="auto"/>
                <w:sz w:val="21"/>
                <w:u w:val="single"/>
                <w:lang w:val="en-US" w:eastAsia="zh-CN"/>
              </w:rPr>
              <w:t>壹万柒仟肆佰贰拾元玖角伍分</w:t>
            </w:r>
            <w:r>
              <w:rPr>
                <w:rFonts w:hint="eastAsia" w:hAnsi="宋体" w:cs="宋体"/>
                <w:color w:val="auto"/>
                <w:sz w:val="21"/>
                <w:u w:val="single"/>
              </w:rPr>
              <w:t>（¥</w:t>
            </w:r>
            <w:r>
              <w:rPr>
                <w:rFonts w:hint="eastAsia" w:hAnsi="宋体" w:cs="宋体"/>
                <w:color w:val="auto"/>
                <w:sz w:val="21"/>
                <w:u w:val="single"/>
                <w:lang w:val="en-US" w:eastAsia="zh-CN"/>
              </w:rPr>
              <w:t>17420.95</w:t>
            </w:r>
            <w:r>
              <w:rPr>
                <w:rFonts w:hint="eastAsia" w:hAnsi="宋体" w:cs="宋体"/>
                <w:color w:val="auto"/>
                <w:sz w:val="21"/>
                <w:u w:val="single"/>
              </w:rPr>
              <w:t>）</w:t>
            </w:r>
            <w:r>
              <w:rPr>
                <w:rFonts w:hint="eastAsia" w:hAnsi="宋体" w:cs="宋体"/>
                <w:color w:val="auto"/>
                <w:sz w:val="21"/>
              </w:rPr>
              <w:t>。</w:t>
            </w:r>
          </w:p>
          <w:p w14:paraId="1BCF6095">
            <w:pPr>
              <w:pStyle w:val="27"/>
              <w:snapToGrid w:val="0"/>
              <w:spacing w:line="360" w:lineRule="auto"/>
              <w:rPr>
                <w:rFonts w:hint="eastAsia" w:hAnsi="宋体" w:cs="宋体"/>
                <w:color w:val="auto"/>
                <w:sz w:val="21"/>
              </w:rPr>
            </w:pPr>
            <w:r>
              <w:rPr>
                <w:rFonts w:hint="eastAsia" w:hAnsi="宋体" w:cs="宋体"/>
                <w:color w:val="auto"/>
                <w:sz w:val="21"/>
              </w:rPr>
              <w:t>3. 采购代理费收取银行账户</w:t>
            </w:r>
          </w:p>
          <w:p w14:paraId="101C3E79">
            <w:pPr>
              <w:pStyle w:val="27"/>
              <w:snapToGrid w:val="0"/>
              <w:spacing w:line="360" w:lineRule="auto"/>
              <w:rPr>
                <w:rFonts w:hint="eastAsia" w:hAnsi="宋体" w:cs="宋体"/>
                <w:color w:val="auto"/>
                <w:sz w:val="21"/>
              </w:rPr>
            </w:pPr>
            <w:r>
              <w:rPr>
                <w:rFonts w:hint="eastAsia" w:hAnsi="宋体" w:cs="宋体"/>
                <w:color w:val="auto"/>
                <w:sz w:val="21"/>
              </w:rPr>
              <w:t>户名：云之龙咨询集团有限公司岑溪分公司</w:t>
            </w:r>
          </w:p>
          <w:p w14:paraId="5AEBB18D">
            <w:pPr>
              <w:pStyle w:val="27"/>
              <w:snapToGrid w:val="0"/>
              <w:spacing w:line="360" w:lineRule="auto"/>
              <w:rPr>
                <w:rFonts w:hint="eastAsia" w:hAnsi="宋体" w:cs="宋体"/>
                <w:color w:val="auto"/>
                <w:sz w:val="21"/>
              </w:rPr>
            </w:pPr>
            <w:r>
              <w:rPr>
                <w:rFonts w:hint="eastAsia" w:hAnsi="宋体" w:cs="宋体"/>
                <w:color w:val="auto"/>
                <w:sz w:val="21"/>
              </w:rPr>
              <w:t>账号：8113001012600159946</w:t>
            </w:r>
          </w:p>
          <w:p w14:paraId="6767F385">
            <w:pPr>
              <w:pStyle w:val="27"/>
              <w:snapToGrid w:val="0"/>
              <w:spacing w:line="360" w:lineRule="auto"/>
              <w:rPr>
                <w:rFonts w:hint="eastAsia" w:hAnsi="宋体" w:cs="宋体"/>
                <w:color w:val="auto"/>
                <w:sz w:val="21"/>
              </w:rPr>
            </w:pPr>
            <w:r>
              <w:rPr>
                <w:rFonts w:hint="eastAsia" w:hAnsi="宋体" w:cs="宋体"/>
                <w:color w:val="auto"/>
                <w:sz w:val="21"/>
              </w:rPr>
              <w:t>开户行：中信银行南宁东葛支行</w:t>
            </w:r>
          </w:p>
        </w:tc>
      </w:tr>
      <w:tr w14:paraId="6E68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26ED0E2">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noWrap w:val="0"/>
            <w:vAlign w:val="center"/>
          </w:tcPr>
          <w:p w14:paraId="18DFFDA2">
            <w:pPr>
              <w:pStyle w:val="27"/>
              <w:snapToGrid w:val="0"/>
              <w:spacing w:line="360" w:lineRule="auto"/>
              <w:rPr>
                <w:rFonts w:hint="eastAsia" w:hAnsi="宋体" w:cs="宋体"/>
                <w:color w:val="auto"/>
                <w:kern w:val="2"/>
                <w:sz w:val="21"/>
              </w:rPr>
            </w:pPr>
            <w:r>
              <w:rPr>
                <w:rFonts w:hint="eastAsia" w:hAnsi="宋体"/>
                <w:color w:val="auto"/>
                <w:sz w:val="21"/>
              </w:rPr>
              <w:t>解释：</w:t>
            </w:r>
            <w:r>
              <w:rPr>
                <w:rFonts w:hAnsi="宋体"/>
                <w:color w:val="auto"/>
                <w:sz w:val="21"/>
              </w:rPr>
              <w:t>构成本</w:t>
            </w:r>
            <w:r>
              <w:rPr>
                <w:rFonts w:hint="eastAsia" w:hAnsi="宋体"/>
                <w:color w:val="auto"/>
                <w:sz w:val="21"/>
              </w:rPr>
              <w:t>磋商文件</w:t>
            </w:r>
            <w:r>
              <w:rPr>
                <w:rFonts w:hAnsi="宋体"/>
                <w:color w:val="auto"/>
                <w:sz w:val="21"/>
              </w:rPr>
              <w:t>的各个组成文件应互为解释，互为说明；除</w:t>
            </w:r>
            <w:r>
              <w:rPr>
                <w:rFonts w:hint="eastAsia" w:hAnsi="宋体"/>
                <w:color w:val="auto"/>
                <w:sz w:val="21"/>
              </w:rPr>
              <w:t>磋商文件</w:t>
            </w:r>
            <w:r>
              <w:rPr>
                <w:rFonts w:hAnsi="宋体"/>
                <w:color w:val="auto"/>
                <w:sz w:val="21"/>
              </w:rPr>
              <w:t>中有特别规定外，仅适用于</w:t>
            </w:r>
            <w:r>
              <w:rPr>
                <w:rFonts w:hint="eastAsia" w:hAnsi="宋体"/>
                <w:color w:val="auto"/>
                <w:sz w:val="21"/>
              </w:rPr>
              <w:t>竞标</w:t>
            </w:r>
            <w:r>
              <w:rPr>
                <w:rFonts w:hAnsi="宋体"/>
                <w:color w:val="auto"/>
                <w:sz w:val="21"/>
              </w:rPr>
              <w:t>阶段的规定，按</w:t>
            </w:r>
            <w:r>
              <w:rPr>
                <w:rFonts w:hint="eastAsia" w:hAnsi="宋体"/>
                <w:color w:val="auto"/>
                <w:sz w:val="21"/>
              </w:rPr>
              <w:t>更正公告（澄清公告）</w:t>
            </w:r>
            <w:r>
              <w:rPr>
                <w:rFonts w:hAnsi="宋体"/>
                <w:color w:val="auto"/>
                <w:sz w:val="21"/>
              </w:rPr>
              <w:t>、</w:t>
            </w:r>
            <w:r>
              <w:rPr>
                <w:rFonts w:hint="eastAsia" w:hAnsi="宋体"/>
                <w:color w:val="auto"/>
                <w:sz w:val="21"/>
              </w:rPr>
              <w:t>竞争性磋商</w:t>
            </w:r>
            <w:r>
              <w:rPr>
                <w:rFonts w:hAnsi="宋体"/>
                <w:color w:val="auto"/>
                <w:sz w:val="21"/>
              </w:rPr>
              <w:t>公告、</w:t>
            </w:r>
            <w:r>
              <w:rPr>
                <w:rFonts w:hint="eastAsia" w:hAnsi="宋体"/>
                <w:color w:val="auto"/>
                <w:sz w:val="21"/>
              </w:rPr>
              <w:t>供应商</w:t>
            </w:r>
            <w:r>
              <w:rPr>
                <w:rFonts w:hAnsi="宋体"/>
                <w:color w:val="auto"/>
                <w:sz w:val="21"/>
              </w:rPr>
              <w:t>须知</w:t>
            </w:r>
            <w:r>
              <w:rPr>
                <w:rFonts w:hint="eastAsia" w:hAnsi="宋体"/>
                <w:color w:val="auto"/>
                <w:sz w:val="21"/>
              </w:rPr>
              <w:t>、采购需求</w:t>
            </w:r>
            <w:r>
              <w:rPr>
                <w:rFonts w:hAnsi="宋体"/>
                <w:color w:val="auto"/>
                <w:sz w:val="21"/>
              </w:rPr>
              <w:t>、</w:t>
            </w:r>
            <w:r>
              <w:rPr>
                <w:rFonts w:hint="eastAsia"/>
                <w:color w:val="auto"/>
                <w:sz w:val="21"/>
              </w:rPr>
              <w:t>评审程序、评审方法和评审标准</w:t>
            </w:r>
            <w:r>
              <w:rPr>
                <w:rFonts w:hAnsi="宋体"/>
                <w:color w:val="auto"/>
                <w:sz w:val="21"/>
              </w:rPr>
              <w:t>、</w:t>
            </w:r>
            <w:r>
              <w:rPr>
                <w:rFonts w:hint="eastAsia" w:hAnsi="宋体"/>
                <w:color w:val="auto"/>
                <w:sz w:val="21"/>
              </w:rPr>
              <w:t>响应</w:t>
            </w:r>
            <w:r>
              <w:rPr>
                <w:rFonts w:hAnsi="宋体"/>
                <w:color w:val="auto"/>
                <w:sz w:val="21"/>
              </w:rPr>
              <w:t>文件格式</w:t>
            </w:r>
            <w:r>
              <w:rPr>
                <w:rFonts w:hint="eastAsia" w:hAnsi="宋体"/>
                <w:color w:val="auto"/>
                <w:sz w:val="21"/>
              </w:rPr>
              <w:t>、合同文本</w:t>
            </w:r>
            <w:r>
              <w:rPr>
                <w:rFonts w:hAnsi="宋体"/>
                <w:color w:val="auto"/>
                <w:sz w:val="21"/>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rPr>
              <w:t>更正公告（澄清公告）</w:t>
            </w:r>
            <w:r>
              <w:rPr>
                <w:rFonts w:hAnsi="宋体"/>
                <w:color w:val="auto"/>
                <w:sz w:val="21"/>
              </w:rPr>
              <w:t>与同步更新的</w:t>
            </w:r>
            <w:r>
              <w:rPr>
                <w:rFonts w:hint="eastAsia" w:hAnsi="宋体"/>
                <w:color w:val="auto"/>
                <w:sz w:val="21"/>
              </w:rPr>
              <w:t>磋商文件</w:t>
            </w:r>
            <w:r>
              <w:rPr>
                <w:rFonts w:hAnsi="宋体"/>
                <w:color w:val="auto"/>
                <w:sz w:val="21"/>
              </w:rPr>
              <w:t>不一致时以</w:t>
            </w:r>
            <w:r>
              <w:rPr>
                <w:rFonts w:hint="eastAsia" w:hAnsi="宋体"/>
                <w:color w:val="auto"/>
                <w:sz w:val="21"/>
              </w:rPr>
              <w:t>更正公告（澄清公告）</w:t>
            </w:r>
            <w:r>
              <w:rPr>
                <w:rFonts w:hAnsi="宋体"/>
                <w:color w:val="auto"/>
                <w:sz w:val="21"/>
              </w:rPr>
              <w:t>为准。按本款前述规定仍不能形成结论的，由</w:t>
            </w:r>
            <w:r>
              <w:rPr>
                <w:rFonts w:hint="eastAsia" w:hAnsi="宋体"/>
                <w:color w:val="auto"/>
                <w:sz w:val="21"/>
              </w:rPr>
              <w:t>采购</w:t>
            </w:r>
            <w:r>
              <w:rPr>
                <w:rFonts w:hAnsi="宋体"/>
                <w:color w:val="auto"/>
                <w:sz w:val="21"/>
              </w:rPr>
              <w:t>人</w:t>
            </w:r>
            <w:r>
              <w:rPr>
                <w:rFonts w:hint="eastAsia" w:hAnsi="宋体"/>
                <w:color w:val="auto"/>
                <w:sz w:val="21"/>
              </w:rPr>
              <w:t>或者采购代理机构</w:t>
            </w:r>
            <w:r>
              <w:rPr>
                <w:rFonts w:hAnsi="宋体"/>
                <w:color w:val="auto"/>
                <w:sz w:val="21"/>
              </w:rPr>
              <w:t>负责解释。</w:t>
            </w:r>
          </w:p>
        </w:tc>
      </w:tr>
      <w:tr w14:paraId="4B96C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4E0829F">
            <w:pPr>
              <w:spacing w:line="360" w:lineRule="auto"/>
              <w:jc w:val="center"/>
              <w:rPr>
                <w:rFonts w:hint="eastAsia" w:ascii="宋体" w:hAnsi="宋体" w:cs="宋体"/>
                <w:color w:val="auto"/>
                <w:szCs w:val="21"/>
              </w:rPr>
            </w:pPr>
            <w:r>
              <w:rPr>
                <w:rFonts w:hint="eastAsia" w:ascii="宋体" w:hAnsi="宋体" w:cs="宋体"/>
                <w:color w:val="auto"/>
                <w:szCs w:val="21"/>
              </w:rPr>
              <w:t>33.2</w:t>
            </w:r>
          </w:p>
        </w:tc>
        <w:tc>
          <w:tcPr>
            <w:tcW w:w="7912" w:type="dxa"/>
            <w:noWrap w:val="0"/>
            <w:vAlign w:val="center"/>
          </w:tcPr>
          <w:p w14:paraId="54FAB1EA">
            <w:pPr>
              <w:pStyle w:val="27"/>
              <w:snapToGrid w:val="0"/>
              <w:spacing w:line="360" w:lineRule="auto"/>
              <w:rPr>
                <w:rFonts w:hint="eastAsia" w:hAnsi="宋体"/>
                <w:color w:val="auto"/>
                <w:sz w:val="21"/>
              </w:rPr>
            </w:pPr>
            <w:r>
              <w:rPr>
                <w:rFonts w:hint="eastAsia" w:hAnsi="宋体"/>
                <w:color w:val="auto"/>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4F8CD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C88CE43">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w:t>
            </w:r>
            <w:r>
              <w:rPr>
                <w:rFonts w:hint="eastAsia" w:ascii="宋体" w:hAnsi="宋体" w:cs="宋体"/>
                <w:color w:val="auto"/>
                <w:szCs w:val="21"/>
              </w:rPr>
              <w:t>3</w:t>
            </w:r>
          </w:p>
        </w:tc>
        <w:tc>
          <w:tcPr>
            <w:tcW w:w="7912" w:type="dxa"/>
            <w:noWrap w:val="0"/>
            <w:vAlign w:val="center"/>
          </w:tcPr>
          <w:p w14:paraId="2819611D">
            <w:pPr>
              <w:pStyle w:val="27"/>
              <w:snapToGrid w:val="0"/>
              <w:spacing w:line="360" w:lineRule="auto"/>
              <w:rPr>
                <w:rFonts w:hAnsi="宋体" w:cs="宋体"/>
                <w:color w:val="auto"/>
                <w:sz w:val="21"/>
              </w:rPr>
            </w:pPr>
            <w:r>
              <w:rPr>
                <w:rFonts w:hint="eastAsia" w:hAnsi="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F2EB7C0">
            <w:pPr>
              <w:pStyle w:val="27"/>
              <w:snapToGrid w:val="0"/>
              <w:spacing w:line="360" w:lineRule="auto"/>
              <w:rPr>
                <w:rFonts w:hint="eastAsia" w:hAnsi="宋体" w:cs="宋体"/>
                <w:color w:val="auto"/>
                <w:sz w:val="21"/>
              </w:rPr>
            </w:pPr>
            <w:r>
              <w:rPr>
                <w:rFonts w:hint="eastAsia" w:hAnsi="宋体" w:cs="宋体"/>
                <w:bCs/>
                <w:color w:val="auto"/>
                <w:sz w:val="21"/>
              </w:rPr>
              <w:t>2.本磋商文件所称的“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41E4ACA2">
            <w:pPr>
              <w:pStyle w:val="27"/>
              <w:snapToGrid w:val="0"/>
              <w:spacing w:line="360" w:lineRule="auto"/>
              <w:rPr>
                <w:rFonts w:hint="eastAsia" w:hAnsi="宋体" w:cs="宋体"/>
                <w:bCs/>
                <w:color w:val="auto"/>
                <w:sz w:val="21"/>
              </w:rPr>
            </w:pPr>
            <w:r>
              <w:rPr>
                <w:rFonts w:hAnsi="宋体" w:cs="宋体"/>
                <w:color w:val="auto"/>
                <w:sz w:val="21"/>
              </w:rPr>
              <w:t>3</w:t>
            </w:r>
            <w:r>
              <w:rPr>
                <w:rFonts w:hint="eastAsia" w:hAnsi="宋体" w:cs="宋体"/>
                <w:color w:val="auto"/>
                <w:sz w:val="21"/>
              </w:rPr>
              <w:t>.供应商为其他组织时，本磋商文件规定的法定代表人指负责人。本磋商文件所称负责人是指参加竞标的其他组织</w:t>
            </w:r>
            <w:r>
              <w:rPr>
                <w:rFonts w:hint="eastAsia" w:hAnsi="宋体" w:cs="宋体"/>
                <w:bCs/>
                <w:color w:val="auto"/>
                <w:sz w:val="21"/>
              </w:rPr>
              <w:t>营业执照或者执业许可证等证照上的</w:t>
            </w:r>
            <w:r>
              <w:rPr>
                <w:rFonts w:hint="eastAsia" w:hAnsi="宋体" w:cs="宋体"/>
                <w:color w:val="auto"/>
                <w:sz w:val="21"/>
              </w:rPr>
              <w:t>负责人</w:t>
            </w:r>
            <w:r>
              <w:rPr>
                <w:rFonts w:hint="eastAsia" w:hAnsi="宋体" w:cs="宋体"/>
                <w:bCs/>
                <w:color w:val="auto"/>
                <w:sz w:val="21"/>
              </w:rPr>
              <w:t>。</w:t>
            </w:r>
          </w:p>
          <w:p w14:paraId="216BEB15">
            <w:pPr>
              <w:pStyle w:val="27"/>
              <w:snapToGrid w:val="0"/>
              <w:spacing w:line="360" w:lineRule="auto"/>
              <w:rPr>
                <w:rFonts w:hAnsi="宋体" w:cs="宋体"/>
                <w:color w:val="auto"/>
                <w:sz w:val="21"/>
              </w:rPr>
            </w:pPr>
            <w:r>
              <w:rPr>
                <w:rFonts w:hAnsi="宋体" w:cs="宋体"/>
                <w:color w:val="auto"/>
                <w:sz w:val="21"/>
              </w:rPr>
              <w:t>4.</w:t>
            </w:r>
            <w:r>
              <w:rPr>
                <w:rFonts w:hint="eastAsia" w:hAnsi="宋体" w:cs="宋体"/>
                <w:color w:val="auto"/>
                <w:sz w:val="21"/>
              </w:rPr>
              <w:t>本磋商文件中描述供应商的“签字”是指供应商的法定代表人或者委托代理人亲自在文件规定签署处亲笔写上个人的名字的行为，私章、签字章、印鉴、影印等其他形式均不能代替亲笔签字。</w:t>
            </w:r>
          </w:p>
          <w:p w14:paraId="417000A4">
            <w:pPr>
              <w:pStyle w:val="27"/>
              <w:snapToGrid w:val="0"/>
              <w:spacing w:line="360" w:lineRule="auto"/>
              <w:rPr>
                <w:rFonts w:hint="eastAsia" w:hAnsi="宋体" w:cs="宋体"/>
                <w:color w:val="auto"/>
                <w:sz w:val="21"/>
              </w:rPr>
            </w:pPr>
            <w:r>
              <w:rPr>
                <w:rFonts w:hint="eastAsia" w:hAnsi="宋体" w:cs="宋体"/>
                <w:color w:val="auto"/>
                <w:sz w:val="21"/>
              </w:rPr>
              <w:t>5</w:t>
            </w:r>
            <w:r>
              <w:rPr>
                <w:rFonts w:hAnsi="宋体" w:cs="宋体"/>
                <w:color w:val="auto"/>
                <w:sz w:val="21"/>
              </w:rPr>
              <w:t>.</w:t>
            </w:r>
            <w:r>
              <w:rPr>
                <w:rFonts w:hint="eastAsia" w:hAnsi="宋体" w:cs="宋体"/>
                <w:color w:val="auto"/>
                <w:sz w:val="21"/>
              </w:rPr>
              <w:t>本磋商文件所称的“以上”“以下”“以内”“届满”，包括本数；所称的“不满”“超过”“以外”，不包括本数。</w:t>
            </w:r>
          </w:p>
        </w:tc>
      </w:tr>
    </w:tbl>
    <w:p w14:paraId="7A3A5E99">
      <w:pPr>
        <w:spacing w:line="360" w:lineRule="exact"/>
        <w:jc w:val="center"/>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421EC998">
      <w:pPr>
        <w:spacing w:line="360" w:lineRule="exact"/>
        <w:jc w:val="center"/>
        <w:rPr>
          <w:rFonts w:hint="eastAsia" w:ascii="宋体" w:hAnsi="宋体"/>
          <w:b/>
          <w:color w:val="auto"/>
          <w:sz w:val="32"/>
          <w:szCs w:val="32"/>
        </w:rPr>
      </w:pPr>
    </w:p>
    <w:p w14:paraId="314C6D05">
      <w:pPr>
        <w:spacing w:line="360" w:lineRule="exact"/>
        <w:jc w:val="center"/>
        <w:rPr>
          <w:rFonts w:hint="eastAsia" w:ascii="宋体" w:hAnsi="宋体"/>
          <w:b/>
          <w:color w:val="auto"/>
          <w:sz w:val="32"/>
          <w:szCs w:val="32"/>
        </w:rPr>
      </w:pPr>
      <w:r>
        <w:rPr>
          <w:rFonts w:hint="eastAsia" w:ascii="宋体" w:hAnsi="宋体"/>
          <w:b/>
          <w:color w:val="auto"/>
          <w:sz w:val="32"/>
          <w:szCs w:val="32"/>
        </w:rPr>
        <w:t>一、总则</w:t>
      </w:r>
    </w:p>
    <w:p w14:paraId="4118E2C4">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1.适用范围</w:t>
      </w:r>
    </w:p>
    <w:p w14:paraId="6DEE0CC7">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083D032E">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1.2本竞争性磋商文件（以下简称磋商文件）适用于本项目的所有采购程序和环节（法律、法规另有规定的，从其规定）</w:t>
      </w:r>
      <w:r>
        <w:rPr>
          <w:rFonts w:hint="eastAsia" w:ascii="宋体" w:hAnsi="宋体" w:cs="宋体"/>
          <w:color w:val="auto"/>
          <w:spacing w:val="-6"/>
          <w:szCs w:val="21"/>
        </w:rPr>
        <w:t>。</w:t>
      </w:r>
    </w:p>
    <w:p w14:paraId="1B444908">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2.定义</w:t>
      </w:r>
    </w:p>
    <w:p w14:paraId="18951BE8">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2.1“采购人”是指依法进行政府采购的国家机关、事业单位、团体组织。</w:t>
      </w:r>
    </w:p>
    <w:p w14:paraId="5DBB78CD">
      <w:pPr>
        <w:spacing w:line="360" w:lineRule="exact"/>
        <w:ind w:firstLine="420" w:firstLineChars="200"/>
        <w:rPr>
          <w:rFonts w:hint="eastAsia"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335EFDBA">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5B9ED03D">
      <w:pPr>
        <w:spacing w:line="360" w:lineRule="exact"/>
        <w:ind w:firstLine="420" w:firstLineChars="200"/>
        <w:rPr>
          <w:rFonts w:hint="eastAsia" w:ascii="宋体" w:hAnsi="宋体" w:cs="宋体"/>
          <w:color w:val="auto"/>
          <w:szCs w:val="21"/>
        </w:rPr>
      </w:pPr>
      <w:r>
        <w:rPr>
          <w:rFonts w:hint="eastAsia" w:ascii="宋体" w:hAnsi="宋体"/>
          <w:color w:val="auto"/>
          <w:szCs w:val="21"/>
        </w:rPr>
        <w:t>2.4“工程”是指建设工程，包括建筑物和构筑物的新建、改建、扩建、装修、拆除、修缮等。</w:t>
      </w:r>
    </w:p>
    <w:p w14:paraId="06AF658A">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“竞标”是指供应商按照本项目竞争性磋商公告或者邀请函规定的方式获取磋商文件、提交响应文件并希望获得标的的行为。</w:t>
      </w:r>
    </w:p>
    <w:p w14:paraId="28EFFE49">
      <w:pPr>
        <w:spacing w:line="360" w:lineRule="exact"/>
        <w:ind w:firstLine="420" w:firstLineChars="200"/>
        <w:contextualSpacing/>
        <w:rPr>
          <w:rFonts w:hint="eastAsia"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14:paraId="445A1AD9">
      <w:pPr>
        <w:spacing w:line="360" w:lineRule="exact"/>
        <w:ind w:firstLine="420" w:firstLineChars="200"/>
        <w:contextualSpacing/>
        <w:rPr>
          <w:rFonts w:hint="eastAsia" w:ascii="宋体" w:hAnsi="宋体" w:cs="宋体"/>
          <w:color w:val="auto"/>
          <w:szCs w:val="21"/>
        </w:rPr>
      </w:pPr>
      <w:r>
        <w:rPr>
          <w:rFonts w:hint="eastAsia" w:ascii="宋体" w:hAnsi="宋体" w:cs="宋体"/>
          <w:color w:val="auto"/>
          <w:szCs w:val="21"/>
        </w:rPr>
        <w:t>2.7“响应文件”是指：供应商根据本磋商文件要求，编制包含资格证明、报价、商务技术等所有内容的文件</w:t>
      </w:r>
      <w:r>
        <w:rPr>
          <w:rFonts w:hint="eastAsia" w:ascii="宋体" w:hAnsi="宋体" w:cs="宋体"/>
          <w:color w:val="auto"/>
          <w:spacing w:val="-6"/>
          <w:szCs w:val="21"/>
        </w:rPr>
        <w:t>。</w:t>
      </w:r>
    </w:p>
    <w:p w14:paraId="237F1E2B">
      <w:pPr>
        <w:spacing w:line="360" w:lineRule="exact"/>
        <w:ind w:firstLine="420" w:firstLineChars="200"/>
        <w:contextualSpacing/>
        <w:rPr>
          <w:rFonts w:hint="eastAsia" w:ascii="宋体" w:hAnsi="宋体" w:cs="宋体"/>
          <w:color w:val="auto"/>
          <w:szCs w:val="21"/>
        </w:rPr>
      </w:pPr>
      <w:r>
        <w:rPr>
          <w:rFonts w:hint="eastAsia" w:ascii="宋体" w:hAnsi="宋体" w:cs="宋体"/>
          <w:color w:val="auto"/>
          <w:szCs w:val="21"/>
        </w:rPr>
        <w:t>2.8“实质性要求”是指磋商文件中已经指明不满足则响应文件按无效处理的条款，或者不能负偏离的条款，或者采购需求中带“▲”的条款。</w:t>
      </w:r>
    </w:p>
    <w:p w14:paraId="6B239C61">
      <w:pPr>
        <w:spacing w:line="360" w:lineRule="exact"/>
        <w:ind w:firstLine="420" w:firstLineChars="200"/>
        <w:contextualSpacing/>
        <w:rPr>
          <w:rFonts w:ascii="宋体" w:hAnsi="宋体" w:cs="宋体"/>
          <w:color w:val="auto"/>
          <w:szCs w:val="21"/>
        </w:rPr>
      </w:pPr>
      <w:r>
        <w:rPr>
          <w:rFonts w:hint="eastAsia" w:ascii="宋体" w:hAnsi="宋体" w:cs="宋体"/>
          <w:color w:val="auto"/>
          <w:szCs w:val="21"/>
        </w:rPr>
        <w:t>2.9“正偏离”，是指响应文件对磋商文件“采购需求”中有关条款作出的响应优于条款要求并有利于采购人的情形。</w:t>
      </w:r>
    </w:p>
    <w:p w14:paraId="4123A811">
      <w:pPr>
        <w:spacing w:line="360" w:lineRule="exact"/>
        <w:ind w:firstLine="420" w:firstLineChars="200"/>
        <w:contextualSpacing/>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10“负偏离”，是指响应文件对磋商文件“采购需求”中有关条款作出的响应不满足条款要求，导致采购人要求不能得到满足的情形。</w:t>
      </w:r>
    </w:p>
    <w:p w14:paraId="3E831E56">
      <w:pPr>
        <w:spacing w:line="360" w:lineRule="exact"/>
        <w:ind w:firstLine="420" w:firstLineChars="200"/>
        <w:contextualSpacing/>
        <w:rPr>
          <w:rFonts w:hint="eastAsia" w:ascii="宋体" w:hAnsi="宋体" w:cs="宋体"/>
          <w:color w:val="auto"/>
          <w:szCs w:val="21"/>
        </w:rPr>
      </w:pPr>
      <w:r>
        <w:rPr>
          <w:rFonts w:hint="eastAsia" w:ascii="宋体" w:hAnsi="宋体" w:cs="宋体"/>
          <w:color w:val="auto"/>
          <w:szCs w:val="21"/>
        </w:rPr>
        <w:t>2.11“允许负偏离的条款”是指采购需求中的不属于“实质性要求”的条款。</w:t>
      </w:r>
    </w:p>
    <w:p w14:paraId="1F5CC2BD">
      <w:pPr>
        <w:spacing w:line="360" w:lineRule="exact"/>
        <w:ind w:firstLine="420" w:firstLineChars="200"/>
        <w:contextualSpacing/>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1</w:t>
      </w:r>
      <w:r>
        <w:rPr>
          <w:rFonts w:hint="eastAsia" w:ascii="宋体" w:hAnsi="宋体" w:cs="宋体"/>
          <w:color w:val="auto"/>
          <w:szCs w:val="21"/>
        </w:rPr>
        <w:t>2“首次报价”是指供应商提交的首次响应文件中的报价。</w:t>
      </w:r>
    </w:p>
    <w:p w14:paraId="68396751">
      <w:pPr>
        <w:spacing w:line="360" w:lineRule="exact"/>
        <w:ind w:firstLine="482"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14:paraId="04FB7497">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3.1供应商的资格条件详见“供应商须知前附表”。</w:t>
      </w:r>
    </w:p>
    <w:p w14:paraId="07E9CC7D">
      <w:pPr>
        <w:spacing w:line="360" w:lineRule="exact"/>
        <w:ind w:firstLine="420" w:firstLineChars="200"/>
        <w:rPr>
          <w:rFonts w:hint="eastAsia" w:cs="宋体"/>
          <w:color w:val="auto"/>
        </w:rPr>
      </w:pPr>
      <w:r>
        <w:rPr>
          <w:rFonts w:hint="eastAsia" w:ascii="宋体" w:hAnsi="宋体" w:cs="宋体"/>
          <w:color w:val="auto"/>
          <w:szCs w:val="21"/>
        </w:rPr>
        <w:t>3.2供应商</w:t>
      </w:r>
      <w:r>
        <w:rPr>
          <w:rFonts w:hint="eastAsia" w:cs="宋体"/>
          <w:color w:val="auto"/>
        </w:rPr>
        <w:t>不得存在下列情形之一：</w:t>
      </w:r>
    </w:p>
    <w:p w14:paraId="0AE1C253">
      <w:pPr>
        <w:spacing w:line="360" w:lineRule="exact"/>
        <w:ind w:firstLine="420" w:firstLineChars="200"/>
        <w:rPr>
          <w:rFonts w:hint="eastAsia" w:ascii="宋体" w:hAnsi="宋体" w:cs="宋体"/>
          <w:color w:val="auto"/>
          <w:szCs w:val="21"/>
        </w:rPr>
      </w:pPr>
      <w:r>
        <w:rPr>
          <w:rFonts w:hint="eastAsia" w:cs="宋体"/>
          <w:color w:val="auto"/>
        </w:rPr>
        <w:t>（1）</w:t>
      </w:r>
      <w:r>
        <w:rPr>
          <w:rFonts w:hint="eastAsia" w:ascii="宋体" w:hAnsi="宋体" w:cs="宋体"/>
          <w:color w:val="auto"/>
          <w:szCs w:val="21"/>
        </w:rPr>
        <w:t>单位负责人为同一人或者存在直接控股、管理关系的不同供应商，不得参加同一合同项下的政府采购活动；</w:t>
      </w:r>
    </w:p>
    <w:p w14:paraId="7117637F">
      <w:pPr>
        <w:spacing w:line="360" w:lineRule="exact"/>
        <w:ind w:firstLine="420" w:firstLineChars="200"/>
        <w:rPr>
          <w:rFonts w:hint="eastAsia" w:cs="宋体"/>
          <w:color w:val="auto"/>
        </w:rPr>
      </w:pPr>
      <w:r>
        <w:rPr>
          <w:rFonts w:hint="eastAsia" w:ascii="宋体" w:hAnsi="宋体" w:cs="宋体"/>
          <w:color w:val="auto"/>
          <w:szCs w:val="21"/>
        </w:rPr>
        <w:t>（2）为本项目提供过整体设计、规范编制或者项目管理、监理、检测等服务的供应商，不得再参加本项目上述服务以外的其他采购活动；</w:t>
      </w:r>
    </w:p>
    <w:p w14:paraId="54875F7D">
      <w:pPr>
        <w:spacing w:line="360" w:lineRule="exact"/>
        <w:ind w:firstLine="420" w:firstLineChars="200"/>
        <w:rPr>
          <w:color w:val="auto"/>
        </w:rPr>
      </w:pPr>
      <w:r>
        <w:rPr>
          <w:rFonts w:hint="eastAsia" w:cs="宋体"/>
          <w:color w:val="auto"/>
        </w:rPr>
        <w:t>（</w:t>
      </w:r>
      <w:r>
        <w:rPr>
          <w:rFonts w:hint="eastAsia"/>
          <w:color w:val="auto"/>
        </w:rPr>
        <w:t>3</w:t>
      </w:r>
      <w:r>
        <w:rPr>
          <w:rFonts w:hint="eastAsia" w:cs="宋体"/>
          <w:color w:val="auto"/>
        </w:rPr>
        <w:t>）为本分标的代建人；</w:t>
      </w:r>
    </w:p>
    <w:p w14:paraId="150F2F0F">
      <w:pPr>
        <w:spacing w:line="360" w:lineRule="exact"/>
        <w:ind w:firstLine="420" w:firstLineChars="200"/>
        <w:rPr>
          <w:color w:val="auto"/>
        </w:rPr>
      </w:pPr>
      <w:r>
        <w:rPr>
          <w:rFonts w:hint="eastAsia" w:cs="宋体"/>
          <w:color w:val="auto"/>
        </w:rPr>
        <w:t>（</w:t>
      </w:r>
      <w:r>
        <w:rPr>
          <w:rFonts w:hint="eastAsia"/>
          <w:color w:val="auto"/>
        </w:rPr>
        <w:t>4</w:t>
      </w:r>
      <w:r>
        <w:rPr>
          <w:rFonts w:hint="eastAsia" w:cs="宋体"/>
          <w:color w:val="auto"/>
        </w:rPr>
        <w:t>）为本分标提供采购代理服务的；</w:t>
      </w:r>
    </w:p>
    <w:p w14:paraId="6CC8D74A">
      <w:pPr>
        <w:spacing w:line="360" w:lineRule="exact"/>
        <w:ind w:firstLine="420" w:firstLineChars="200"/>
        <w:rPr>
          <w:color w:val="auto"/>
        </w:rPr>
      </w:pPr>
      <w:r>
        <w:rPr>
          <w:rFonts w:hint="eastAsia" w:cs="宋体"/>
          <w:color w:val="auto"/>
        </w:rPr>
        <w:t>（</w:t>
      </w:r>
      <w:r>
        <w:rPr>
          <w:rFonts w:hint="eastAsia"/>
          <w:color w:val="auto"/>
        </w:rPr>
        <w:t>5</w:t>
      </w:r>
      <w:r>
        <w:rPr>
          <w:rFonts w:hint="eastAsia" w:cs="宋体"/>
          <w:color w:val="auto"/>
        </w:rPr>
        <w:t>）与本分标的监理人或代建人或采购代理机构同为一个法定代表人的；</w:t>
      </w:r>
    </w:p>
    <w:p w14:paraId="77C8FC76">
      <w:pPr>
        <w:spacing w:line="360" w:lineRule="exact"/>
        <w:ind w:firstLine="420" w:firstLineChars="200"/>
        <w:rPr>
          <w:color w:val="auto"/>
        </w:rPr>
      </w:pPr>
      <w:r>
        <w:rPr>
          <w:rFonts w:hint="eastAsia" w:cs="宋体"/>
          <w:color w:val="auto"/>
        </w:rPr>
        <w:t>（</w:t>
      </w:r>
      <w:r>
        <w:rPr>
          <w:rFonts w:hint="eastAsia"/>
          <w:color w:val="auto"/>
        </w:rPr>
        <w:t>6</w:t>
      </w:r>
      <w:r>
        <w:rPr>
          <w:rFonts w:hint="eastAsia" w:cs="宋体"/>
          <w:color w:val="auto"/>
        </w:rPr>
        <w:t>）与本分标的监理人或代建人或采购代理机构相互控股或参股的；</w:t>
      </w:r>
    </w:p>
    <w:p w14:paraId="1ED858D0">
      <w:pPr>
        <w:spacing w:line="360" w:lineRule="exact"/>
        <w:ind w:firstLine="420" w:firstLineChars="200"/>
        <w:rPr>
          <w:rFonts w:hint="eastAsia" w:cs="宋体"/>
          <w:color w:val="auto"/>
        </w:rPr>
      </w:pPr>
      <w:r>
        <w:rPr>
          <w:rFonts w:hint="eastAsia" w:cs="宋体"/>
          <w:color w:val="auto"/>
        </w:rPr>
        <w:t>（</w:t>
      </w:r>
      <w:r>
        <w:rPr>
          <w:rFonts w:hint="eastAsia"/>
          <w:color w:val="auto"/>
        </w:rPr>
        <w:t>7</w:t>
      </w:r>
      <w:r>
        <w:rPr>
          <w:rFonts w:hint="eastAsia" w:cs="宋体"/>
          <w:color w:val="auto"/>
        </w:rPr>
        <w:t>）与本分标的监理人或代建人或采购代理机构相互任职或工作的；</w:t>
      </w:r>
    </w:p>
    <w:p w14:paraId="7F12ED00">
      <w:pPr>
        <w:spacing w:line="360" w:lineRule="exact"/>
        <w:ind w:firstLine="420" w:firstLineChars="200"/>
        <w:rPr>
          <w:color w:val="auto"/>
        </w:rPr>
      </w:pPr>
      <w:r>
        <w:rPr>
          <w:rFonts w:hint="eastAsia" w:cs="宋体"/>
          <w:color w:val="auto"/>
        </w:rPr>
        <w:t>（8）在“信用中国”网站（www.creditchina.gov.cn） 、中国政府采购网（www.ccgp.gov.cn）被列入失信被执行人、重大税收违法失信主体、政府采购严重违法失信行为记录名单及其他不符合《中华人民共和国政府采购法》第二十二条规定条件的。</w:t>
      </w:r>
    </w:p>
    <w:p w14:paraId="2B3A4F1C">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4.竞标费用</w:t>
      </w:r>
    </w:p>
    <w:p w14:paraId="56FA2030">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68225E03">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5.联合体竞标</w:t>
      </w:r>
    </w:p>
    <w:p w14:paraId="2FAC3F9E">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5.1本项目是否接受联合体竞标，详见“供应商须知前附表”。</w:t>
      </w:r>
    </w:p>
    <w:p w14:paraId="14D837D4">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577DB80B">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5.3</w:t>
      </w:r>
      <w:bookmarkStart w:id="61" w:name="_Hlk66782192"/>
      <w:r>
        <w:rPr>
          <w:rFonts w:hint="eastAsia" w:ascii="宋体" w:hAnsi="宋体"/>
          <w:color w:val="auto"/>
          <w:szCs w:val="21"/>
        </w:rPr>
        <w:t>根据《政府采购促进中小企业发展管理办法》（财库〔2020〕46号）第九条第二款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的扣除，用扣除后的价格参加评审。</w:t>
      </w:r>
      <w:bookmarkEnd w:id="61"/>
    </w:p>
    <w:p w14:paraId="4E1C3CD0">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 xml:space="preserve">6.转包与分包             </w:t>
      </w:r>
    </w:p>
    <w:p w14:paraId="47373C37">
      <w:pPr>
        <w:pStyle w:val="9"/>
        <w:keepNext w:val="0"/>
        <w:keepLines w:val="0"/>
        <w:spacing w:before="0" w:after="0" w:line="360" w:lineRule="exact"/>
        <w:ind w:left="420" w:leftChars="200"/>
        <w:rPr>
          <w:rFonts w:hint="eastAsia" w:ascii="宋体" w:hAnsi="宋体"/>
          <w:b w:val="0"/>
          <w:color w:val="auto"/>
          <w:sz w:val="21"/>
          <w:szCs w:val="21"/>
        </w:rPr>
      </w:pPr>
      <w:bookmarkStart w:id="62" w:name="_Toc254970673"/>
      <w:bookmarkStart w:id="63" w:name="_Toc254970532"/>
      <w:r>
        <w:rPr>
          <w:rFonts w:hint="eastAsia" w:ascii="宋体" w:hAnsi="宋体"/>
          <w:b w:val="0"/>
          <w:color w:val="auto"/>
          <w:sz w:val="21"/>
          <w:szCs w:val="21"/>
        </w:rPr>
        <w:t>6.1本项目不允许转包。</w:t>
      </w:r>
    </w:p>
    <w:p w14:paraId="6D4C9125">
      <w:pPr>
        <w:pStyle w:val="9"/>
        <w:keepNext w:val="0"/>
        <w:keepLines w:val="0"/>
        <w:spacing w:before="0" w:after="0" w:line="360" w:lineRule="exact"/>
        <w:ind w:firstLine="315" w:firstLineChars="150"/>
        <w:rPr>
          <w:rFonts w:hint="eastAsia"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2D32E3D3">
      <w:pPr>
        <w:pStyle w:val="9"/>
        <w:keepNext w:val="0"/>
        <w:keepLines w:val="0"/>
        <w:spacing w:before="0" w:after="0" w:line="360" w:lineRule="exact"/>
        <w:ind w:firstLine="315" w:firstLineChars="150"/>
        <w:rPr>
          <w:rFonts w:hint="eastAsia" w:ascii="宋体" w:hAnsi="宋体"/>
          <w:b w:val="0"/>
          <w:color w:val="auto"/>
          <w:sz w:val="21"/>
          <w:szCs w:val="21"/>
        </w:rPr>
      </w:pPr>
      <w:r>
        <w:rPr>
          <w:rFonts w:hint="eastAsia" w:ascii="宋体" w:hAnsi="宋体"/>
          <w:b w:val="0"/>
          <w:color w:val="auto"/>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0BCF19FF">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7.特别说明</w:t>
      </w:r>
      <w:bookmarkEnd w:id="62"/>
      <w:bookmarkEnd w:id="63"/>
    </w:p>
    <w:p w14:paraId="71A07D77">
      <w:pPr>
        <w:spacing w:line="360" w:lineRule="exact"/>
        <w:ind w:firstLine="420" w:firstLineChars="200"/>
        <w:rPr>
          <w:rFonts w:hint="eastAsia" w:ascii="宋体" w:hAnsi="宋体" w:cs="宋体"/>
          <w:color w:val="auto"/>
          <w:szCs w:val="21"/>
        </w:rPr>
      </w:pPr>
      <w:bookmarkStart w:id="64" w:name="_8.1提供相同品牌产品且通过资格审查、符合性审查的不同投标人参加同一合"/>
      <w:bookmarkEnd w:id="64"/>
      <w:r>
        <w:rPr>
          <w:rFonts w:hint="eastAsia" w:ascii="宋体" w:hAnsi="宋体" w:cs="宋体"/>
          <w:color w:val="auto"/>
          <w:szCs w:val="21"/>
        </w:rPr>
        <w:t>7.</w:t>
      </w:r>
      <w:r>
        <w:rPr>
          <w:rFonts w:ascii="宋体" w:hAnsi="宋体" w:cs="宋体"/>
          <w:color w:val="auto"/>
          <w:szCs w:val="21"/>
        </w:rPr>
        <w:t>1</w:t>
      </w:r>
      <w:bookmarkStart w:id="65" w:name="_Hlk65832145"/>
      <w:r>
        <w:rPr>
          <w:rFonts w:hint="eastAsia" w:ascii="宋体" w:hAnsi="宋体"/>
          <w:color w:val="auto"/>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bookmarkEnd w:id="65"/>
    <w:p w14:paraId="1530AB7B">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2B7A6DDC">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130A8180">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045E2E24">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（1）参加采购活动前3年内与供应商存在劳动关系；</w:t>
      </w:r>
    </w:p>
    <w:p w14:paraId="1C64D6A4">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（2）参加采购活动前3年内担任供应商的董事、监事；</w:t>
      </w:r>
    </w:p>
    <w:p w14:paraId="7B7C3BE7">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（3）参加采购活动前3年内是供应商的控股股东或者实际控制人；</w:t>
      </w:r>
    </w:p>
    <w:p w14:paraId="1C9CF637">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2F3A4233">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（5）与供应商有其他可能影响政府采购活动公平、公正进行的关系。</w:t>
      </w:r>
    </w:p>
    <w:p w14:paraId="4DF9E5F6">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D3506CE">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7061ED10">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（1）不同供应商的响应文件由同一单位或者个人编制，或不同供应商报名的IP地址一致的；</w:t>
      </w:r>
    </w:p>
    <w:p w14:paraId="4CD95B93">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1C40C3D6">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0ADF788A">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7AF0203C">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6CAD15CF">
      <w:pPr>
        <w:tabs>
          <w:tab w:val="left" w:pos="6931"/>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31FF42B8">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11B6BAB3">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6975E96D">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4D3270A2">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3202D1D9">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4AE705A1">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20123B53">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67F55E10">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4A2E438F">
      <w:pPr>
        <w:spacing w:line="360" w:lineRule="exact"/>
        <w:ind w:firstLine="420" w:firstLineChars="200"/>
        <w:rPr>
          <w:rFonts w:hint="eastAsia" w:ascii="宋体" w:hAnsi="宋体" w:cs="宋体"/>
          <w:color w:val="auto"/>
          <w:szCs w:val="21"/>
        </w:rPr>
      </w:pPr>
    </w:p>
    <w:p w14:paraId="0D025501">
      <w:pPr>
        <w:spacing w:line="360" w:lineRule="exact"/>
        <w:ind w:left="1" w:firstLine="417" w:firstLineChars="199"/>
        <w:jc w:val="center"/>
        <w:rPr>
          <w:rFonts w:hint="eastAsia" w:ascii="宋体" w:hAnsi="宋体"/>
          <w:color w:val="auto"/>
        </w:rPr>
      </w:pPr>
      <w:bookmarkStart w:id="66" w:name="_Toc254970675"/>
      <w:bookmarkStart w:id="67" w:name="_Toc254970534"/>
    </w:p>
    <w:p w14:paraId="1B31BA32">
      <w:pPr>
        <w:spacing w:line="360" w:lineRule="exact"/>
        <w:jc w:val="center"/>
        <w:rPr>
          <w:rFonts w:hint="eastAsia" w:ascii="宋体" w:hAnsi="宋体"/>
          <w:b/>
          <w:bCs/>
          <w:color w:val="auto"/>
          <w:sz w:val="32"/>
          <w:szCs w:val="32"/>
        </w:rPr>
      </w:pPr>
      <w:r>
        <w:rPr>
          <w:rFonts w:hint="eastAsia" w:ascii="宋体" w:hAnsi="宋体"/>
          <w:b/>
          <w:bCs/>
          <w:color w:val="auto"/>
          <w:sz w:val="32"/>
          <w:szCs w:val="32"/>
        </w:rPr>
        <w:t>二、磋商文件</w:t>
      </w:r>
      <w:bookmarkEnd w:id="66"/>
      <w:bookmarkEnd w:id="67"/>
    </w:p>
    <w:p w14:paraId="73909280">
      <w:pPr>
        <w:spacing w:line="360" w:lineRule="exact"/>
        <w:rPr>
          <w:rFonts w:hint="eastAsia" w:ascii="宋体" w:hAnsi="宋体"/>
          <w:color w:val="auto"/>
          <w:szCs w:val="21"/>
        </w:rPr>
      </w:pPr>
    </w:p>
    <w:p w14:paraId="48FC4F4F">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8.磋商文件的构成</w:t>
      </w:r>
    </w:p>
    <w:p w14:paraId="471B4A7E">
      <w:pPr>
        <w:spacing w:line="360" w:lineRule="exact"/>
        <w:ind w:firstLine="420" w:firstLineChars="200"/>
        <w:jc w:val="left"/>
        <w:rPr>
          <w:rFonts w:hint="eastAsia" w:ascii="宋体" w:hAnsi="宋体"/>
          <w:color w:val="auto"/>
          <w:szCs w:val="21"/>
        </w:rPr>
      </w:pPr>
      <w:r>
        <w:rPr>
          <w:rFonts w:hint="eastAsia" w:ascii="宋体" w:hAnsi="宋体"/>
          <w:color w:val="auto"/>
          <w:szCs w:val="21"/>
        </w:rPr>
        <w:t>第一章  竞争性磋商公告；</w:t>
      </w:r>
    </w:p>
    <w:p w14:paraId="4CFB5737">
      <w:pPr>
        <w:spacing w:line="360" w:lineRule="exact"/>
        <w:ind w:firstLine="420" w:firstLineChars="200"/>
        <w:jc w:val="left"/>
        <w:rPr>
          <w:rFonts w:hint="eastAsia" w:ascii="宋体" w:hAnsi="宋体"/>
          <w:color w:val="auto"/>
          <w:szCs w:val="21"/>
        </w:rPr>
      </w:pPr>
      <w:r>
        <w:rPr>
          <w:rFonts w:hint="eastAsia" w:ascii="宋体" w:hAnsi="宋体"/>
          <w:color w:val="auto"/>
          <w:szCs w:val="21"/>
        </w:rPr>
        <w:t xml:space="preserve">第二章  供应商须知； </w:t>
      </w:r>
    </w:p>
    <w:p w14:paraId="1DD4CAE1">
      <w:pPr>
        <w:spacing w:line="360" w:lineRule="exact"/>
        <w:ind w:firstLine="420" w:firstLineChars="200"/>
        <w:jc w:val="left"/>
        <w:rPr>
          <w:rFonts w:hint="eastAsia" w:ascii="宋体" w:hAnsi="宋体"/>
          <w:color w:val="auto"/>
          <w:szCs w:val="21"/>
        </w:rPr>
      </w:pPr>
      <w:r>
        <w:rPr>
          <w:rFonts w:hint="eastAsia" w:ascii="宋体" w:hAnsi="宋体"/>
          <w:color w:val="auto"/>
          <w:szCs w:val="21"/>
        </w:rPr>
        <w:t>第三章  采购需求；</w:t>
      </w:r>
    </w:p>
    <w:p w14:paraId="06094B24">
      <w:pPr>
        <w:spacing w:line="360" w:lineRule="exact"/>
        <w:ind w:firstLine="420" w:firstLineChars="200"/>
        <w:jc w:val="left"/>
        <w:rPr>
          <w:rFonts w:hint="eastAsia" w:ascii="宋体" w:hAnsi="宋体"/>
          <w:color w:val="auto"/>
          <w:szCs w:val="21"/>
        </w:rPr>
      </w:pPr>
      <w:r>
        <w:rPr>
          <w:rFonts w:hint="eastAsia" w:ascii="宋体" w:hAnsi="宋体"/>
          <w:color w:val="auto"/>
          <w:szCs w:val="21"/>
        </w:rPr>
        <w:t>第四章  评审程序、评审方法和评审标准；</w:t>
      </w:r>
    </w:p>
    <w:p w14:paraId="38966377">
      <w:pPr>
        <w:spacing w:line="360" w:lineRule="exact"/>
        <w:ind w:firstLine="420" w:firstLineChars="200"/>
        <w:jc w:val="left"/>
        <w:rPr>
          <w:rFonts w:hint="eastAsia" w:ascii="宋体" w:hAnsi="宋体"/>
          <w:color w:val="auto"/>
          <w:szCs w:val="21"/>
        </w:rPr>
      </w:pPr>
      <w:r>
        <w:rPr>
          <w:rFonts w:hint="eastAsia" w:ascii="宋体" w:hAnsi="宋体"/>
          <w:color w:val="auto"/>
          <w:szCs w:val="21"/>
        </w:rPr>
        <w:t>第五章  工程量清单及图纸；</w:t>
      </w:r>
    </w:p>
    <w:p w14:paraId="68154277">
      <w:pPr>
        <w:spacing w:line="360" w:lineRule="exact"/>
        <w:ind w:firstLine="420" w:firstLineChars="200"/>
        <w:jc w:val="left"/>
        <w:rPr>
          <w:rFonts w:hint="eastAsia" w:ascii="宋体" w:hAnsi="宋体"/>
          <w:color w:val="auto"/>
          <w:szCs w:val="21"/>
        </w:rPr>
      </w:pPr>
      <w:r>
        <w:rPr>
          <w:rFonts w:hint="eastAsia" w:ascii="宋体" w:hAnsi="宋体"/>
          <w:color w:val="auto"/>
          <w:szCs w:val="21"/>
        </w:rPr>
        <w:t>第六章  响应文件格式；</w:t>
      </w:r>
    </w:p>
    <w:p w14:paraId="4ABCCC47">
      <w:pPr>
        <w:spacing w:line="360" w:lineRule="exact"/>
        <w:ind w:firstLine="420" w:firstLineChars="200"/>
        <w:jc w:val="left"/>
        <w:rPr>
          <w:rFonts w:hint="eastAsia" w:ascii="宋体" w:hAnsi="宋体"/>
          <w:color w:val="auto"/>
          <w:szCs w:val="21"/>
        </w:rPr>
      </w:pPr>
      <w:r>
        <w:rPr>
          <w:rFonts w:hint="eastAsia" w:ascii="宋体" w:hAnsi="宋体"/>
          <w:color w:val="auto"/>
          <w:szCs w:val="21"/>
        </w:rPr>
        <w:t>第七章  合同文本。</w:t>
      </w:r>
    </w:p>
    <w:p w14:paraId="1F8BDFF0">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9.供应商的询问</w:t>
      </w:r>
    </w:p>
    <w:p w14:paraId="6BCB9A95">
      <w:pPr>
        <w:spacing w:line="360" w:lineRule="exact"/>
        <w:ind w:firstLine="420" w:firstLineChars="200"/>
        <w:rPr>
          <w:rFonts w:hint="eastAsia"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45343B4F">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10.磋商文件的澄清和修改</w:t>
      </w:r>
    </w:p>
    <w:p w14:paraId="4B6EEEFC">
      <w:pPr>
        <w:spacing w:line="360" w:lineRule="exact"/>
        <w:ind w:firstLine="420" w:firstLineChars="200"/>
        <w:rPr>
          <w:rFonts w:hint="eastAsia" w:ascii="宋体" w:hAnsi="宋体"/>
          <w:color w:val="auto"/>
          <w:szCs w:val="21"/>
        </w:rPr>
      </w:pPr>
      <w:r>
        <w:rPr>
          <w:rFonts w:ascii="宋体" w:hAnsi="宋体"/>
          <w:color w:val="auto"/>
          <w:szCs w:val="21"/>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rPr>
        <w:t>采购人或者采购代理机构应当</w:t>
      </w:r>
      <w:r>
        <w:rPr>
          <w:rFonts w:ascii="宋体" w:hAnsi="宋体"/>
          <w:color w:val="auto"/>
          <w:szCs w:val="21"/>
        </w:rPr>
        <w:t>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6BF8028A">
      <w:pPr>
        <w:spacing w:line="360" w:lineRule="exact"/>
        <w:rPr>
          <w:rFonts w:hint="eastAsia" w:ascii="宋体" w:hAnsi="宋体"/>
          <w:color w:val="auto"/>
          <w:szCs w:val="21"/>
        </w:rPr>
      </w:pPr>
    </w:p>
    <w:p w14:paraId="42124E23">
      <w:pPr>
        <w:spacing w:line="360" w:lineRule="exact"/>
        <w:jc w:val="center"/>
        <w:rPr>
          <w:rFonts w:hint="eastAsia" w:ascii="宋体" w:hAnsi="宋体"/>
          <w:b/>
          <w:bCs/>
          <w:color w:val="auto"/>
          <w:szCs w:val="21"/>
        </w:rPr>
      </w:pPr>
      <w:r>
        <w:rPr>
          <w:rFonts w:hint="eastAsia" w:ascii="宋体" w:hAnsi="宋体"/>
          <w:b/>
          <w:bCs/>
          <w:color w:val="auto"/>
          <w:sz w:val="32"/>
          <w:szCs w:val="32"/>
        </w:rPr>
        <w:t>三、响应文件的编制</w:t>
      </w:r>
    </w:p>
    <w:p w14:paraId="0982A9B8">
      <w:pPr>
        <w:spacing w:line="360" w:lineRule="exact"/>
        <w:rPr>
          <w:rFonts w:hint="eastAsia" w:ascii="宋体" w:hAnsi="宋体"/>
          <w:color w:val="auto"/>
          <w:szCs w:val="21"/>
        </w:rPr>
      </w:pPr>
    </w:p>
    <w:p w14:paraId="721D43CB">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11.响应文件的编制原则</w:t>
      </w:r>
    </w:p>
    <w:p w14:paraId="18FCDB9F">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566E6B13">
      <w:pPr>
        <w:spacing w:line="360" w:lineRule="exact"/>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587CA401">
      <w:pPr>
        <w:spacing w:line="360" w:lineRule="exact"/>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12.1响应文件由资格证明文件、报价文件、商务技术文件三部分组成。</w:t>
      </w:r>
    </w:p>
    <w:p w14:paraId="051ED11B">
      <w:pPr>
        <w:spacing w:line="360" w:lineRule="exact"/>
        <w:ind w:left="840" w:leftChars="200" w:hanging="420" w:hangingChars="200"/>
        <w:rPr>
          <w:rFonts w:hint="eastAsia" w:ascii="宋体" w:hAnsi="宋体" w:cs="宋体"/>
          <w:color w:val="auto"/>
          <w:szCs w:val="21"/>
        </w:rPr>
      </w:pPr>
      <w:r>
        <w:rPr>
          <w:rFonts w:hint="eastAsia" w:ascii="宋体" w:hAnsi="宋体" w:cs="宋体"/>
          <w:color w:val="auto"/>
          <w:szCs w:val="21"/>
        </w:rPr>
        <w:t>12.1.1资格证明文件：详见“供应商须知前附表”</w:t>
      </w:r>
    </w:p>
    <w:p w14:paraId="5B42C95C">
      <w:pPr>
        <w:spacing w:line="360" w:lineRule="exact"/>
        <w:ind w:left="840" w:leftChars="200" w:hanging="420" w:hangingChars="200"/>
        <w:rPr>
          <w:rFonts w:hint="eastAsia" w:ascii="宋体" w:hAnsi="宋体" w:cs="宋体"/>
          <w:color w:val="auto"/>
          <w:szCs w:val="21"/>
        </w:rPr>
      </w:pPr>
      <w:r>
        <w:rPr>
          <w:rFonts w:hint="eastAsia" w:ascii="宋体" w:hAnsi="宋体" w:cs="宋体"/>
          <w:color w:val="auto"/>
          <w:szCs w:val="21"/>
        </w:rPr>
        <w:t>12.1.2报价文件：详见“供应商须知前附表”</w:t>
      </w:r>
    </w:p>
    <w:p w14:paraId="4C14D5BE">
      <w:pPr>
        <w:spacing w:line="360" w:lineRule="exact"/>
        <w:ind w:left="840" w:leftChars="200" w:hanging="420" w:hangingChars="200"/>
        <w:rPr>
          <w:rFonts w:hint="eastAsia" w:ascii="宋体" w:hAnsi="宋体" w:cs="宋体"/>
          <w:color w:val="auto"/>
          <w:szCs w:val="21"/>
        </w:rPr>
      </w:pPr>
      <w:r>
        <w:rPr>
          <w:rFonts w:hint="eastAsia" w:ascii="宋体" w:hAnsi="宋体" w:cs="宋体"/>
          <w:color w:val="auto"/>
          <w:szCs w:val="21"/>
        </w:rPr>
        <w:t>12.1.3商务技术文件：详见“供应商须知前附表”</w:t>
      </w:r>
    </w:p>
    <w:p w14:paraId="59C86956">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13.计量单位</w:t>
      </w:r>
    </w:p>
    <w:p w14:paraId="5BCC53D5">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4C028DB2">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14.竞标的风险</w:t>
      </w:r>
    </w:p>
    <w:p w14:paraId="1985DCA8">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04951EE0">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15.竞标报价</w:t>
      </w:r>
    </w:p>
    <w:p w14:paraId="198A9995">
      <w:pPr>
        <w:tabs>
          <w:tab w:val="left" w:pos="2492"/>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15.1竞标报价应按磋商文件第五章“工程量清单及图纸”的要求及第六章“响应文件格式”填写相应表格。</w:t>
      </w:r>
    </w:p>
    <w:p w14:paraId="448AB4F6">
      <w:pPr>
        <w:tabs>
          <w:tab w:val="left" w:pos="2492"/>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15.2竞标报价的内容见“供应商须知前附表”。</w:t>
      </w:r>
    </w:p>
    <w:p w14:paraId="3F6BC61E">
      <w:pPr>
        <w:tabs>
          <w:tab w:val="left" w:pos="2492"/>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15.3本项目的增值税计税方法见“供应商须知前附表”。</w:t>
      </w:r>
    </w:p>
    <w:p w14:paraId="622AB596">
      <w:pPr>
        <w:spacing w:line="360" w:lineRule="exact"/>
        <w:ind w:left="426" w:leftChars="203"/>
        <w:rPr>
          <w:rFonts w:hint="eastAsia" w:ascii="宋体" w:hAnsi="宋体" w:cs="宋体"/>
          <w:color w:val="auto"/>
          <w:szCs w:val="21"/>
        </w:rPr>
      </w:pPr>
      <w:r>
        <w:rPr>
          <w:rFonts w:hint="eastAsia" w:ascii="宋体" w:hAnsi="宋体" w:cs="宋体"/>
          <w:color w:val="auto"/>
          <w:szCs w:val="21"/>
        </w:rPr>
        <w:t>15.4竞标报价要求</w:t>
      </w:r>
    </w:p>
    <w:p w14:paraId="6CA83113">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5.</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供应商的竞标报价应符合以下要求，否则响应文件按无效处理：</w:t>
      </w:r>
    </w:p>
    <w:p w14:paraId="1A3CA269">
      <w:pPr>
        <w:spacing w:line="360" w:lineRule="exact"/>
        <w:ind w:firstLine="420" w:firstLine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（1）供应商必须就“采购需求”中所竞标的每个分标的全部内容分别作完整唯一总价报价，不得存在漏项报价；</w:t>
      </w:r>
    </w:p>
    <w:p w14:paraId="34D47108">
      <w:pPr>
        <w:spacing w:line="360" w:lineRule="exact"/>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09FFA45A">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15.4.</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竞标报价（包含首次报价、最后报价）超过所竞标分标规定的采购预算金额或者最高限价的，其响应文件将按无效处理。</w:t>
      </w:r>
    </w:p>
    <w:p w14:paraId="0355BC7B">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15.4.</w:t>
      </w:r>
      <w:r>
        <w:rPr>
          <w:rFonts w:ascii="宋体" w:hAnsi="宋体" w:cs="宋体"/>
          <w:color w:val="auto"/>
          <w:szCs w:val="21"/>
        </w:rPr>
        <w:t>3</w:t>
      </w:r>
      <w:bookmarkStart w:id="68" w:name="_Hlk42592874"/>
      <w:r>
        <w:rPr>
          <w:rFonts w:hint="eastAsia" w:ascii="宋体" w:hAnsi="宋体" w:cs="宋体"/>
          <w:color w:val="auto"/>
          <w:szCs w:val="21"/>
        </w:rPr>
        <w:t>竞标报价（包含首次报价、最后报价）超过分项采购预算金额或者单价最高限价的（如有要求），其响应文件将按无效处理。</w:t>
      </w:r>
    </w:p>
    <w:p w14:paraId="2F1994C7">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15.4.4供应商在提交响应文件截止时间前修改竞标函中的竞标总报价，应同时修改响应文件“已标价工程量清单”中的相应报价。此修改须符合本须知正文第20条、第21条的有关要求。</w:t>
      </w:r>
    </w:p>
    <w:bookmarkEnd w:id="68"/>
    <w:p w14:paraId="43EA12BC">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16.竞标有效期</w:t>
      </w:r>
    </w:p>
    <w:p w14:paraId="4F91C06E">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42BB417D">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7B1B1827">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16.3供应商的响应文件在竞标有效期内均保持有效。</w:t>
      </w:r>
    </w:p>
    <w:p w14:paraId="725B52A4">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17.磋商保证金</w:t>
      </w:r>
    </w:p>
    <w:p w14:paraId="50D34A8E">
      <w:pPr>
        <w:spacing w:line="360" w:lineRule="exact"/>
        <w:ind w:left="420" w:leftChars="200"/>
        <w:rPr>
          <w:rFonts w:hint="eastAsia" w:ascii="宋体" w:hAnsi="宋体" w:cs="宋体"/>
          <w:color w:val="auto"/>
          <w:szCs w:val="21"/>
        </w:rPr>
      </w:pPr>
      <w:r>
        <w:rPr>
          <w:rFonts w:hint="eastAsia" w:ascii="宋体" w:hAnsi="宋体" w:cs="宋体"/>
          <w:color w:val="auto"/>
          <w:szCs w:val="21"/>
        </w:rPr>
        <w:t>17.1供应商须按“供应商须知前附表”的规定提交磋商保证金。</w:t>
      </w:r>
    </w:p>
    <w:p w14:paraId="0272040F">
      <w:pPr>
        <w:spacing w:line="360" w:lineRule="exact"/>
        <w:ind w:left="420" w:leftChars="200"/>
        <w:rPr>
          <w:rFonts w:hint="eastAsia" w:ascii="宋体" w:hAnsi="宋体" w:cs="宋体"/>
          <w:color w:val="auto"/>
          <w:szCs w:val="21"/>
        </w:rPr>
      </w:pPr>
      <w:r>
        <w:rPr>
          <w:rFonts w:hint="eastAsia" w:ascii="宋体" w:hAnsi="宋体" w:cs="宋体"/>
          <w:color w:val="auto"/>
          <w:szCs w:val="21"/>
        </w:rPr>
        <w:t>17.2磋商保证金的退还</w:t>
      </w:r>
    </w:p>
    <w:p w14:paraId="62FE90CD">
      <w:pPr>
        <w:spacing w:line="360" w:lineRule="exact"/>
        <w:ind w:firstLine="420" w:firstLineChars="200"/>
        <w:rPr>
          <w:rFonts w:hint="eastAsia" w:ascii="宋体" w:hAnsi="宋体" w:cs="宋体"/>
          <w:color w:val="auto"/>
          <w:szCs w:val="21"/>
        </w:rPr>
      </w:pPr>
      <w:bookmarkStart w:id="69" w:name="_Hlk66782243"/>
      <w:r>
        <w:rPr>
          <w:rFonts w:hint="eastAsia" w:ascii="宋体" w:hAnsi="宋体" w:cs="宋体"/>
          <w:color w:val="auto"/>
          <w:szCs w:val="21"/>
        </w:rPr>
        <w:t>未成交供应商的磋商保证金自成交通知书发出之日起5个工作日内退还；成交供应商的磋商保证金自签订合同之日起5个工作日内退还或者转为成交供应商的履约保证金。</w:t>
      </w:r>
      <w:bookmarkEnd w:id="69"/>
      <w:r>
        <w:rPr>
          <w:rFonts w:hint="eastAsia" w:ascii="宋体" w:hAnsi="宋体" w:cs="宋体"/>
          <w:color w:val="auto"/>
          <w:szCs w:val="21"/>
        </w:rPr>
        <w:t xml:space="preserve"> </w:t>
      </w:r>
    </w:p>
    <w:p w14:paraId="5B76B230">
      <w:pPr>
        <w:spacing w:line="360" w:lineRule="exact"/>
        <w:ind w:left="420" w:leftChars="200"/>
        <w:rPr>
          <w:rFonts w:hint="eastAsia" w:ascii="宋体" w:hAnsi="宋体" w:cs="宋体"/>
          <w:color w:val="auto"/>
          <w:szCs w:val="21"/>
        </w:rPr>
      </w:pPr>
      <w:r>
        <w:rPr>
          <w:rFonts w:hint="eastAsia" w:ascii="宋体" w:hAnsi="宋体" w:cs="宋体"/>
          <w:color w:val="auto"/>
          <w:szCs w:val="21"/>
        </w:rPr>
        <w:t>17.3磋商保证金不计息。</w:t>
      </w:r>
    </w:p>
    <w:p w14:paraId="55CE721D">
      <w:pPr>
        <w:spacing w:line="360" w:lineRule="exact"/>
        <w:ind w:left="420" w:leftChars="200"/>
        <w:rPr>
          <w:rFonts w:hint="eastAsia"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416F65C7">
      <w:pPr>
        <w:spacing w:line="360" w:lineRule="exact"/>
        <w:ind w:left="420" w:leftChars="200"/>
        <w:rPr>
          <w:rFonts w:hint="eastAsia" w:ascii="宋体" w:hAnsi="宋体" w:cs="宋体"/>
          <w:color w:val="auto"/>
          <w:szCs w:val="21"/>
        </w:rPr>
      </w:pPr>
      <w:r>
        <w:rPr>
          <w:rFonts w:hint="eastAsia" w:ascii="宋体" w:hAnsi="宋体" w:cs="宋体"/>
          <w:color w:val="auto"/>
          <w:szCs w:val="21"/>
        </w:rPr>
        <w:t>（1）供应商在提交响应文件截止时间后撤回响应文件的；</w:t>
      </w:r>
    </w:p>
    <w:p w14:paraId="1E0E2C61">
      <w:pPr>
        <w:spacing w:line="360" w:lineRule="exact"/>
        <w:ind w:left="420" w:leftChars="200"/>
        <w:rPr>
          <w:rFonts w:ascii="宋体" w:hAnsi="宋体" w:cs="宋体"/>
          <w:color w:val="auto"/>
          <w:szCs w:val="21"/>
        </w:rPr>
      </w:pPr>
      <w:r>
        <w:rPr>
          <w:rFonts w:hint="eastAsia" w:ascii="宋体" w:hAnsi="宋体"/>
          <w:color w:val="auto"/>
          <w:szCs w:val="21"/>
        </w:rPr>
        <w:t>（2）未按规定提交履约保证金的；</w:t>
      </w:r>
    </w:p>
    <w:p w14:paraId="1FB7F2A9">
      <w:pPr>
        <w:spacing w:line="360" w:lineRule="exact"/>
        <w:ind w:left="420" w:leftChars="200"/>
        <w:rPr>
          <w:rFonts w:hint="eastAsia" w:ascii="宋体" w:hAnsi="宋体" w:cs="宋体"/>
          <w:color w:val="auto"/>
          <w:szCs w:val="21"/>
        </w:rPr>
      </w:pPr>
      <w:r>
        <w:rPr>
          <w:rFonts w:hint="eastAsia" w:ascii="宋体" w:hAnsi="宋体" w:cs="宋体"/>
          <w:color w:val="auto"/>
          <w:szCs w:val="21"/>
        </w:rPr>
        <w:t>（3）供应商在响应文件中提供虚假材料的；</w:t>
      </w:r>
    </w:p>
    <w:p w14:paraId="7E69D484">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（4）除因不可抗力或者磋商文件认可的情形以外，成交供应商不与采购人签订合同的；</w:t>
      </w:r>
    </w:p>
    <w:p w14:paraId="0E18CC42">
      <w:pPr>
        <w:spacing w:line="360" w:lineRule="exact"/>
        <w:ind w:left="420" w:leftChars="200"/>
        <w:rPr>
          <w:rFonts w:hint="eastAsia" w:ascii="宋体" w:hAnsi="宋体" w:cs="宋体"/>
          <w:color w:val="auto"/>
          <w:szCs w:val="21"/>
        </w:rPr>
      </w:pPr>
      <w:r>
        <w:rPr>
          <w:rFonts w:hint="eastAsia" w:ascii="宋体" w:hAnsi="宋体" w:cs="宋体"/>
          <w:color w:val="auto"/>
          <w:szCs w:val="21"/>
        </w:rPr>
        <w:t>（5）供应商与采购人、其他供应商或者采购代理机构恶意串通的；</w:t>
      </w:r>
    </w:p>
    <w:p w14:paraId="2E802CBA">
      <w:pPr>
        <w:spacing w:line="360" w:lineRule="exact"/>
        <w:ind w:left="420" w:leftChars="200"/>
        <w:rPr>
          <w:rFonts w:hint="eastAsia" w:ascii="宋体" w:hAnsi="宋体" w:cs="宋体"/>
          <w:color w:val="auto"/>
          <w:szCs w:val="21"/>
        </w:rPr>
      </w:pPr>
      <w:r>
        <w:rPr>
          <w:rFonts w:hint="eastAsia" w:ascii="宋体" w:hAnsi="宋体" w:cs="宋体"/>
          <w:color w:val="auto"/>
          <w:szCs w:val="21"/>
        </w:rPr>
        <w:t>（6）法律法规规定的其他情形。</w:t>
      </w:r>
    </w:p>
    <w:p w14:paraId="5B004FFF">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18.响应文件编制的要求</w:t>
      </w:r>
    </w:p>
    <w:p w14:paraId="5F2F515E">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18.1供应商应按照本项目竞争性磋商文件规定的格式和顺序和广西政府采购云平台的要求编制并加密。响应文件内容不完整、编排混乱导致响应文件被误读、漏读或者查找不到相关内容的，由此引发的后果由供应商承担。</w:t>
      </w:r>
    </w:p>
    <w:p w14:paraId="35A2D71C">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600774DC">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w:t>
      </w:r>
      <w:r>
        <w:rPr>
          <w:rFonts w:hint="eastAsia" w:ascii="宋体" w:hAnsi="宋体" w:cs="宋体"/>
          <w:b/>
          <w:bCs/>
          <w:color w:val="auto"/>
          <w:szCs w:val="21"/>
        </w:rPr>
        <w:t>否则按无效响应处理。</w:t>
      </w:r>
    </w:p>
    <w:p w14:paraId="3C06D909">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w:t>
      </w:r>
      <w:r>
        <w:rPr>
          <w:rFonts w:hint="eastAsia" w:ascii="宋体" w:hAnsi="宋体" w:cs="宋体"/>
          <w:b/>
          <w:bCs/>
          <w:color w:val="auto"/>
          <w:szCs w:val="21"/>
        </w:rPr>
        <w:t>否则其响应文件按无效处理。</w:t>
      </w:r>
    </w:p>
    <w:p w14:paraId="76BD725E">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C361FCA">
      <w:pPr>
        <w:spacing w:line="360" w:lineRule="exact"/>
        <w:ind w:firstLine="482" w:firstLineChars="200"/>
        <w:rPr>
          <w:rFonts w:hint="eastAsia" w:ascii="黑体" w:hAnsi="黑体" w:eastAsia="黑体"/>
          <w:color w:val="auto"/>
          <w:sz w:val="24"/>
        </w:rPr>
      </w:pPr>
      <w:r>
        <w:rPr>
          <w:rFonts w:hint="eastAsia" w:ascii="黑体" w:hAnsi="黑体" w:eastAsia="黑体" w:cs="宋体"/>
          <w:b/>
          <w:bCs/>
          <w:color w:val="auto"/>
          <w:sz w:val="24"/>
        </w:rPr>
        <w:t>19.电子</w:t>
      </w:r>
      <w:r>
        <w:rPr>
          <w:rFonts w:hint="eastAsia" w:ascii="黑体" w:hAnsi="黑体" w:eastAsia="黑体"/>
          <w:b/>
          <w:color w:val="auto"/>
          <w:sz w:val="24"/>
        </w:rPr>
        <w:t>备份响应文件</w:t>
      </w:r>
    </w:p>
    <w:p w14:paraId="55F3FF55">
      <w:pPr>
        <w:spacing w:line="360" w:lineRule="exact"/>
        <w:ind w:firstLine="420" w:firstLineChars="200"/>
        <w:rPr>
          <w:rFonts w:hint="eastAsia" w:ascii="宋体" w:hAnsi="宋体" w:cs="宋体"/>
          <w:color w:val="auto"/>
          <w:szCs w:val="21"/>
        </w:rPr>
      </w:pPr>
      <w:r>
        <w:rPr>
          <w:rFonts w:hint="eastAsia"/>
          <w:color w:val="auto"/>
        </w:rPr>
        <w:t>电子备份响应文件是指通过在线编制生成且后缀名为“bfbs”的文件，是否接受电子备份响应文件</w:t>
      </w:r>
      <w:r>
        <w:rPr>
          <w:rFonts w:hint="eastAsia" w:hAnsi="宋体"/>
          <w:bCs/>
          <w:color w:val="auto"/>
          <w:szCs w:val="21"/>
        </w:rPr>
        <w:t>详见在“供应商须知前附表”。</w:t>
      </w:r>
    </w:p>
    <w:p w14:paraId="72D76E98">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20.响应文件的提交</w:t>
      </w:r>
    </w:p>
    <w:p w14:paraId="3B637B73">
      <w:pPr>
        <w:spacing w:line="360" w:lineRule="exact"/>
        <w:ind w:firstLine="420" w:firstLineChars="200"/>
        <w:rPr>
          <w:rFonts w:hint="eastAsia"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rPr>
        <w:t>广西政府采购云平台</w:t>
      </w:r>
      <w:r>
        <w:rPr>
          <w:rFonts w:hint="eastAsia" w:hAnsi="宋体"/>
          <w:bCs/>
          <w:color w:val="auto"/>
          <w:szCs w:val="21"/>
        </w:rPr>
        <w:t xml:space="preserve">。 </w:t>
      </w:r>
      <w:r>
        <w:rPr>
          <w:rFonts w:hint="eastAsia" w:hAnsi="宋体"/>
          <w:b/>
          <w:color w:val="auto"/>
        </w:rPr>
        <w:t xml:space="preserve"> </w:t>
      </w:r>
    </w:p>
    <w:p w14:paraId="3099EB60">
      <w:pPr>
        <w:spacing w:line="360" w:lineRule="exact"/>
        <w:ind w:firstLine="420" w:firstLineChars="200"/>
        <w:rPr>
          <w:rFonts w:hint="eastAsia" w:ascii="宋体" w:hAnsi="宋体" w:cs="宋体"/>
          <w:color w:val="auto"/>
          <w:szCs w:val="21"/>
        </w:rPr>
      </w:pPr>
      <w:r>
        <w:rPr>
          <w:rFonts w:hint="eastAsia" w:ascii="宋体" w:hAnsi="宋体"/>
          <w:color w:val="auto"/>
          <w:szCs w:val="21"/>
        </w:rPr>
        <w:t>20.</w:t>
      </w:r>
      <w:r>
        <w:rPr>
          <w:rFonts w:ascii="宋体" w:hAnsi="宋体"/>
          <w:color w:val="auto"/>
          <w:szCs w:val="21"/>
        </w:rPr>
        <w:t>2</w:t>
      </w:r>
      <w:r>
        <w:rPr>
          <w:rFonts w:hint="eastAsia" w:ascii="宋体" w:hAnsi="宋体"/>
          <w:color w:val="auto"/>
          <w:szCs w:val="21"/>
        </w:rPr>
        <w:t>未在规定时间内提交或者未按照磋商文件要求加密的电子响应文件，广西政府采购云平台将拒收。</w:t>
      </w:r>
    </w:p>
    <w:p w14:paraId="7CF0D681">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3285C686">
      <w:pPr>
        <w:spacing w:line="360" w:lineRule="exact"/>
        <w:ind w:firstLine="420" w:firstLineChars="200"/>
        <w:rPr>
          <w:rFonts w:hint="eastAsia" w:hAnsi="宋体"/>
          <w:bCs/>
          <w:color w:val="auto"/>
          <w:szCs w:val="21"/>
        </w:rPr>
      </w:pPr>
      <w:bookmarkStart w:id="70" w:name="_Toc254970684"/>
      <w:bookmarkStart w:id="71" w:name="_Toc254970543"/>
      <w:r>
        <w:rPr>
          <w:rFonts w:hAnsi="宋体"/>
          <w:bCs/>
          <w:color w:val="auto"/>
          <w:szCs w:val="21"/>
        </w:rPr>
        <w:t>2</w:t>
      </w:r>
      <w:r>
        <w:rPr>
          <w:rFonts w:hint="eastAsia" w:hAnsi="宋体"/>
          <w:bCs/>
          <w:color w:val="auto"/>
          <w:szCs w:val="21"/>
        </w:rPr>
        <w:t>1.1供应商应当在提交响应文件截止</w:t>
      </w:r>
      <w:r>
        <w:rPr>
          <w:rFonts w:hAnsi="宋体"/>
          <w:bCs/>
          <w:color w:val="auto"/>
          <w:szCs w:val="21"/>
        </w:rPr>
        <w:t>时间</w:t>
      </w:r>
      <w:r>
        <w:rPr>
          <w:rFonts w:hint="eastAsia" w:hAnsi="宋体"/>
          <w:bCs/>
          <w:color w:val="auto"/>
          <w:szCs w:val="21"/>
        </w:rPr>
        <w:t>前完成电子响应文件的提交（上传），提交响应文件截止</w:t>
      </w:r>
      <w:r>
        <w:rPr>
          <w:rFonts w:hAnsi="宋体"/>
          <w:bCs/>
          <w:color w:val="auto"/>
          <w:szCs w:val="21"/>
        </w:rPr>
        <w:t>时间</w:t>
      </w:r>
      <w:r>
        <w:rPr>
          <w:rFonts w:hint="eastAsia" w:hAnsi="宋体"/>
          <w:bCs/>
          <w:color w:val="auto"/>
          <w:szCs w:val="21"/>
        </w:rPr>
        <w:t>前可以补充、修改或者撤回响应文件。补充或者修改响应文件的，应当先行撤回原响应文件，补充、修改后重新提交（上传），提交响应文件截止</w:t>
      </w:r>
      <w:r>
        <w:rPr>
          <w:rFonts w:hAnsi="宋体"/>
          <w:bCs/>
          <w:color w:val="auto"/>
          <w:szCs w:val="21"/>
        </w:rPr>
        <w:t>时间</w:t>
      </w:r>
      <w:r>
        <w:rPr>
          <w:rFonts w:hint="eastAsia" w:hAnsi="宋体"/>
          <w:bCs/>
          <w:color w:val="auto"/>
          <w:szCs w:val="21"/>
        </w:rPr>
        <w:t>前未完成提交（上传）的，视为撤回响应文件。提交响应文件截止</w:t>
      </w:r>
      <w:r>
        <w:rPr>
          <w:rFonts w:hAnsi="宋体"/>
          <w:bCs/>
          <w:color w:val="auto"/>
          <w:szCs w:val="21"/>
        </w:rPr>
        <w:t>时间</w:t>
      </w:r>
      <w:r>
        <w:rPr>
          <w:rFonts w:hint="eastAsia" w:hAnsi="宋体"/>
          <w:bCs/>
          <w:color w:val="auto"/>
          <w:szCs w:val="21"/>
        </w:rPr>
        <w:t>以后提交（上传）的响应文件，广西政府采购云平台将予以拒收。（注：补充、修改或者撤回方式可登录广西政府采购云平台，进入“服务中心”中查看 “电子投标文件制作与投送教程”）</w:t>
      </w:r>
    </w:p>
    <w:bookmarkEnd w:id="70"/>
    <w:bookmarkEnd w:id="71"/>
    <w:p w14:paraId="032706FF">
      <w:pPr>
        <w:pStyle w:val="177"/>
        <w:spacing w:before="0" w:line="360" w:lineRule="exact"/>
        <w:ind w:firstLine="420"/>
        <w:rPr>
          <w:rFonts w:hint="eastAsia"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2在提交响应文件截止时间前，除供应商补充、修改或者撤回响应文件外，任何单位和个人不得解密或提取响应文件。</w:t>
      </w:r>
    </w:p>
    <w:p w14:paraId="3E395BDA">
      <w:pPr>
        <w:spacing w:line="360" w:lineRule="exact"/>
        <w:ind w:firstLine="482" w:firstLineChars="200"/>
        <w:rPr>
          <w:rFonts w:ascii="黑体" w:hAnsi="黑体" w:eastAsia="黑体" w:cs="宋体"/>
          <w:b/>
          <w:bCs/>
          <w:color w:val="auto"/>
          <w:sz w:val="24"/>
        </w:rPr>
      </w:pPr>
      <w:bookmarkStart w:id="72" w:name="_Hlk45702405"/>
      <w:r>
        <w:rPr>
          <w:rFonts w:hint="eastAsia" w:ascii="黑体" w:hAnsi="黑体" w:eastAsia="黑体" w:cs="宋体"/>
          <w:b/>
          <w:bCs/>
          <w:color w:val="auto"/>
          <w:sz w:val="24"/>
        </w:rPr>
        <w:t>22.响应文件的退回</w:t>
      </w:r>
    </w:p>
    <w:p w14:paraId="0D0B5382">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采购人和采购代理机构对已提交的响应文件概不退回。</w:t>
      </w:r>
    </w:p>
    <w:p w14:paraId="588FABA1">
      <w:pPr>
        <w:spacing w:line="360" w:lineRule="exact"/>
        <w:ind w:firstLine="482" w:firstLineChars="200"/>
        <w:rPr>
          <w:rFonts w:ascii="黑体" w:hAnsi="黑体" w:eastAsia="黑体" w:cs="宋体"/>
          <w:b/>
          <w:bCs/>
          <w:color w:val="auto"/>
          <w:sz w:val="24"/>
        </w:rPr>
      </w:pPr>
      <w:r>
        <w:rPr>
          <w:rFonts w:hint="eastAsia" w:ascii="黑体" w:hAnsi="黑体" w:eastAsia="黑体" w:cs="宋体"/>
          <w:b/>
          <w:bCs/>
          <w:color w:val="auto"/>
          <w:sz w:val="24"/>
        </w:rPr>
        <w:t>23.截止时间后的撤回</w:t>
      </w:r>
    </w:p>
    <w:p w14:paraId="6C5B02DC">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供应商在响应文件提交截止时间后向采购人、采购代理机构书面申请撤回响应文件的，将根据本须知正文第17.4条的规定不予退还其磋商保证金。</w:t>
      </w:r>
    </w:p>
    <w:bookmarkEnd w:id="72"/>
    <w:p w14:paraId="78CF4E01">
      <w:pPr>
        <w:spacing w:line="360" w:lineRule="exact"/>
        <w:rPr>
          <w:rFonts w:hint="eastAsia" w:ascii="宋体" w:hAnsi="宋体"/>
          <w:color w:val="auto"/>
          <w:szCs w:val="21"/>
        </w:rPr>
      </w:pPr>
    </w:p>
    <w:p w14:paraId="635A4930">
      <w:pPr>
        <w:spacing w:line="360" w:lineRule="exact"/>
        <w:ind w:left="420" w:firstLine="420"/>
        <w:jc w:val="center"/>
        <w:rPr>
          <w:rFonts w:hint="eastAsia" w:ascii="宋体" w:hAnsi="宋体"/>
          <w:b/>
          <w:bCs/>
          <w:color w:val="auto"/>
          <w:sz w:val="32"/>
          <w:szCs w:val="32"/>
        </w:rPr>
      </w:pPr>
      <w:r>
        <w:rPr>
          <w:rFonts w:hint="eastAsia" w:ascii="宋体" w:hAnsi="宋体"/>
          <w:b/>
          <w:bCs/>
          <w:color w:val="auto"/>
          <w:sz w:val="32"/>
          <w:szCs w:val="32"/>
        </w:rPr>
        <w:t>四、评审及磋商</w:t>
      </w:r>
    </w:p>
    <w:p w14:paraId="6EE7FB8C">
      <w:pPr>
        <w:spacing w:line="360" w:lineRule="exact"/>
        <w:ind w:left="420" w:firstLine="420"/>
        <w:rPr>
          <w:rFonts w:hint="eastAsia" w:ascii="宋体" w:hAnsi="宋体"/>
          <w:color w:val="auto"/>
          <w:szCs w:val="21"/>
        </w:rPr>
      </w:pPr>
    </w:p>
    <w:p w14:paraId="6BC874A4">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24.磋商小组成立</w:t>
      </w:r>
    </w:p>
    <w:p w14:paraId="35C9F842">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5E50CC97">
      <w:pPr>
        <w:spacing w:line="360" w:lineRule="exact"/>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B2A9D1E">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基于广西政府采购云平台</w:t>
      </w:r>
      <w:r>
        <w:rPr>
          <w:rFonts w:hint="eastAsia" w:hAnsi="宋体"/>
          <w:bCs/>
          <w:color w:val="auto"/>
        </w:rPr>
        <w:t>抽（选）取</w:t>
      </w:r>
      <w:r>
        <w:rPr>
          <w:rFonts w:hint="eastAsia" w:hAnsi="宋体"/>
          <w:bCs/>
          <w:color w:val="auto"/>
          <w:szCs w:val="21"/>
        </w:rPr>
        <w:t>评审专家。</w:t>
      </w:r>
    </w:p>
    <w:p w14:paraId="2A6E3989">
      <w:pPr>
        <w:spacing w:line="360" w:lineRule="exact"/>
        <w:ind w:firstLine="420" w:firstLineChars="200"/>
        <w:rPr>
          <w:rFonts w:ascii="黑体" w:hAnsi="黑体" w:eastAsia="黑体" w:cs="宋体"/>
          <w:b/>
          <w:bCs/>
          <w:color w:val="auto"/>
          <w:sz w:val="24"/>
        </w:rPr>
      </w:pPr>
      <w:r>
        <w:rPr>
          <w:rFonts w:hint="eastAsia" w:ascii="宋体" w:hAnsi="宋体" w:cs="宋体"/>
          <w:color w:val="auto"/>
          <w:szCs w:val="21"/>
        </w:rPr>
        <w:t>24.4参加过采购项目前期咨询论证的专家，不得参加该采购项目的评审活动。</w:t>
      </w:r>
    </w:p>
    <w:p w14:paraId="2335D98B">
      <w:pPr>
        <w:spacing w:line="360" w:lineRule="exact"/>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首次响应文件的开启和解密</w:t>
      </w:r>
    </w:p>
    <w:p w14:paraId="638E78D4">
      <w:pPr>
        <w:spacing w:line="360" w:lineRule="exact"/>
        <w:ind w:firstLine="420" w:firstLineChars="200"/>
        <w:rPr>
          <w:rFonts w:hint="eastAsia" w:ascii="宋体" w:hAnsi="宋体" w:cs="宋体"/>
          <w:color w:val="auto"/>
          <w:szCs w:val="21"/>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rPr>
        <w:t>采购代理机构依托广西政府采购云平台向各供应商发出电子加密响应文件【开始解密】通知，由供应商按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的响应文件按无效处理</w:t>
      </w:r>
      <w:r>
        <w:rPr>
          <w:b/>
          <w:color w:val="auto"/>
        </w:rPr>
        <w:t>。</w:t>
      </w:r>
    </w:p>
    <w:p w14:paraId="2F1CFE52">
      <w:pPr>
        <w:spacing w:line="360" w:lineRule="exact"/>
        <w:ind w:firstLine="482" w:firstLineChars="200"/>
        <w:rPr>
          <w:rFonts w:hint="eastAsia"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07B96424">
      <w:pPr>
        <w:spacing w:line="360" w:lineRule="exact"/>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5B5AA4D8">
      <w:pPr>
        <w:spacing w:line="360" w:lineRule="exact"/>
        <w:ind w:firstLine="420" w:firstLineChars="200"/>
        <w:rPr>
          <w:rFonts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r>
        <w:rPr>
          <w:rFonts w:hint="eastAsia" w:ascii="宋体" w:hAnsi="宋体" w:cs="宋体"/>
          <w:color w:val="auto"/>
          <w:szCs w:val="21"/>
        </w:rPr>
        <w:t>并推荐成交候选供应商</w:t>
      </w:r>
      <w:r>
        <w:rPr>
          <w:rFonts w:ascii="宋体" w:hAnsi="宋体" w:cs="宋体"/>
          <w:color w:val="auto"/>
          <w:szCs w:val="21"/>
        </w:rPr>
        <w:t>。</w:t>
      </w:r>
    </w:p>
    <w:p w14:paraId="06D7C4B7">
      <w:pPr>
        <w:spacing w:line="360" w:lineRule="exact"/>
        <w:ind w:firstLine="420" w:firstLineChars="200"/>
        <w:rPr>
          <w:rFonts w:ascii="宋体" w:hAnsi="宋体"/>
          <w:color w:val="auto"/>
          <w:szCs w:val="21"/>
        </w:rPr>
      </w:pPr>
      <w:r>
        <w:rPr>
          <w:rFonts w:hint="eastAsia" w:ascii="宋体" w:hAnsi="宋体" w:cs="宋体"/>
          <w:color w:val="auto"/>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F5E4D1A">
      <w:pPr>
        <w:spacing w:line="360" w:lineRule="exact"/>
        <w:ind w:firstLine="420" w:firstLineChars="200"/>
        <w:rPr>
          <w:rFonts w:hint="eastAsia" w:hAnsi="宋体"/>
          <w:color w:val="auto"/>
        </w:rPr>
      </w:pPr>
      <w:r>
        <w:rPr>
          <w:rFonts w:hint="eastAsia" w:ascii="宋体" w:hAnsi="宋体" w:cs="宋体"/>
          <w:color w:val="auto"/>
        </w:rPr>
        <w:t>2</w:t>
      </w:r>
      <w:r>
        <w:rPr>
          <w:rFonts w:ascii="宋体" w:hAnsi="宋体" w:cs="宋体"/>
          <w:color w:val="auto"/>
        </w:rPr>
        <w:t>6.</w:t>
      </w:r>
      <w:r>
        <w:rPr>
          <w:rFonts w:hint="eastAsia" w:ascii="宋体" w:hAnsi="宋体" w:cs="宋体"/>
          <w:color w:val="auto"/>
        </w:rPr>
        <w:t>4</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7BCF8206">
      <w:pPr>
        <w:spacing w:line="360" w:lineRule="exact"/>
        <w:ind w:firstLine="420" w:firstLineChars="200"/>
        <w:rPr>
          <w:rFonts w:hint="eastAsia" w:hAnsi="宋体"/>
          <w:color w:val="auto"/>
        </w:rPr>
      </w:pPr>
      <w:r>
        <w:rPr>
          <w:rFonts w:hint="eastAsia" w:hAnsi="宋体"/>
          <w:color w:val="auto"/>
        </w:rPr>
        <w:t xml:space="preserve">（1）电子交易平台发生故障而无法登录访问的； </w:t>
      </w:r>
    </w:p>
    <w:p w14:paraId="20DC0F34">
      <w:pPr>
        <w:spacing w:line="360" w:lineRule="exact"/>
        <w:ind w:firstLine="420" w:firstLineChars="200"/>
        <w:rPr>
          <w:rFonts w:hint="eastAsia" w:hAnsi="宋体"/>
          <w:color w:val="auto"/>
        </w:rPr>
      </w:pPr>
      <w:r>
        <w:rPr>
          <w:rFonts w:hint="eastAsia" w:hAnsi="宋体"/>
          <w:color w:val="auto"/>
        </w:rPr>
        <w:t>（2）电子交易平台应用或数据库出现错误，不能进行正常操作的；</w:t>
      </w:r>
    </w:p>
    <w:p w14:paraId="4A9E1C17">
      <w:pPr>
        <w:spacing w:line="360" w:lineRule="exact"/>
        <w:ind w:firstLine="420" w:firstLineChars="200"/>
        <w:rPr>
          <w:rFonts w:hint="eastAsia" w:hAnsi="宋体"/>
          <w:color w:val="auto"/>
        </w:rPr>
      </w:pPr>
      <w:r>
        <w:rPr>
          <w:rFonts w:hint="eastAsia" w:hAnsi="宋体"/>
          <w:color w:val="auto"/>
        </w:rPr>
        <w:t>（3）电子交易平台发现严重安全漏洞，有潜在泄密危险的；</w:t>
      </w:r>
    </w:p>
    <w:p w14:paraId="0402A1BA">
      <w:pPr>
        <w:spacing w:line="360" w:lineRule="exact"/>
        <w:ind w:firstLine="420" w:firstLineChars="200"/>
        <w:rPr>
          <w:rFonts w:hint="eastAsia" w:hAnsi="宋体"/>
          <w:color w:val="auto"/>
        </w:rPr>
      </w:pPr>
      <w:r>
        <w:rPr>
          <w:rFonts w:hint="eastAsia" w:hAnsi="宋体"/>
          <w:color w:val="auto"/>
        </w:rPr>
        <w:t xml:space="preserve">（4）病毒发作导致不能进行正常操作的； </w:t>
      </w:r>
    </w:p>
    <w:p w14:paraId="7F4944FA">
      <w:pPr>
        <w:spacing w:line="360" w:lineRule="exact"/>
        <w:ind w:firstLine="420" w:firstLineChars="200"/>
        <w:rPr>
          <w:rFonts w:hint="eastAsia" w:hAnsi="宋体"/>
          <w:color w:val="auto"/>
        </w:rPr>
      </w:pPr>
      <w:r>
        <w:rPr>
          <w:rFonts w:hint="eastAsia" w:hAnsi="宋体"/>
          <w:color w:val="auto"/>
        </w:rPr>
        <w:t>（5）其他无法保证电子交易的公平、公正和安全的情况。</w:t>
      </w:r>
    </w:p>
    <w:p w14:paraId="74341CA8">
      <w:pPr>
        <w:spacing w:line="360" w:lineRule="exact"/>
        <w:ind w:firstLine="420" w:firstLineChars="200"/>
        <w:rPr>
          <w:rFonts w:hint="eastAsia" w:ascii="宋体" w:hAnsi="宋体" w:cs="宋体"/>
          <w:color w:val="auto"/>
          <w:szCs w:val="21"/>
        </w:rPr>
      </w:pPr>
      <w:r>
        <w:rPr>
          <w:rFonts w:hint="eastAsia" w:ascii="宋体" w:hAnsi="宋体"/>
          <w:color w:val="auto"/>
        </w:rPr>
        <w:t>26.5</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1BB9F83">
      <w:pPr>
        <w:spacing w:line="360" w:lineRule="exact"/>
        <w:ind w:firstLine="482" w:firstLineChars="200"/>
        <w:rPr>
          <w:rFonts w:hint="eastAsia"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66ACAD1C">
      <w:pPr>
        <w:spacing w:line="360" w:lineRule="exact"/>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0210BBE">
      <w:pPr>
        <w:spacing w:line="360" w:lineRule="exact"/>
        <w:ind w:firstLine="420" w:firstLineChars="200"/>
        <w:rPr>
          <w:rFonts w:hint="eastAsia" w:ascii="宋体" w:hAnsi="宋体" w:cs="Courier New"/>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3"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73"/>
    </w:p>
    <w:p w14:paraId="77347642">
      <w:pPr>
        <w:spacing w:line="360" w:lineRule="exact"/>
        <w:ind w:firstLine="420" w:firstLineChars="200"/>
        <w:rPr>
          <w:rFonts w:ascii="宋体" w:hAnsi="宋体" w:cs="Courier New"/>
          <w:color w:val="auto"/>
          <w:szCs w:val="21"/>
        </w:rPr>
      </w:pPr>
      <w:r>
        <w:rPr>
          <w:rFonts w:hint="eastAsia" w:ascii="宋体" w:hAnsi="宋体" w:cs="Courier New"/>
          <w:color w:val="auto"/>
          <w:szCs w:val="21"/>
        </w:rPr>
        <w:t>27.3出现下列情形之一的，采购人或者采购代理机构应当终止竞争性磋商采购活动，发布项目终止公告并说明原因，重新开展采购活动：</w:t>
      </w:r>
    </w:p>
    <w:p w14:paraId="4C473F34">
      <w:pPr>
        <w:spacing w:line="360" w:lineRule="exact"/>
        <w:ind w:firstLine="420" w:firstLineChars="200"/>
        <w:rPr>
          <w:rFonts w:hint="eastAsia" w:ascii="宋体" w:hAnsi="宋体" w:cs="Courier New"/>
          <w:color w:val="auto"/>
          <w:szCs w:val="21"/>
        </w:rPr>
      </w:pPr>
      <w:r>
        <w:rPr>
          <w:rFonts w:hint="eastAsia" w:ascii="宋体" w:hAnsi="宋体" w:cs="Courier New"/>
          <w:color w:val="auto"/>
          <w:szCs w:val="21"/>
        </w:rPr>
        <w:t>（1）因情况变化，不再符合规定的竞争性磋商采购方式适用情形的；</w:t>
      </w:r>
    </w:p>
    <w:p w14:paraId="29CD6D16">
      <w:pPr>
        <w:spacing w:line="360" w:lineRule="exact"/>
        <w:ind w:firstLine="420" w:firstLineChars="200"/>
        <w:rPr>
          <w:rFonts w:hint="eastAsia" w:ascii="宋体" w:hAnsi="宋体" w:cs="Courier New"/>
          <w:color w:val="auto"/>
          <w:szCs w:val="21"/>
        </w:rPr>
      </w:pPr>
      <w:r>
        <w:rPr>
          <w:rFonts w:hint="eastAsia" w:ascii="宋体" w:hAnsi="宋体" w:cs="Courier New"/>
          <w:color w:val="auto"/>
          <w:szCs w:val="21"/>
        </w:rPr>
        <w:t>（2）出现影响采购公正的违法、违规行为的；</w:t>
      </w:r>
    </w:p>
    <w:p w14:paraId="2D08CE89">
      <w:pPr>
        <w:spacing w:line="360" w:lineRule="exact"/>
        <w:ind w:firstLine="420" w:firstLineChars="200"/>
        <w:rPr>
          <w:rFonts w:hint="eastAsia" w:ascii="宋体" w:hAnsi="宋体" w:cs="Courier New"/>
          <w:color w:val="auto"/>
          <w:szCs w:val="21"/>
        </w:rPr>
      </w:pPr>
      <w:r>
        <w:rPr>
          <w:rFonts w:hint="eastAsia" w:ascii="宋体" w:hAnsi="宋体" w:cs="Courier New"/>
          <w:color w:val="auto"/>
          <w:szCs w:val="21"/>
        </w:rPr>
        <w:t>（3）除“第四章 评审程序、评审方法和评审标准”第4.3条规定的情形外，在采购过程中符合要求的供应商或者报价未超过采购预算的供应商不足3家的。</w:t>
      </w:r>
    </w:p>
    <w:p w14:paraId="4D593790">
      <w:pPr>
        <w:spacing w:line="360" w:lineRule="exact"/>
        <w:ind w:firstLine="420" w:firstLineChars="200"/>
        <w:rPr>
          <w:rFonts w:ascii="宋体" w:hAnsi="宋体" w:cs="宋体"/>
          <w:color w:val="auto"/>
          <w:szCs w:val="21"/>
        </w:rPr>
      </w:pPr>
      <w:r>
        <w:rPr>
          <w:rFonts w:hint="eastAsia" w:ascii="宋体" w:hAnsi="宋体" w:cs="Courier New"/>
          <w:color w:val="auto"/>
          <w:szCs w:val="21"/>
        </w:rPr>
        <w:t>27.4 在采购活动中因重大变故，采购任务取消的，采购人或者采购代理机构应当终止采购活动，通知所有参加采购活动的供应商，并将项目实施情况和采购任务取消原因报送本级财政部门。</w:t>
      </w:r>
    </w:p>
    <w:p w14:paraId="28C738F4">
      <w:pPr>
        <w:spacing w:line="360" w:lineRule="exact"/>
        <w:ind w:firstLine="482" w:firstLineChars="200"/>
        <w:rPr>
          <w:rFonts w:hint="eastAsia"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7875B22A">
      <w:pPr>
        <w:spacing w:line="360" w:lineRule="exact"/>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w:t>
      </w:r>
    </w:p>
    <w:p w14:paraId="4989D479">
      <w:pPr>
        <w:spacing w:line="360" w:lineRule="exact"/>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.2在履约保证金退还日期前，若成交供应商的开户名称、开户银行、账号有变动的，请以书面形式通知履约保证金收取单位，否则由此产生的后果由成交供应商自行承担。</w:t>
      </w:r>
    </w:p>
    <w:p w14:paraId="00DF3C23">
      <w:pPr>
        <w:spacing w:line="360" w:lineRule="exact"/>
        <w:ind w:firstLine="482" w:firstLineChars="200"/>
        <w:rPr>
          <w:rFonts w:hint="eastAsia"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51D9B0AA">
      <w:pPr>
        <w:spacing w:line="360" w:lineRule="exact"/>
        <w:ind w:firstLine="424" w:firstLineChars="202"/>
        <w:rPr>
          <w:rFonts w:hint="eastAsia"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0309D6A3">
      <w:pPr>
        <w:spacing w:line="360" w:lineRule="exact"/>
        <w:ind w:firstLine="424" w:firstLineChars="202"/>
        <w:rPr>
          <w:rFonts w:hint="eastAsia"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64F1C792">
      <w:pPr>
        <w:spacing w:line="360" w:lineRule="exact"/>
        <w:ind w:firstLine="424" w:firstLineChars="202"/>
        <w:rPr>
          <w:rFonts w:hint="eastAsia" w:ascii="宋体" w:hAnsi="宋体" w:cs="宋体"/>
          <w:color w:val="auto"/>
          <w:szCs w:val="21"/>
        </w:rPr>
      </w:pPr>
      <w:r>
        <w:rPr>
          <w:rFonts w:hint="eastAsia" w:ascii="宋体" w:hAnsi="宋体" w:cs="宋体"/>
          <w:color w:val="auto"/>
          <w:szCs w:val="21"/>
        </w:rPr>
        <w:t>29.2签订合同时间：按成交通知书规定的时间与采购人签订合同。</w:t>
      </w:r>
    </w:p>
    <w:p w14:paraId="0569D668">
      <w:pPr>
        <w:spacing w:line="360" w:lineRule="exact"/>
        <w:ind w:firstLine="424" w:firstLineChars="202"/>
        <w:rPr>
          <w:rFonts w:hint="eastAsia"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1EAAD00">
      <w:pPr>
        <w:spacing w:line="360" w:lineRule="exact"/>
        <w:ind w:firstLine="424" w:firstLineChars="202"/>
        <w:rPr>
          <w:rFonts w:hint="eastAsia"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D4313DE">
      <w:pPr>
        <w:spacing w:line="360" w:lineRule="exact"/>
        <w:ind w:firstLine="424" w:firstLineChars="202"/>
        <w:rPr>
          <w:rFonts w:hint="eastAsia" w:ascii="宋体" w:hAnsi="宋体" w:cs="宋体"/>
          <w:color w:val="auto"/>
          <w:szCs w:val="21"/>
        </w:rPr>
      </w:pPr>
      <w:r>
        <w:rPr>
          <w:rFonts w:hint="eastAsia" w:ascii="宋体" w:hAnsi="宋体" w:cs="宋体"/>
          <w:color w:val="auto"/>
          <w:szCs w:val="21"/>
        </w:rPr>
        <w:t>29.5采购人或成交供应商不得单方面向合同另一方提出任何磋商文件没有约定的条件或不合理的要求，作为签订合同的条件；也不得协商另行订立背离磋商文件和合同实质性内容的协议。</w:t>
      </w:r>
    </w:p>
    <w:p w14:paraId="04287F9E">
      <w:pPr>
        <w:spacing w:line="360" w:lineRule="exact"/>
        <w:ind w:firstLine="424" w:firstLineChars="202"/>
        <w:rPr>
          <w:rFonts w:hint="eastAsia"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7C1D96EB">
      <w:pPr>
        <w:spacing w:line="360" w:lineRule="exact"/>
        <w:ind w:firstLine="424" w:firstLineChars="202"/>
        <w:rPr>
          <w:rFonts w:hint="eastAsia"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EA2C93B">
      <w:pPr>
        <w:spacing w:line="360" w:lineRule="exact"/>
        <w:ind w:firstLine="482" w:firstLineChars="200"/>
        <w:rPr>
          <w:rFonts w:hint="eastAsia"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2F74488D">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6D3791D">
      <w:pPr>
        <w:spacing w:line="360" w:lineRule="exact"/>
        <w:ind w:firstLine="482" w:firstLineChars="200"/>
        <w:rPr>
          <w:rFonts w:hint="eastAsia"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2627D33B">
      <w:pPr>
        <w:pStyle w:val="10"/>
        <w:spacing w:line="360" w:lineRule="exact"/>
        <w:rPr>
          <w:rFonts w:hint="eastAsia" w:ascii="宋体" w:hAnsi="宋体"/>
          <w:color w:val="auto"/>
          <w:szCs w:val="21"/>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r>
        <w:rPr>
          <w:rFonts w:hint="eastAsia" w:ascii="宋体" w:hAnsi="宋体" w:cs="宋体"/>
          <w:color w:val="auto"/>
        </w:rPr>
        <w:t>。</w:t>
      </w:r>
    </w:p>
    <w:p w14:paraId="23667AAB">
      <w:pPr>
        <w:spacing w:line="360" w:lineRule="exact"/>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6DA1BFA4">
      <w:pPr>
        <w:spacing w:line="360" w:lineRule="exact"/>
        <w:ind w:firstLine="420" w:firstLineChars="200"/>
        <w:rPr>
          <w:rFonts w:hint="eastAsia" w:ascii="宋体" w:hAnsi="宋体" w:cs="宋体"/>
          <w:color w:val="auto"/>
        </w:rPr>
      </w:pPr>
      <w:r>
        <w:rPr>
          <w:rFonts w:hint="eastAsia" w:ascii="宋体" w:hAnsi="宋体" w:cs="宋体"/>
          <w:color w:val="auto"/>
        </w:rPr>
        <w:t>（1）对可以质疑的磋商文件提出质疑的，为获取磋商文件之日或者</w:t>
      </w:r>
      <w:r>
        <w:rPr>
          <w:rFonts w:hint="eastAsia" w:ascii="宋体" w:hAnsi="宋体"/>
          <w:color w:val="auto"/>
        </w:rPr>
        <w:t>竞争性磋商公告期限届满之日</w:t>
      </w:r>
      <w:r>
        <w:rPr>
          <w:rFonts w:hint="eastAsia" w:ascii="宋体" w:hAnsi="宋体" w:cs="宋体"/>
          <w:color w:val="auto"/>
        </w:rPr>
        <w:t>；</w:t>
      </w:r>
    </w:p>
    <w:p w14:paraId="5AE7E202">
      <w:pPr>
        <w:spacing w:line="360" w:lineRule="exact"/>
        <w:ind w:firstLine="420" w:firstLineChars="200"/>
        <w:rPr>
          <w:rFonts w:hint="eastAsia" w:ascii="宋体" w:hAnsi="宋体" w:cs="宋体"/>
          <w:color w:val="auto"/>
        </w:rPr>
      </w:pPr>
      <w:r>
        <w:rPr>
          <w:rFonts w:hint="eastAsia" w:ascii="宋体" w:hAnsi="宋体" w:cs="宋体"/>
          <w:color w:val="auto"/>
        </w:rPr>
        <w:t>（2）对采购过程提出质疑的，为各采购程序环节结束之日；</w:t>
      </w:r>
    </w:p>
    <w:p w14:paraId="63430E7A">
      <w:pPr>
        <w:spacing w:line="360" w:lineRule="exact"/>
        <w:ind w:firstLine="420" w:firstLineChars="200"/>
        <w:rPr>
          <w:rFonts w:hint="eastAsia" w:ascii="宋体" w:hAnsi="宋体" w:cs="宋体"/>
          <w:color w:val="auto"/>
        </w:rPr>
      </w:pPr>
      <w:r>
        <w:rPr>
          <w:rFonts w:hint="eastAsia" w:ascii="宋体" w:hAnsi="宋体" w:cs="宋体"/>
          <w:color w:val="auto"/>
        </w:rPr>
        <w:t>（3）对成交结果提出质疑的，为成交结果公告期限届满之日。</w:t>
      </w:r>
    </w:p>
    <w:p w14:paraId="62C54089">
      <w:pPr>
        <w:spacing w:line="360" w:lineRule="exact"/>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B3695B5">
      <w:pPr>
        <w:spacing w:line="360" w:lineRule="exact"/>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7AA41E12">
      <w:pPr>
        <w:spacing w:line="360" w:lineRule="exact"/>
        <w:ind w:firstLine="420" w:firstLineChars="200"/>
        <w:rPr>
          <w:rFonts w:hint="eastAsia" w:ascii="宋体" w:hAnsi="宋体" w:cs="宋体"/>
          <w:color w:val="auto"/>
        </w:rPr>
      </w:pPr>
      <w:r>
        <w:rPr>
          <w:rFonts w:hint="eastAsia" w:ascii="宋体" w:hAnsi="宋体" w:cs="宋体"/>
          <w:color w:val="auto"/>
        </w:rPr>
        <w:t>（1）供应商的姓名或者名称、地址、邮编、联系人及联系电话；</w:t>
      </w:r>
    </w:p>
    <w:p w14:paraId="4907D3AE">
      <w:pPr>
        <w:spacing w:line="360" w:lineRule="exact"/>
        <w:ind w:firstLine="420" w:firstLineChars="200"/>
        <w:rPr>
          <w:rFonts w:hint="eastAsia" w:ascii="宋体" w:hAnsi="宋体" w:cs="宋体"/>
          <w:color w:val="auto"/>
        </w:rPr>
      </w:pPr>
      <w:r>
        <w:rPr>
          <w:rFonts w:hint="eastAsia" w:ascii="宋体" w:hAnsi="宋体" w:cs="宋体"/>
          <w:color w:val="auto"/>
        </w:rPr>
        <w:t>（2）质疑项目的名称、编号；</w:t>
      </w:r>
    </w:p>
    <w:p w14:paraId="6BFFB8B0">
      <w:pPr>
        <w:spacing w:line="360" w:lineRule="exact"/>
        <w:ind w:firstLine="420" w:firstLineChars="200"/>
        <w:rPr>
          <w:rFonts w:hint="eastAsia" w:ascii="宋体" w:hAnsi="宋体" w:cs="宋体"/>
          <w:color w:val="auto"/>
        </w:rPr>
      </w:pPr>
      <w:r>
        <w:rPr>
          <w:rFonts w:hint="eastAsia" w:ascii="宋体" w:hAnsi="宋体" w:cs="宋体"/>
          <w:color w:val="auto"/>
        </w:rPr>
        <w:t>（3）具体、明确的质疑事项和与质疑事项相关的请求；</w:t>
      </w:r>
    </w:p>
    <w:p w14:paraId="5AC82D4B">
      <w:pPr>
        <w:spacing w:line="360" w:lineRule="exact"/>
        <w:ind w:firstLine="420" w:firstLineChars="200"/>
        <w:rPr>
          <w:rFonts w:hint="eastAsia" w:ascii="宋体" w:hAnsi="宋体" w:cs="宋体"/>
          <w:color w:val="auto"/>
        </w:rPr>
      </w:pPr>
      <w:r>
        <w:rPr>
          <w:rFonts w:hint="eastAsia" w:ascii="宋体" w:hAnsi="宋体" w:cs="宋体"/>
          <w:color w:val="auto"/>
        </w:rPr>
        <w:t>（4）事实依据；</w:t>
      </w:r>
    </w:p>
    <w:p w14:paraId="581D870F">
      <w:pPr>
        <w:spacing w:line="360" w:lineRule="exact"/>
        <w:ind w:firstLine="420" w:firstLineChars="200"/>
        <w:rPr>
          <w:rFonts w:hint="eastAsia" w:ascii="宋体" w:hAnsi="宋体" w:cs="宋体"/>
          <w:color w:val="auto"/>
        </w:rPr>
      </w:pPr>
      <w:r>
        <w:rPr>
          <w:rFonts w:hint="eastAsia" w:ascii="宋体" w:hAnsi="宋体" w:cs="宋体"/>
          <w:color w:val="auto"/>
        </w:rPr>
        <w:t>（5）必要的法律依据；</w:t>
      </w:r>
    </w:p>
    <w:p w14:paraId="22AF1F18">
      <w:pPr>
        <w:spacing w:line="360" w:lineRule="exact"/>
        <w:ind w:firstLine="420" w:firstLineChars="200"/>
        <w:rPr>
          <w:rFonts w:hint="eastAsia" w:ascii="宋体" w:hAnsi="宋体" w:cs="宋体"/>
          <w:color w:val="auto"/>
        </w:rPr>
      </w:pPr>
      <w:r>
        <w:rPr>
          <w:rFonts w:hint="eastAsia" w:ascii="宋体" w:hAnsi="宋体" w:cs="宋体"/>
          <w:color w:val="auto"/>
        </w:rPr>
        <w:t>（6）提出质疑的日期。</w:t>
      </w:r>
    </w:p>
    <w:p w14:paraId="6A9E9F95">
      <w:pPr>
        <w:spacing w:line="360" w:lineRule="exact"/>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4B7C0C1C">
      <w:pPr>
        <w:spacing w:line="360" w:lineRule="exact"/>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41FCA572">
      <w:pPr>
        <w:spacing w:line="360" w:lineRule="exact"/>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327776DF">
      <w:pPr>
        <w:spacing w:line="360" w:lineRule="exact"/>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15983F37">
      <w:pPr>
        <w:spacing w:line="360" w:lineRule="exact"/>
        <w:ind w:firstLine="420" w:firstLineChars="200"/>
        <w:rPr>
          <w:rFonts w:hint="eastAsia"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4E6C93BB">
      <w:pPr>
        <w:spacing w:line="360" w:lineRule="exact"/>
        <w:ind w:firstLine="420" w:firstLineChars="200"/>
        <w:rPr>
          <w:rFonts w:hint="eastAsia"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940A612">
      <w:pPr>
        <w:spacing w:line="360" w:lineRule="exact"/>
        <w:ind w:firstLine="482" w:firstLineChars="200"/>
        <w:rPr>
          <w:rFonts w:hint="eastAsia" w:ascii="黑体" w:hAnsi="黑体" w:eastAsia="黑体" w:cs="宋体"/>
          <w:b/>
          <w:bCs/>
          <w:color w:val="auto"/>
          <w:sz w:val="24"/>
        </w:rPr>
      </w:pPr>
      <w:r>
        <w:rPr>
          <w:rFonts w:ascii="黑体" w:hAnsi="黑体" w:eastAsia="黑体" w:cs="宋体"/>
          <w:b/>
          <w:bCs/>
          <w:color w:val="auto"/>
          <w:sz w:val="24"/>
        </w:rPr>
        <w:t>32</w:t>
      </w:r>
      <w:r>
        <w:rPr>
          <w:rFonts w:hint="eastAsia" w:ascii="黑体" w:hAnsi="黑体" w:eastAsia="黑体" w:cs="宋体"/>
          <w:b/>
          <w:bCs/>
          <w:color w:val="auto"/>
          <w:sz w:val="24"/>
        </w:rPr>
        <w:t>.其他内容</w:t>
      </w:r>
    </w:p>
    <w:p w14:paraId="25E0BCEF">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.1代理服务费收取标准及缴费账户详见“供应商须知前附表”，供应商为联合体的，可以由联合体中的一方或者多方共同交纳代理服务费。</w:t>
      </w:r>
    </w:p>
    <w:p w14:paraId="3CBD6E39">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32.2</w:t>
      </w:r>
      <w:r>
        <w:rPr>
          <w:rFonts w:hint="eastAsia" w:ascii="宋体" w:hAnsi="宋体" w:cs="宋体"/>
          <w:color w:val="auto"/>
          <w:szCs w:val="21"/>
        </w:rPr>
        <w:t>代理服务费收费计算标准：</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108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5869589">
            <w:pPr>
              <w:spacing w:line="360" w:lineRule="auto"/>
              <w:rPr>
                <w:rFonts w:hint="eastAsia" w:ascii="宋体" w:hAnsi="宋体" w:cs="宋体"/>
                <w:color w:val="auto"/>
                <w:szCs w:val="21"/>
              </w:rPr>
            </w:pPr>
            <w:r>
              <w:rPr>
                <w:rFonts w:hint="eastAsia" w:ascii="宋体" w:hAnsi="宋体" w:cs="宋体"/>
                <w:color w:val="auto"/>
                <w:szCs w:val="21"/>
              </w:rPr>
              <w:t xml:space="preserve">               费率</w:t>
            </w:r>
          </w:p>
          <w:p w14:paraId="434D545D">
            <w:pPr>
              <w:spacing w:line="360" w:lineRule="auto"/>
              <w:rPr>
                <w:rFonts w:hint="eastAsia" w:ascii="宋体" w:hAnsi="宋体" w:cs="宋体"/>
                <w:color w:val="auto"/>
                <w:szCs w:val="21"/>
              </w:rPr>
            </w:pPr>
            <w:r>
              <w:rPr>
                <w:rFonts w:hint="eastAsia" w:ascii="宋体" w:hAnsi="宋体" w:cs="宋体"/>
                <w:color w:val="auto"/>
                <w:szCs w:val="21"/>
              </w:rPr>
              <w:t>金额</w:t>
            </w:r>
          </w:p>
        </w:tc>
        <w:tc>
          <w:tcPr>
            <w:tcW w:w="1659" w:type="dxa"/>
            <w:noWrap w:val="0"/>
            <w:vAlign w:val="center"/>
          </w:tcPr>
          <w:p w14:paraId="3BD6F716">
            <w:pPr>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货物类</w:t>
            </w:r>
          </w:p>
        </w:tc>
        <w:tc>
          <w:tcPr>
            <w:tcW w:w="1532" w:type="dxa"/>
            <w:noWrap w:val="0"/>
            <w:vAlign w:val="center"/>
          </w:tcPr>
          <w:p w14:paraId="29F81CCE">
            <w:pPr>
              <w:spacing w:line="360" w:lineRule="auto"/>
              <w:jc w:val="center"/>
              <w:rPr>
                <w:rFonts w:hint="eastAsia" w:ascii="宋体" w:hAnsi="宋体" w:cs="宋体"/>
                <w:color w:val="auto"/>
                <w:szCs w:val="21"/>
              </w:rPr>
            </w:pPr>
            <w:r>
              <w:rPr>
                <w:rFonts w:hint="eastAsia" w:ascii="宋体" w:hAnsi="宋体" w:cs="宋体"/>
                <w:color w:val="auto"/>
                <w:szCs w:val="21"/>
              </w:rPr>
              <w:t>服务类</w:t>
            </w:r>
          </w:p>
        </w:tc>
        <w:tc>
          <w:tcPr>
            <w:tcW w:w="1546" w:type="dxa"/>
            <w:noWrap w:val="0"/>
            <w:vAlign w:val="center"/>
          </w:tcPr>
          <w:p w14:paraId="026D0429">
            <w:pPr>
              <w:spacing w:line="360" w:lineRule="auto"/>
              <w:jc w:val="center"/>
              <w:rPr>
                <w:rFonts w:hint="eastAsia" w:ascii="宋体" w:hAnsi="宋体" w:cs="宋体"/>
                <w:color w:val="auto"/>
                <w:szCs w:val="21"/>
              </w:rPr>
            </w:pPr>
            <w:r>
              <w:rPr>
                <w:rFonts w:hint="eastAsia" w:ascii="宋体" w:hAnsi="宋体" w:cs="宋体"/>
                <w:color w:val="auto"/>
                <w:szCs w:val="21"/>
              </w:rPr>
              <w:t>工程类</w:t>
            </w:r>
          </w:p>
        </w:tc>
      </w:tr>
      <w:tr w14:paraId="1749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3A0E4B5">
            <w:pPr>
              <w:spacing w:line="360" w:lineRule="auto"/>
              <w:rPr>
                <w:rFonts w:hint="eastAsia" w:ascii="宋体" w:hAnsi="宋体" w:cs="宋体"/>
                <w:color w:val="auto"/>
                <w:szCs w:val="21"/>
              </w:rPr>
            </w:pPr>
            <w:r>
              <w:rPr>
                <w:rFonts w:hint="eastAsia" w:ascii="宋体" w:hAnsi="宋体" w:cs="宋体"/>
                <w:color w:val="auto"/>
                <w:szCs w:val="21"/>
              </w:rPr>
              <w:t>100万元以下</w:t>
            </w:r>
          </w:p>
        </w:tc>
        <w:tc>
          <w:tcPr>
            <w:tcW w:w="1659" w:type="dxa"/>
            <w:noWrap w:val="0"/>
            <w:vAlign w:val="top"/>
          </w:tcPr>
          <w:p w14:paraId="6AD740D7">
            <w:pPr>
              <w:spacing w:line="360" w:lineRule="auto"/>
              <w:rPr>
                <w:rFonts w:hint="eastAsia" w:ascii="宋体" w:hAnsi="宋体" w:cs="宋体"/>
                <w:color w:val="auto"/>
                <w:szCs w:val="21"/>
              </w:rPr>
            </w:pPr>
            <w:r>
              <w:rPr>
                <w:rFonts w:hint="eastAsia" w:ascii="宋体" w:hAnsi="宋体" w:cs="宋体"/>
                <w:color w:val="auto"/>
                <w:kern w:val="0"/>
                <w:szCs w:val="21"/>
              </w:rPr>
              <w:t xml:space="preserve">  1.5%                </w:t>
            </w:r>
          </w:p>
        </w:tc>
        <w:tc>
          <w:tcPr>
            <w:tcW w:w="1532" w:type="dxa"/>
            <w:noWrap w:val="0"/>
            <w:vAlign w:val="top"/>
          </w:tcPr>
          <w:p w14:paraId="36C99375">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1.5%</w:t>
            </w:r>
          </w:p>
        </w:tc>
        <w:tc>
          <w:tcPr>
            <w:tcW w:w="1546" w:type="dxa"/>
            <w:noWrap w:val="0"/>
            <w:vAlign w:val="top"/>
          </w:tcPr>
          <w:p w14:paraId="2328C4D6">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1.0% </w:t>
            </w:r>
          </w:p>
        </w:tc>
      </w:tr>
      <w:tr w14:paraId="101A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9297012">
            <w:pPr>
              <w:spacing w:line="360" w:lineRule="auto"/>
              <w:rPr>
                <w:rFonts w:hint="eastAsia" w:ascii="宋体" w:hAnsi="宋体" w:cs="宋体"/>
                <w:color w:val="auto"/>
                <w:szCs w:val="21"/>
              </w:rPr>
            </w:pPr>
            <w:r>
              <w:rPr>
                <w:rFonts w:hint="eastAsia" w:ascii="宋体" w:hAnsi="宋体" w:cs="宋体"/>
                <w:color w:val="auto"/>
                <w:szCs w:val="21"/>
              </w:rPr>
              <w:t>100万～500万元</w:t>
            </w:r>
          </w:p>
        </w:tc>
        <w:tc>
          <w:tcPr>
            <w:tcW w:w="1659" w:type="dxa"/>
            <w:noWrap w:val="0"/>
            <w:vAlign w:val="top"/>
          </w:tcPr>
          <w:p w14:paraId="4D49D9E2">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1.1%                 </w:t>
            </w:r>
          </w:p>
        </w:tc>
        <w:tc>
          <w:tcPr>
            <w:tcW w:w="1532" w:type="dxa"/>
            <w:noWrap w:val="0"/>
            <w:vAlign w:val="top"/>
          </w:tcPr>
          <w:p w14:paraId="179FE51A">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0.8%</w:t>
            </w:r>
          </w:p>
        </w:tc>
        <w:tc>
          <w:tcPr>
            <w:tcW w:w="1546" w:type="dxa"/>
            <w:noWrap w:val="0"/>
            <w:vAlign w:val="top"/>
          </w:tcPr>
          <w:p w14:paraId="2CFE64B6">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0.7% </w:t>
            </w:r>
          </w:p>
        </w:tc>
      </w:tr>
      <w:tr w14:paraId="6492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7F28FD">
            <w:pPr>
              <w:spacing w:line="360" w:lineRule="auto"/>
              <w:rPr>
                <w:rFonts w:hint="eastAsia" w:ascii="宋体" w:hAnsi="宋体" w:cs="宋体"/>
                <w:color w:val="auto"/>
                <w:szCs w:val="21"/>
              </w:rPr>
            </w:pPr>
            <w:r>
              <w:rPr>
                <w:rFonts w:hint="eastAsia" w:ascii="宋体" w:hAnsi="宋体" w:cs="宋体"/>
                <w:color w:val="auto"/>
                <w:szCs w:val="21"/>
              </w:rPr>
              <w:t>500万～1000万元</w:t>
            </w:r>
          </w:p>
        </w:tc>
        <w:tc>
          <w:tcPr>
            <w:tcW w:w="1659" w:type="dxa"/>
            <w:noWrap w:val="0"/>
            <w:vAlign w:val="top"/>
          </w:tcPr>
          <w:p w14:paraId="2DC2E24A">
            <w:pPr>
              <w:spacing w:line="360" w:lineRule="auto"/>
              <w:rPr>
                <w:rFonts w:hint="eastAsia" w:ascii="宋体" w:hAnsi="宋体" w:cs="宋体"/>
                <w:color w:val="auto"/>
                <w:szCs w:val="21"/>
              </w:rPr>
            </w:pPr>
            <w:r>
              <w:rPr>
                <w:rFonts w:hint="eastAsia" w:ascii="宋体" w:hAnsi="宋体" w:cs="宋体"/>
                <w:color w:val="auto"/>
                <w:kern w:val="0"/>
                <w:szCs w:val="21"/>
              </w:rPr>
              <w:t xml:space="preserve">  0.8%                </w:t>
            </w:r>
          </w:p>
        </w:tc>
        <w:tc>
          <w:tcPr>
            <w:tcW w:w="1532" w:type="dxa"/>
            <w:noWrap w:val="0"/>
            <w:vAlign w:val="top"/>
          </w:tcPr>
          <w:p w14:paraId="587E533F">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0.45%</w:t>
            </w:r>
          </w:p>
        </w:tc>
        <w:tc>
          <w:tcPr>
            <w:tcW w:w="1546" w:type="dxa"/>
            <w:noWrap w:val="0"/>
            <w:vAlign w:val="top"/>
          </w:tcPr>
          <w:p w14:paraId="6BA72DCD">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0.55%</w:t>
            </w:r>
          </w:p>
        </w:tc>
      </w:tr>
      <w:tr w14:paraId="23C2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9D65A02">
            <w:pPr>
              <w:spacing w:line="360" w:lineRule="auto"/>
              <w:rPr>
                <w:rFonts w:hint="eastAsia" w:ascii="宋体" w:hAnsi="宋体" w:cs="宋体"/>
                <w:color w:val="auto"/>
                <w:szCs w:val="21"/>
              </w:rPr>
            </w:pPr>
            <w:r>
              <w:rPr>
                <w:rFonts w:hint="eastAsia" w:ascii="宋体" w:hAnsi="宋体" w:cs="宋体"/>
                <w:color w:val="auto"/>
                <w:szCs w:val="21"/>
              </w:rPr>
              <w:t>1000万～5000万元</w:t>
            </w:r>
          </w:p>
        </w:tc>
        <w:tc>
          <w:tcPr>
            <w:tcW w:w="1659" w:type="dxa"/>
            <w:noWrap w:val="0"/>
            <w:vAlign w:val="top"/>
          </w:tcPr>
          <w:p w14:paraId="03B37DE9">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0.5%                </w:t>
            </w:r>
          </w:p>
        </w:tc>
        <w:tc>
          <w:tcPr>
            <w:tcW w:w="1532" w:type="dxa"/>
            <w:noWrap w:val="0"/>
            <w:vAlign w:val="top"/>
          </w:tcPr>
          <w:p w14:paraId="5B435217">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0.25%</w:t>
            </w:r>
          </w:p>
        </w:tc>
        <w:tc>
          <w:tcPr>
            <w:tcW w:w="1546" w:type="dxa"/>
            <w:noWrap w:val="0"/>
            <w:vAlign w:val="top"/>
          </w:tcPr>
          <w:p w14:paraId="74EBFDA8">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0.35% </w:t>
            </w:r>
          </w:p>
        </w:tc>
      </w:tr>
      <w:tr w14:paraId="1946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757636">
            <w:pPr>
              <w:spacing w:line="360" w:lineRule="auto"/>
              <w:rPr>
                <w:rFonts w:hint="eastAsia" w:ascii="宋体" w:hAnsi="宋体" w:cs="宋体"/>
                <w:color w:val="auto"/>
                <w:szCs w:val="21"/>
              </w:rPr>
            </w:pPr>
            <w:r>
              <w:rPr>
                <w:rFonts w:hint="eastAsia" w:ascii="宋体" w:hAnsi="宋体" w:cs="宋体"/>
                <w:color w:val="auto"/>
                <w:szCs w:val="21"/>
              </w:rPr>
              <w:t>5000万元～1亿元</w:t>
            </w:r>
          </w:p>
        </w:tc>
        <w:tc>
          <w:tcPr>
            <w:tcW w:w="1659" w:type="dxa"/>
            <w:noWrap w:val="0"/>
            <w:vAlign w:val="top"/>
          </w:tcPr>
          <w:p w14:paraId="738BEC1B">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0.25%                 </w:t>
            </w:r>
          </w:p>
        </w:tc>
        <w:tc>
          <w:tcPr>
            <w:tcW w:w="1532" w:type="dxa"/>
            <w:noWrap w:val="0"/>
            <w:vAlign w:val="top"/>
          </w:tcPr>
          <w:p w14:paraId="363C24C5">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0.1%</w:t>
            </w:r>
          </w:p>
        </w:tc>
        <w:tc>
          <w:tcPr>
            <w:tcW w:w="1546" w:type="dxa"/>
            <w:noWrap w:val="0"/>
            <w:vAlign w:val="top"/>
          </w:tcPr>
          <w:p w14:paraId="5C22C429">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0.2%</w:t>
            </w:r>
          </w:p>
        </w:tc>
      </w:tr>
      <w:tr w14:paraId="40DB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5CBEBE9">
            <w:pPr>
              <w:spacing w:line="360" w:lineRule="auto"/>
              <w:rPr>
                <w:rFonts w:hint="eastAsia" w:ascii="宋体" w:hAnsi="宋体" w:cs="宋体"/>
                <w:color w:val="auto"/>
                <w:szCs w:val="21"/>
              </w:rPr>
            </w:pPr>
            <w:r>
              <w:rPr>
                <w:rFonts w:hint="eastAsia" w:ascii="宋体" w:hAnsi="宋体" w:cs="宋体"/>
                <w:color w:val="auto"/>
                <w:szCs w:val="21"/>
              </w:rPr>
              <w:t>1亿～5亿元</w:t>
            </w:r>
          </w:p>
        </w:tc>
        <w:tc>
          <w:tcPr>
            <w:tcW w:w="1659" w:type="dxa"/>
            <w:noWrap w:val="0"/>
            <w:vAlign w:val="top"/>
          </w:tcPr>
          <w:p w14:paraId="45A63433">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0.05%</w:t>
            </w:r>
          </w:p>
        </w:tc>
        <w:tc>
          <w:tcPr>
            <w:tcW w:w="1532" w:type="dxa"/>
            <w:noWrap w:val="0"/>
            <w:vAlign w:val="top"/>
          </w:tcPr>
          <w:p w14:paraId="1A15138B">
            <w:pPr>
              <w:spacing w:line="360" w:lineRule="auto"/>
              <w:rPr>
                <w:rFonts w:hint="eastAsia" w:ascii="宋体" w:hAnsi="宋体" w:cs="宋体"/>
                <w:color w:val="auto"/>
                <w:szCs w:val="21"/>
              </w:rPr>
            </w:pPr>
            <w:r>
              <w:rPr>
                <w:rFonts w:hint="eastAsia" w:ascii="宋体" w:hAnsi="宋体" w:cs="宋体"/>
                <w:color w:val="auto"/>
                <w:szCs w:val="21"/>
              </w:rPr>
              <w:t xml:space="preserve">  0.05%</w:t>
            </w:r>
          </w:p>
        </w:tc>
        <w:tc>
          <w:tcPr>
            <w:tcW w:w="1546" w:type="dxa"/>
            <w:noWrap w:val="0"/>
            <w:vAlign w:val="top"/>
          </w:tcPr>
          <w:p w14:paraId="36F0B344">
            <w:pPr>
              <w:spacing w:line="360" w:lineRule="auto"/>
              <w:rPr>
                <w:rFonts w:hint="eastAsia" w:ascii="宋体" w:hAnsi="宋体" w:cs="宋体"/>
                <w:color w:val="auto"/>
                <w:szCs w:val="21"/>
              </w:rPr>
            </w:pPr>
            <w:r>
              <w:rPr>
                <w:rFonts w:hint="eastAsia" w:ascii="宋体" w:hAnsi="宋体" w:cs="宋体"/>
                <w:color w:val="auto"/>
                <w:szCs w:val="21"/>
              </w:rPr>
              <w:t xml:space="preserve">  0.05%</w:t>
            </w:r>
          </w:p>
        </w:tc>
      </w:tr>
      <w:tr w14:paraId="46CE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A6CF5B7">
            <w:pPr>
              <w:spacing w:line="360" w:lineRule="auto"/>
              <w:rPr>
                <w:rFonts w:hint="eastAsia" w:ascii="宋体" w:hAnsi="宋体" w:cs="宋体"/>
                <w:color w:val="auto"/>
                <w:szCs w:val="21"/>
              </w:rPr>
            </w:pPr>
            <w:r>
              <w:rPr>
                <w:rFonts w:hint="eastAsia" w:ascii="宋体" w:hAnsi="宋体" w:cs="宋体"/>
                <w:color w:val="auto"/>
                <w:szCs w:val="21"/>
              </w:rPr>
              <w:t>5亿～10亿元</w:t>
            </w:r>
          </w:p>
        </w:tc>
        <w:tc>
          <w:tcPr>
            <w:tcW w:w="1659" w:type="dxa"/>
            <w:noWrap w:val="0"/>
            <w:vAlign w:val="top"/>
          </w:tcPr>
          <w:p w14:paraId="44856C82">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0.035%</w:t>
            </w:r>
          </w:p>
        </w:tc>
        <w:tc>
          <w:tcPr>
            <w:tcW w:w="1532" w:type="dxa"/>
            <w:noWrap w:val="0"/>
            <w:vAlign w:val="top"/>
          </w:tcPr>
          <w:p w14:paraId="0D636C26">
            <w:pPr>
              <w:spacing w:line="360" w:lineRule="auto"/>
              <w:rPr>
                <w:rFonts w:hint="eastAsia" w:ascii="宋体" w:hAnsi="宋体" w:cs="宋体"/>
                <w:color w:val="auto"/>
                <w:szCs w:val="21"/>
              </w:rPr>
            </w:pPr>
            <w:r>
              <w:rPr>
                <w:rFonts w:hint="eastAsia" w:ascii="宋体" w:hAnsi="宋体" w:cs="宋体"/>
                <w:color w:val="auto"/>
                <w:szCs w:val="21"/>
              </w:rPr>
              <w:t xml:space="preserve">  0.035%</w:t>
            </w:r>
          </w:p>
        </w:tc>
        <w:tc>
          <w:tcPr>
            <w:tcW w:w="1546" w:type="dxa"/>
            <w:noWrap w:val="0"/>
            <w:vAlign w:val="top"/>
          </w:tcPr>
          <w:p w14:paraId="5E0E5DCB">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0.035%</w:t>
            </w:r>
          </w:p>
        </w:tc>
      </w:tr>
      <w:tr w14:paraId="0A2D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D7F5F28">
            <w:pPr>
              <w:spacing w:line="360" w:lineRule="auto"/>
              <w:rPr>
                <w:rFonts w:hint="eastAsia" w:ascii="宋体" w:hAnsi="宋体" w:cs="宋体"/>
                <w:color w:val="auto"/>
                <w:szCs w:val="21"/>
              </w:rPr>
            </w:pPr>
            <w:r>
              <w:rPr>
                <w:rFonts w:hint="eastAsia" w:ascii="宋体" w:hAnsi="宋体" w:cs="宋体"/>
                <w:color w:val="auto"/>
                <w:szCs w:val="21"/>
              </w:rPr>
              <w:t>10亿～50亿元</w:t>
            </w:r>
          </w:p>
        </w:tc>
        <w:tc>
          <w:tcPr>
            <w:tcW w:w="1659" w:type="dxa"/>
            <w:noWrap w:val="0"/>
            <w:vAlign w:val="top"/>
          </w:tcPr>
          <w:p w14:paraId="50FF389A">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0.008%</w:t>
            </w:r>
          </w:p>
        </w:tc>
        <w:tc>
          <w:tcPr>
            <w:tcW w:w="1532" w:type="dxa"/>
            <w:noWrap w:val="0"/>
            <w:vAlign w:val="top"/>
          </w:tcPr>
          <w:p w14:paraId="137FAA2D">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0.008%</w:t>
            </w:r>
          </w:p>
        </w:tc>
        <w:tc>
          <w:tcPr>
            <w:tcW w:w="1546" w:type="dxa"/>
            <w:noWrap w:val="0"/>
            <w:vAlign w:val="top"/>
          </w:tcPr>
          <w:p w14:paraId="37C5BF2C">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0.008%</w:t>
            </w:r>
          </w:p>
        </w:tc>
      </w:tr>
      <w:tr w14:paraId="2A48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1800D7">
            <w:pPr>
              <w:spacing w:line="360" w:lineRule="auto"/>
              <w:rPr>
                <w:rFonts w:hint="eastAsia" w:ascii="宋体" w:hAnsi="宋体" w:cs="宋体"/>
                <w:color w:val="auto"/>
                <w:szCs w:val="21"/>
              </w:rPr>
            </w:pPr>
            <w:r>
              <w:rPr>
                <w:rFonts w:hint="eastAsia" w:ascii="宋体" w:hAnsi="宋体" w:cs="宋体"/>
                <w:color w:val="auto"/>
                <w:szCs w:val="21"/>
              </w:rPr>
              <w:t>50亿～100亿元</w:t>
            </w:r>
          </w:p>
        </w:tc>
        <w:tc>
          <w:tcPr>
            <w:tcW w:w="1659" w:type="dxa"/>
            <w:noWrap w:val="0"/>
            <w:vAlign w:val="top"/>
          </w:tcPr>
          <w:p w14:paraId="67E6D3A1">
            <w:pPr>
              <w:spacing w:line="360" w:lineRule="auto"/>
              <w:rPr>
                <w:rFonts w:hint="eastAsia" w:ascii="宋体" w:hAnsi="宋体" w:cs="宋体"/>
                <w:color w:val="auto"/>
                <w:szCs w:val="21"/>
              </w:rPr>
            </w:pPr>
            <w:r>
              <w:rPr>
                <w:rFonts w:hint="eastAsia" w:ascii="宋体" w:hAnsi="宋体" w:cs="宋体"/>
                <w:color w:val="auto"/>
                <w:szCs w:val="21"/>
              </w:rPr>
              <w:t xml:space="preserve"> 0.006%</w:t>
            </w:r>
          </w:p>
        </w:tc>
        <w:tc>
          <w:tcPr>
            <w:tcW w:w="1532" w:type="dxa"/>
            <w:noWrap w:val="0"/>
            <w:vAlign w:val="top"/>
          </w:tcPr>
          <w:p w14:paraId="47D8CDA9">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0.006%</w:t>
            </w:r>
          </w:p>
        </w:tc>
        <w:tc>
          <w:tcPr>
            <w:tcW w:w="1546" w:type="dxa"/>
            <w:noWrap w:val="0"/>
            <w:vAlign w:val="top"/>
          </w:tcPr>
          <w:p w14:paraId="5C667507">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0.006%</w:t>
            </w:r>
          </w:p>
        </w:tc>
      </w:tr>
      <w:tr w14:paraId="1765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AA18170">
            <w:pPr>
              <w:spacing w:line="360" w:lineRule="auto"/>
              <w:rPr>
                <w:rFonts w:hint="eastAsia" w:ascii="宋体" w:hAnsi="宋体" w:cs="宋体"/>
                <w:color w:val="auto"/>
                <w:szCs w:val="21"/>
              </w:rPr>
            </w:pPr>
            <w:r>
              <w:rPr>
                <w:rFonts w:hint="eastAsia" w:ascii="宋体" w:hAnsi="宋体" w:cs="宋体"/>
                <w:color w:val="auto"/>
                <w:szCs w:val="21"/>
              </w:rPr>
              <w:t>100亿以上</w:t>
            </w:r>
          </w:p>
        </w:tc>
        <w:tc>
          <w:tcPr>
            <w:tcW w:w="1659" w:type="dxa"/>
            <w:noWrap w:val="0"/>
            <w:vAlign w:val="top"/>
          </w:tcPr>
          <w:p w14:paraId="01CC2273">
            <w:pPr>
              <w:spacing w:line="360" w:lineRule="auto"/>
              <w:rPr>
                <w:rFonts w:hint="eastAsia" w:ascii="宋体" w:hAnsi="宋体" w:cs="宋体"/>
                <w:color w:val="auto"/>
                <w:szCs w:val="21"/>
              </w:rPr>
            </w:pPr>
            <w:r>
              <w:rPr>
                <w:rFonts w:hint="eastAsia" w:ascii="宋体" w:hAnsi="宋体" w:cs="宋体"/>
                <w:color w:val="auto"/>
                <w:szCs w:val="21"/>
              </w:rPr>
              <w:t xml:space="preserve"> 0.004%</w:t>
            </w:r>
          </w:p>
        </w:tc>
        <w:tc>
          <w:tcPr>
            <w:tcW w:w="1532" w:type="dxa"/>
            <w:noWrap w:val="0"/>
            <w:vAlign w:val="top"/>
          </w:tcPr>
          <w:p w14:paraId="724BFCD0">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0.004%</w:t>
            </w:r>
          </w:p>
        </w:tc>
        <w:tc>
          <w:tcPr>
            <w:tcW w:w="1546" w:type="dxa"/>
            <w:noWrap w:val="0"/>
            <w:vAlign w:val="top"/>
          </w:tcPr>
          <w:p w14:paraId="7A50B43B">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0.004%</w:t>
            </w:r>
          </w:p>
        </w:tc>
      </w:tr>
    </w:tbl>
    <w:p w14:paraId="18036023">
      <w:pPr>
        <w:spacing w:line="360" w:lineRule="auto"/>
        <w:ind w:firstLine="420" w:firstLineChars="200"/>
        <w:rPr>
          <w:rFonts w:ascii="宋体" w:hAnsi="宋体" w:cs="宋体"/>
          <w:color w:val="auto"/>
        </w:rPr>
      </w:pPr>
      <w:r>
        <w:rPr>
          <w:rFonts w:ascii="宋体" w:hAnsi="宋体" w:cs="宋体"/>
          <w:color w:val="auto"/>
        </w:rPr>
        <w:t>注：</w:t>
      </w:r>
    </w:p>
    <w:p w14:paraId="71EBDEC7">
      <w:pPr>
        <w:spacing w:line="360" w:lineRule="auto"/>
        <w:ind w:firstLine="420" w:firstLineChars="200"/>
        <w:rPr>
          <w:rFonts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14:paraId="650B6B54">
      <w:pPr>
        <w:spacing w:line="360" w:lineRule="auto"/>
        <w:ind w:firstLine="420" w:firstLineChars="200"/>
        <w:rPr>
          <w:rFonts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14:paraId="0673B8E2">
      <w:pPr>
        <w:spacing w:line="360" w:lineRule="auto"/>
        <w:ind w:firstLine="420" w:firstLineChars="200"/>
        <w:rPr>
          <w:rFonts w:ascii="宋体" w:hAnsi="宋体" w:cs="宋体"/>
          <w:color w:val="auto"/>
        </w:rPr>
      </w:pPr>
      <w:r>
        <w:rPr>
          <w:rFonts w:ascii="宋体" w:hAnsi="宋体" w:cs="宋体"/>
          <w:color w:val="auto"/>
        </w:rPr>
        <w:t>例如：某</w:t>
      </w:r>
      <w:r>
        <w:rPr>
          <w:rFonts w:hint="eastAsia" w:ascii="宋体" w:hAnsi="宋体" w:cs="宋体"/>
          <w:color w:val="auto"/>
        </w:rPr>
        <w:t>工程采购</w:t>
      </w:r>
      <w:r>
        <w:rPr>
          <w:rFonts w:ascii="宋体" w:hAnsi="宋体" w:cs="宋体"/>
          <w:color w:val="auto"/>
        </w:rPr>
        <w:t>代理业务</w:t>
      </w:r>
      <w:r>
        <w:rPr>
          <w:rFonts w:hint="eastAsia" w:ascii="宋体" w:hAnsi="宋体" w:cs="宋体"/>
          <w:color w:val="auto"/>
        </w:rPr>
        <w:t>成交</w:t>
      </w:r>
      <w:r>
        <w:rPr>
          <w:rFonts w:ascii="宋体" w:hAnsi="宋体" w:cs="宋体"/>
          <w:color w:val="auto"/>
        </w:rPr>
        <w:t>金额</w:t>
      </w:r>
      <w:r>
        <w:rPr>
          <w:rFonts w:hint="eastAsia" w:ascii="宋体" w:hAnsi="宋体" w:cs="宋体"/>
          <w:color w:val="auto"/>
        </w:rPr>
        <w:t>或者暂定价</w:t>
      </w:r>
      <w:r>
        <w:rPr>
          <w:rFonts w:ascii="宋体" w:hAnsi="宋体" w:cs="宋体"/>
          <w:color w:val="auto"/>
        </w:rPr>
        <w:t>为150万元，计算</w:t>
      </w:r>
      <w:r>
        <w:rPr>
          <w:rFonts w:hint="eastAsia" w:ascii="宋体" w:hAnsi="宋体" w:cs="宋体"/>
          <w:color w:val="auto"/>
        </w:rPr>
        <w:t>采购</w:t>
      </w:r>
      <w:r>
        <w:rPr>
          <w:rFonts w:ascii="宋体" w:hAnsi="宋体" w:cs="宋体"/>
          <w:color w:val="auto"/>
        </w:rPr>
        <w:t>代理收费额如下：</w:t>
      </w:r>
    </w:p>
    <w:p w14:paraId="308ECF0F">
      <w:pPr>
        <w:spacing w:line="360" w:lineRule="auto"/>
        <w:ind w:firstLine="420" w:firstLineChars="200"/>
        <w:rPr>
          <w:rFonts w:ascii="宋体" w:hAnsi="宋体" w:cs="宋体"/>
          <w:color w:val="auto"/>
        </w:rPr>
      </w:pPr>
      <w:r>
        <w:rPr>
          <w:rFonts w:ascii="宋体" w:hAnsi="宋体" w:cs="宋体"/>
          <w:color w:val="auto"/>
        </w:rPr>
        <w:t>100 万元 ×l.</w:t>
      </w:r>
      <w:r>
        <w:rPr>
          <w:rFonts w:hint="eastAsia" w:ascii="宋体" w:hAnsi="宋体" w:cs="宋体"/>
          <w:color w:val="auto"/>
        </w:rPr>
        <w:t>0</w:t>
      </w:r>
      <w:r>
        <w:rPr>
          <w:rFonts w:ascii="宋体" w:hAnsi="宋体" w:cs="宋体"/>
          <w:color w:val="auto"/>
        </w:rPr>
        <w:t xml:space="preserve"> %＝ 1.</w:t>
      </w:r>
      <w:r>
        <w:rPr>
          <w:rFonts w:hint="eastAsia" w:ascii="宋体" w:hAnsi="宋体" w:cs="宋体"/>
          <w:color w:val="auto"/>
        </w:rPr>
        <w:t>0</w:t>
      </w:r>
      <w:r>
        <w:rPr>
          <w:rFonts w:ascii="宋体" w:hAnsi="宋体" w:cs="宋体"/>
          <w:color w:val="auto"/>
        </w:rPr>
        <w:t>万元</w:t>
      </w:r>
    </w:p>
    <w:p w14:paraId="53B7DC39">
      <w:pPr>
        <w:spacing w:line="360" w:lineRule="auto"/>
        <w:ind w:firstLine="420" w:firstLineChars="200"/>
        <w:rPr>
          <w:rFonts w:ascii="宋体" w:hAnsi="宋体" w:cs="宋体"/>
          <w:color w:val="auto"/>
        </w:rPr>
      </w:pPr>
      <w:r>
        <w:rPr>
          <w:rFonts w:ascii="宋体" w:hAnsi="宋体" w:cs="宋体"/>
          <w:color w:val="auto"/>
        </w:rPr>
        <w:t>（ 150 － 100 ）万元 ×0.</w:t>
      </w:r>
      <w:r>
        <w:rPr>
          <w:rFonts w:hint="eastAsia" w:ascii="宋体" w:hAnsi="宋体" w:cs="宋体"/>
          <w:color w:val="auto"/>
        </w:rPr>
        <w:t>7</w:t>
      </w:r>
      <w:r>
        <w:rPr>
          <w:rFonts w:ascii="宋体" w:hAnsi="宋体" w:cs="宋体"/>
          <w:color w:val="auto"/>
        </w:rPr>
        <w:t>%＝ 0.</w:t>
      </w:r>
      <w:r>
        <w:rPr>
          <w:rFonts w:hint="eastAsia" w:ascii="宋体" w:hAnsi="宋体" w:cs="宋体"/>
          <w:color w:val="auto"/>
        </w:rPr>
        <w:t>35</w:t>
      </w:r>
      <w:r>
        <w:rPr>
          <w:rFonts w:ascii="宋体" w:hAnsi="宋体" w:cs="宋体"/>
          <w:color w:val="auto"/>
        </w:rPr>
        <w:t>万元</w:t>
      </w:r>
    </w:p>
    <w:p w14:paraId="266EDAB0">
      <w:pPr>
        <w:tabs>
          <w:tab w:val="left" w:pos="2835"/>
        </w:tabs>
        <w:spacing w:line="360" w:lineRule="auto"/>
        <w:ind w:firstLine="420" w:firstLineChars="200"/>
        <w:rPr>
          <w:rFonts w:ascii="宋体" w:hAnsi="宋体" w:cs="宋体"/>
          <w:color w:val="auto"/>
          <w:szCs w:val="21"/>
        </w:rPr>
      </w:pPr>
      <w:r>
        <w:rPr>
          <w:rFonts w:ascii="宋体" w:hAnsi="宋体" w:cs="宋体"/>
          <w:color w:val="auto"/>
        </w:rPr>
        <w:t>合计收费＝ 1.</w:t>
      </w:r>
      <w:r>
        <w:rPr>
          <w:rFonts w:hint="eastAsia" w:ascii="宋体" w:hAnsi="宋体" w:cs="宋体"/>
          <w:color w:val="auto"/>
        </w:rPr>
        <w:t>0</w:t>
      </w:r>
      <w:r>
        <w:rPr>
          <w:rFonts w:ascii="宋体" w:hAnsi="宋体" w:cs="宋体"/>
          <w:color w:val="auto"/>
        </w:rPr>
        <w:t xml:space="preserve"> ＋ 0.</w:t>
      </w:r>
      <w:r>
        <w:rPr>
          <w:rFonts w:hint="eastAsia" w:ascii="宋体" w:hAnsi="宋体" w:cs="宋体"/>
          <w:color w:val="auto"/>
        </w:rPr>
        <w:t>35</w:t>
      </w:r>
      <w:r>
        <w:rPr>
          <w:rFonts w:ascii="宋体" w:hAnsi="宋体" w:cs="宋体"/>
          <w:color w:val="auto"/>
        </w:rPr>
        <w:t>＝ 1.</w:t>
      </w:r>
      <w:r>
        <w:rPr>
          <w:rFonts w:hint="eastAsia" w:ascii="宋体" w:hAnsi="宋体" w:cs="宋体"/>
          <w:color w:val="auto"/>
        </w:rPr>
        <w:t>35</w:t>
      </w:r>
      <w:r>
        <w:rPr>
          <w:rFonts w:ascii="宋体" w:hAnsi="宋体" w:cs="宋体"/>
          <w:color w:val="auto"/>
        </w:rPr>
        <w:t>万元</w:t>
      </w:r>
    </w:p>
    <w:p w14:paraId="1AB71D05">
      <w:pPr>
        <w:spacing w:line="360" w:lineRule="exact"/>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3.需要补充的其他内容</w:t>
      </w:r>
    </w:p>
    <w:p w14:paraId="18FED1AB">
      <w:pPr>
        <w:pStyle w:val="27"/>
        <w:spacing w:line="360" w:lineRule="exact"/>
        <w:ind w:firstLine="420" w:firstLineChars="200"/>
        <w:textAlignment w:val="center"/>
        <w:rPr>
          <w:rFonts w:hint="eastAsia" w:hAnsi="宋体" w:cs="宋体"/>
          <w:color w:val="auto"/>
          <w:kern w:val="2"/>
          <w:sz w:val="21"/>
        </w:rPr>
      </w:pPr>
      <w:r>
        <w:rPr>
          <w:rFonts w:hint="eastAsia" w:hAnsi="宋体" w:cs="宋体"/>
          <w:color w:val="auto"/>
          <w:kern w:val="2"/>
          <w:sz w:val="21"/>
        </w:rPr>
        <w:t>3</w:t>
      </w:r>
      <w:r>
        <w:rPr>
          <w:rFonts w:hAnsi="宋体" w:cs="宋体"/>
          <w:color w:val="auto"/>
          <w:kern w:val="2"/>
          <w:sz w:val="21"/>
        </w:rPr>
        <w:t>3.1</w:t>
      </w:r>
      <w:r>
        <w:rPr>
          <w:rFonts w:hint="eastAsia" w:hAnsi="宋体" w:cs="宋体"/>
          <w:color w:val="auto"/>
          <w:kern w:val="2"/>
          <w:sz w:val="21"/>
        </w:rPr>
        <w:t>本磋商文件解释规则详见“供应商须知前附表”。</w:t>
      </w:r>
    </w:p>
    <w:p w14:paraId="6B23D1CE">
      <w:pPr>
        <w:pStyle w:val="27"/>
        <w:spacing w:line="360" w:lineRule="exact"/>
        <w:ind w:firstLine="420" w:firstLineChars="200"/>
        <w:textAlignment w:val="center"/>
        <w:rPr>
          <w:rFonts w:hint="eastAsia" w:hAnsi="宋体" w:cs="宋体"/>
          <w:color w:val="auto"/>
          <w:kern w:val="2"/>
          <w:sz w:val="21"/>
        </w:rPr>
      </w:pPr>
      <w:r>
        <w:rPr>
          <w:rFonts w:hint="eastAsia" w:hAnsi="宋体" w:cs="宋体"/>
          <w:color w:val="auto"/>
          <w:kern w:val="2"/>
          <w:sz w:val="21"/>
        </w:rPr>
        <w:t>33.2农民工工资保证金见“供应商须知前附表”。</w:t>
      </w:r>
    </w:p>
    <w:p w14:paraId="555DA0AF">
      <w:pPr>
        <w:pStyle w:val="27"/>
        <w:spacing w:line="360" w:lineRule="exact"/>
        <w:ind w:firstLine="420" w:firstLineChars="200"/>
        <w:textAlignment w:val="center"/>
        <w:rPr>
          <w:rFonts w:hAnsi="宋体" w:cs="宋体"/>
          <w:color w:val="auto"/>
          <w:kern w:val="2"/>
          <w:sz w:val="21"/>
        </w:rPr>
      </w:pPr>
      <w:r>
        <w:rPr>
          <w:rFonts w:hAnsi="宋体" w:cs="宋体"/>
          <w:color w:val="auto"/>
          <w:kern w:val="2"/>
          <w:sz w:val="21"/>
        </w:rPr>
        <w:t>33.</w:t>
      </w:r>
      <w:r>
        <w:rPr>
          <w:rFonts w:hint="eastAsia" w:hAnsi="宋体" w:cs="宋体"/>
          <w:color w:val="auto"/>
          <w:kern w:val="2"/>
          <w:sz w:val="21"/>
        </w:rPr>
        <w:t>3 其他事项详见“供应商须知前附表”。</w:t>
      </w:r>
    </w:p>
    <w:p w14:paraId="3B212F45">
      <w:pPr>
        <w:pStyle w:val="27"/>
        <w:spacing w:line="360" w:lineRule="exact"/>
        <w:ind w:firstLine="420" w:firstLineChars="200"/>
        <w:textAlignment w:val="center"/>
        <w:rPr>
          <w:rFonts w:hint="eastAsia" w:hAnsi="宋体" w:cs="宋体"/>
          <w:color w:val="auto"/>
          <w:kern w:val="2"/>
          <w:sz w:val="21"/>
        </w:rPr>
      </w:pPr>
      <w:r>
        <w:rPr>
          <w:rFonts w:hint="eastAsia" w:hAnsi="宋体" w:cs="宋体"/>
          <w:color w:val="auto"/>
          <w:kern w:val="2"/>
          <w:sz w:val="21"/>
        </w:rPr>
        <w:t>3</w:t>
      </w:r>
      <w:r>
        <w:rPr>
          <w:rFonts w:hAnsi="宋体" w:cs="宋体"/>
          <w:color w:val="auto"/>
          <w:kern w:val="2"/>
          <w:sz w:val="21"/>
        </w:rPr>
        <w:t>3.</w:t>
      </w:r>
      <w:r>
        <w:rPr>
          <w:rFonts w:hint="eastAsia" w:hAnsi="宋体" w:cs="宋体"/>
          <w:color w:val="auto"/>
          <w:kern w:val="2"/>
          <w:sz w:val="21"/>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ED1E3EE">
      <w:pPr>
        <w:pStyle w:val="27"/>
        <w:spacing w:line="360" w:lineRule="exact"/>
        <w:ind w:firstLine="420" w:firstLineChars="200"/>
        <w:contextualSpacing/>
        <w:rPr>
          <w:rFonts w:hint="eastAsia"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1137B289">
      <w:pPr>
        <w:pStyle w:val="27"/>
        <w:spacing w:line="360" w:lineRule="exact"/>
        <w:ind w:firstLine="420" w:firstLineChars="200"/>
        <w:contextualSpacing/>
        <w:rPr>
          <w:rFonts w:hint="eastAsia"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4F90CE92">
      <w:pPr>
        <w:pStyle w:val="27"/>
        <w:spacing w:line="360" w:lineRule="exact"/>
        <w:ind w:firstLine="420" w:firstLineChars="200"/>
        <w:contextualSpacing/>
        <w:rPr>
          <w:rFonts w:hint="eastAsia"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7B4C44D7">
      <w:pPr>
        <w:pStyle w:val="27"/>
        <w:spacing w:line="360" w:lineRule="exact"/>
        <w:ind w:firstLine="420" w:firstLineChars="200"/>
        <w:contextualSpacing/>
        <w:rPr>
          <w:rFonts w:hint="eastAsia" w:hAnsi="宋体"/>
          <w:color w:val="auto"/>
          <w:sz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rPr>
        <w:t>中小企业的，联合体视同中小企业。其中，联合体各方均为小微企业的，联合体视同小微企业。</w:t>
      </w:r>
    </w:p>
    <w:p w14:paraId="337C4442">
      <w:pPr>
        <w:pStyle w:val="27"/>
        <w:spacing w:line="360" w:lineRule="exact"/>
        <w:ind w:firstLine="420" w:firstLineChars="200"/>
        <w:contextualSpacing/>
        <w:rPr>
          <w:rFonts w:hint="eastAsia" w:hAnsi="宋体"/>
          <w:color w:val="auto"/>
          <w:sz w:val="21"/>
        </w:rPr>
      </w:pPr>
      <w:r>
        <w:rPr>
          <w:rFonts w:hint="eastAsia" w:hAnsi="宋体"/>
          <w:color w:val="auto"/>
          <w:sz w:val="21"/>
        </w:rPr>
        <w:t>依据本磋商文件规定享受扶持政策获得政府采购合同的，小微企业不得将合同分包给大中型企业，中型企业不得将合同分包给大型企业。</w:t>
      </w:r>
    </w:p>
    <w:p w14:paraId="4F6DE2DE">
      <w:pPr>
        <w:pStyle w:val="27"/>
        <w:spacing w:before="340" w:after="340" w:line="380" w:lineRule="exact"/>
        <w:ind w:firstLine="402" w:firstLineChars="200"/>
        <w:jc w:val="center"/>
        <w:textAlignment w:val="center"/>
        <w:rPr>
          <w:rFonts w:hint="eastAsia" w:ascii="Times New Roman" w:hAnsi="Times New Roman"/>
          <w:b/>
          <w:bCs/>
          <w:color w:val="auto"/>
          <w:kern w:val="44"/>
          <w:sz w:val="44"/>
          <w:szCs w:val="44"/>
        </w:rPr>
      </w:pPr>
      <w:r>
        <w:rPr>
          <w:rFonts w:hAnsi="宋体"/>
          <w:b/>
          <w:color w:val="auto"/>
        </w:rPr>
        <w:br w:type="page"/>
      </w:r>
      <w:bookmarkStart w:id="74" w:name="_Toc74323458"/>
      <w:bookmarkStart w:id="75" w:name="_Toc122424247"/>
      <w:r>
        <w:rPr>
          <w:rFonts w:hint="eastAsia" w:ascii="Times New Roman" w:hAnsi="Times New Roman"/>
          <w:b/>
          <w:bCs/>
          <w:color w:val="auto"/>
          <w:kern w:val="44"/>
          <w:sz w:val="44"/>
          <w:szCs w:val="44"/>
        </w:rPr>
        <w:t>第三章 采购需求</w:t>
      </w:r>
      <w:bookmarkEnd w:id="74"/>
    </w:p>
    <w:p w14:paraId="7B8D727A">
      <w:pPr>
        <w:spacing w:line="380" w:lineRule="exact"/>
        <w:jc w:val="left"/>
        <w:rPr>
          <w:rFonts w:hint="eastAsia" w:ascii="宋体" w:hAnsi="宋体" w:cs="宋体"/>
          <w:color w:val="auto"/>
          <w:szCs w:val="21"/>
        </w:rPr>
      </w:pPr>
      <w:r>
        <w:rPr>
          <w:rFonts w:hint="eastAsia" w:ascii="宋体" w:hAnsi="宋体" w:cs="宋体"/>
          <w:color w:val="auto"/>
          <w:szCs w:val="21"/>
        </w:rPr>
        <w:t>说明：</w:t>
      </w:r>
    </w:p>
    <w:p w14:paraId="2BE03DAB">
      <w:pPr>
        <w:spacing w:line="380" w:lineRule="exact"/>
        <w:ind w:firstLine="420" w:firstLineChars="200"/>
        <w:jc w:val="left"/>
        <w:rPr>
          <w:rFonts w:hint="eastAsia" w:ascii="宋体" w:hAnsi="宋体" w:cs="宋体"/>
          <w:color w:val="auto"/>
          <w:szCs w:val="21"/>
        </w:rPr>
      </w:pPr>
      <w:r>
        <w:rPr>
          <w:rFonts w:hint="eastAsia" w:ascii="宋体" w:hAnsi="宋体"/>
          <w:color w:val="auto"/>
        </w:rPr>
        <w:t>1</w:t>
      </w:r>
      <w:r>
        <w:rPr>
          <w:rFonts w:hint="eastAsia"/>
          <w:color w:val="auto"/>
        </w:rPr>
        <w:t>. 为落实政府采购政策需满足的要求</w:t>
      </w:r>
    </w:p>
    <w:p w14:paraId="0B610CCF">
      <w:pPr>
        <w:spacing w:line="380" w:lineRule="exact"/>
        <w:ind w:firstLine="420" w:firstLineChars="200"/>
        <w:jc w:val="left"/>
        <w:rPr>
          <w:rFonts w:hint="eastAsia" w:ascii="宋体" w:hAnsi="宋体" w:cs="宋体"/>
          <w:color w:val="auto"/>
          <w:szCs w:val="21"/>
        </w:rPr>
      </w:pPr>
      <w:r>
        <w:rPr>
          <w:rFonts w:hint="eastAsia" w:ascii="宋体" w:hAnsi="宋体" w:cs="宋体"/>
          <w:color w:val="auto"/>
          <w:szCs w:val="21"/>
        </w:rPr>
        <w:t>（1）本竞争性磋商采购文件所称中小企业必须符合《政府采购促进中小企业发展管理办法》（财库〔2020〕46号）的规定。</w:t>
      </w:r>
    </w:p>
    <w:p w14:paraId="707E62B5">
      <w:pPr>
        <w:spacing w:line="380" w:lineRule="exact"/>
        <w:ind w:firstLine="424" w:firstLineChars="202"/>
        <w:jc w:val="left"/>
        <w:rPr>
          <w:rFonts w:hint="eastAsia" w:ascii="宋体" w:hAnsi="宋体" w:cs="宋体"/>
          <w:color w:val="auto"/>
          <w:szCs w:val="21"/>
        </w:rPr>
      </w:pPr>
      <w:r>
        <w:rPr>
          <w:rFonts w:hint="eastAsia" w:ascii="宋体" w:hAnsi="宋体" w:cs="宋体"/>
          <w:color w:val="auto"/>
          <w:szCs w:val="21"/>
        </w:rPr>
        <w:t>2. “实质性要求”是指采购需求中带“▲”的条款或者不能负偏离的条款或者已经指明不满足响应文件按无效处理的条款。</w:t>
      </w:r>
    </w:p>
    <w:p w14:paraId="71351EB7">
      <w:pPr>
        <w:spacing w:line="380" w:lineRule="exact"/>
        <w:ind w:firstLine="424" w:firstLineChars="202"/>
        <w:jc w:val="left"/>
        <w:rPr>
          <w:rFonts w:ascii="宋体" w:hAnsi="宋体" w:cs="Arial"/>
          <w:bCs/>
          <w:color w:val="auto"/>
          <w:szCs w:val="21"/>
          <w:u w:val="single"/>
        </w:rPr>
      </w:pPr>
      <w:r>
        <w:rPr>
          <w:rFonts w:hint="eastAsia" w:ascii="宋体" w:hAnsi="宋体" w:cs="宋体"/>
          <w:color w:val="auto"/>
          <w:szCs w:val="21"/>
        </w:rPr>
        <w:t>3.</w:t>
      </w:r>
      <w:r>
        <w:rPr>
          <w:rFonts w:hint="eastAsia"/>
          <w:color w:val="auto"/>
        </w:rPr>
        <w:t>供应商必须自行为其竞标产品侵犯他人的知识产权或者专利成果的行为承担相应法律责任。</w:t>
      </w:r>
    </w:p>
    <w:p w14:paraId="7F39B5DF">
      <w:pPr>
        <w:spacing w:line="380" w:lineRule="exact"/>
        <w:jc w:val="left"/>
        <w:rPr>
          <w:rFonts w:ascii="宋体" w:hAnsi="宋体" w:cs="Arial"/>
          <w:bCs/>
          <w:color w:val="auto"/>
          <w:szCs w:val="21"/>
          <w:u w:val="single"/>
        </w:rPr>
      </w:pPr>
      <w:r>
        <w:rPr>
          <w:rFonts w:hint="eastAsia" w:ascii="宋体" w:hAnsi="宋体"/>
          <w:b/>
          <w:color w:val="auto"/>
          <w:szCs w:val="21"/>
        </w:rPr>
        <w:t>采购预算：</w:t>
      </w:r>
      <w:r>
        <w:rPr>
          <w:rFonts w:hint="eastAsia" w:ascii="宋体" w:hAnsi="宋体"/>
          <w:b/>
          <w:color w:val="auto"/>
          <w:szCs w:val="21"/>
          <w:lang w:val="en-US" w:eastAsia="zh-CN"/>
        </w:rPr>
        <w:t>1645350.69</w:t>
      </w:r>
      <w:r>
        <w:rPr>
          <w:rFonts w:hint="eastAsia" w:ascii="宋体" w:hAnsi="宋体"/>
          <w:b/>
          <w:color w:val="auto"/>
          <w:szCs w:val="21"/>
        </w:rPr>
        <w:t>元（</w:t>
      </w:r>
      <w:r>
        <w:rPr>
          <w:rFonts w:hint="eastAsia" w:ascii="宋体" w:hAnsi="宋体"/>
          <w:b/>
          <w:color w:val="auto"/>
          <w:szCs w:val="21"/>
          <w:highlight w:val="none"/>
        </w:rPr>
        <w:t>其中安全责任险暂估价</w:t>
      </w:r>
      <w:r>
        <w:rPr>
          <w:rFonts w:hint="eastAsia" w:ascii="宋体" w:hAnsi="宋体"/>
          <w:b/>
          <w:color w:val="auto"/>
          <w:szCs w:val="21"/>
          <w:highlight w:val="none"/>
          <w:lang w:eastAsia="zh-CN"/>
        </w:rPr>
        <w:t>：2793.39</w:t>
      </w:r>
      <w:r>
        <w:rPr>
          <w:rFonts w:hint="eastAsia" w:ascii="宋体" w:hAnsi="宋体"/>
          <w:b/>
          <w:color w:val="auto"/>
          <w:szCs w:val="21"/>
          <w:highlight w:val="none"/>
        </w:rPr>
        <w:t>元、安全文明施工费：72054.54元</w:t>
      </w:r>
      <w:r>
        <w:rPr>
          <w:rFonts w:hint="eastAsia" w:ascii="宋体" w:hAnsi="宋体"/>
          <w:b/>
          <w:color w:val="auto"/>
          <w:szCs w:val="21"/>
        </w:rPr>
        <w:t>）</w:t>
      </w:r>
    </w:p>
    <w:tbl>
      <w:tblPr>
        <w:tblStyle w:val="45"/>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348"/>
        <w:gridCol w:w="643"/>
        <w:gridCol w:w="664"/>
        <w:gridCol w:w="5495"/>
      </w:tblGrid>
      <w:tr w14:paraId="29CD8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55" w:type="dxa"/>
            <w:noWrap w:val="0"/>
            <w:vAlign w:val="center"/>
          </w:tcPr>
          <w:p w14:paraId="444C52F8">
            <w:pPr>
              <w:tabs>
                <w:tab w:val="left" w:pos="180"/>
                <w:tab w:val="left" w:pos="1620"/>
              </w:tabs>
              <w:spacing w:line="380" w:lineRule="exact"/>
              <w:jc w:val="center"/>
              <w:rPr>
                <w:rFonts w:hint="eastAsia" w:ascii="宋体" w:hAnsi="宋体" w:cs="宋体"/>
                <w:color w:val="auto"/>
                <w:szCs w:val="21"/>
              </w:rPr>
            </w:pPr>
            <w:r>
              <w:rPr>
                <w:rFonts w:hint="eastAsia" w:ascii="宋体" w:hAnsi="宋体" w:cs="宋体"/>
                <w:color w:val="auto"/>
                <w:szCs w:val="21"/>
              </w:rPr>
              <w:t>序号</w:t>
            </w:r>
          </w:p>
        </w:tc>
        <w:tc>
          <w:tcPr>
            <w:tcW w:w="1348" w:type="dxa"/>
            <w:noWrap w:val="0"/>
            <w:vAlign w:val="center"/>
          </w:tcPr>
          <w:p w14:paraId="197F4868">
            <w:pPr>
              <w:tabs>
                <w:tab w:val="left" w:pos="180"/>
                <w:tab w:val="left" w:pos="1620"/>
              </w:tabs>
              <w:spacing w:line="380" w:lineRule="exact"/>
              <w:jc w:val="center"/>
              <w:rPr>
                <w:rFonts w:hint="eastAsia" w:ascii="宋体" w:hAnsi="宋体" w:cs="宋体"/>
                <w:color w:val="auto"/>
                <w:szCs w:val="21"/>
              </w:rPr>
            </w:pPr>
            <w:r>
              <w:rPr>
                <w:rFonts w:hint="eastAsia" w:ascii="宋体" w:hAnsi="宋体" w:cs="宋体"/>
                <w:color w:val="auto"/>
                <w:szCs w:val="21"/>
              </w:rPr>
              <w:t>标的的名称</w:t>
            </w:r>
          </w:p>
        </w:tc>
        <w:tc>
          <w:tcPr>
            <w:tcW w:w="643" w:type="dxa"/>
            <w:noWrap w:val="0"/>
            <w:vAlign w:val="center"/>
          </w:tcPr>
          <w:p w14:paraId="68C80FD9">
            <w:pPr>
              <w:tabs>
                <w:tab w:val="left" w:pos="180"/>
                <w:tab w:val="left" w:pos="1620"/>
              </w:tabs>
              <w:spacing w:line="380" w:lineRule="exact"/>
              <w:jc w:val="center"/>
              <w:rPr>
                <w:rFonts w:hint="eastAsia" w:ascii="宋体" w:hAnsi="宋体" w:cs="宋体"/>
                <w:color w:val="auto"/>
                <w:szCs w:val="21"/>
              </w:rPr>
            </w:pPr>
            <w:r>
              <w:rPr>
                <w:rFonts w:hint="eastAsia" w:ascii="宋体" w:hAnsi="宋体" w:cs="宋体"/>
                <w:color w:val="auto"/>
                <w:szCs w:val="21"/>
              </w:rPr>
              <w:t>数量单位</w:t>
            </w:r>
          </w:p>
        </w:tc>
        <w:tc>
          <w:tcPr>
            <w:tcW w:w="664" w:type="dxa"/>
            <w:noWrap w:val="0"/>
            <w:vAlign w:val="center"/>
          </w:tcPr>
          <w:p w14:paraId="13F06203">
            <w:pPr>
              <w:tabs>
                <w:tab w:val="left" w:pos="180"/>
                <w:tab w:val="left" w:pos="1620"/>
              </w:tabs>
              <w:spacing w:line="380" w:lineRule="exact"/>
              <w:jc w:val="center"/>
              <w:rPr>
                <w:rFonts w:hint="eastAsia" w:ascii="宋体" w:hAnsi="宋体" w:cs="宋体"/>
                <w:color w:val="auto"/>
                <w:szCs w:val="21"/>
              </w:rPr>
            </w:pPr>
            <w:r>
              <w:rPr>
                <w:rFonts w:hint="eastAsia" w:ascii="宋体" w:hAnsi="宋体" w:cs="宋体"/>
                <w:color w:val="auto"/>
                <w:szCs w:val="21"/>
              </w:rPr>
              <w:t>所属</w:t>
            </w:r>
          </w:p>
          <w:p w14:paraId="585D18E0">
            <w:pPr>
              <w:tabs>
                <w:tab w:val="left" w:pos="180"/>
                <w:tab w:val="left" w:pos="1620"/>
              </w:tabs>
              <w:spacing w:line="380" w:lineRule="exact"/>
              <w:jc w:val="center"/>
              <w:rPr>
                <w:rFonts w:hint="eastAsia" w:ascii="宋体" w:hAnsi="宋体" w:cs="宋体"/>
                <w:color w:val="auto"/>
                <w:szCs w:val="21"/>
              </w:rPr>
            </w:pPr>
            <w:r>
              <w:rPr>
                <w:rFonts w:hint="eastAsia" w:ascii="宋体" w:hAnsi="宋体" w:cs="宋体"/>
                <w:color w:val="auto"/>
                <w:szCs w:val="21"/>
              </w:rPr>
              <w:t>行业</w:t>
            </w:r>
          </w:p>
        </w:tc>
        <w:tc>
          <w:tcPr>
            <w:tcW w:w="5495" w:type="dxa"/>
            <w:noWrap w:val="0"/>
            <w:vAlign w:val="center"/>
          </w:tcPr>
          <w:p w14:paraId="42397322">
            <w:pPr>
              <w:tabs>
                <w:tab w:val="left" w:pos="180"/>
                <w:tab w:val="left" w:pos="1620"/>
              </w:tabs>
              <w:spacing w:line="380" w:lineRule="exact"/>
              <w:jc w:val="center"/>
              <w:rPr>
                <w:rFonts w:hint="eastAsia" w:ascii="宋体" w:hAnsi="宋体" w:cs="宋体"/>
                <w:color w:val="auto"/>
                <w:szCs w:val="21"/>
              </w:rPr>
            </w:pPr>
            <w:r>
              <w:rPr>
                <w:rFonts w:hint="eastAsia" w:ascii="宋体" w:hAnsi="宋体"/>
                <w:color w:val="auto"/>
                <w:szCs w:val="21"/>
              </w:rPr>
              <w:t>▲</w:t>
            </w:r>
            <w:r>
              <w:rPr>
                <w:rFonts w:hint="eastAsia" w:ascii="宋体" w:hAnsi="宋体" w:cs="宋体"/>
                <w:color w:val="auto"/>
                <w:szCs w:val="21"/>
              </w:rPr>
              <w:t>技术要求</w:t>
            </w:r>
          </w:p>
        </w:tc>
      </w:tr>
      <w:tr w14:paraId="04D19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6" w:hRule="atLeast"/>
          <w:jc w:val="center"/>
        </w:trPr>
        <w:tc>
          <w:tcPr>
            <w:tcW w:w="655" w:type="dxa"/>
            <w:noWrap w:val="0"/>
            <w:vAlign w:val="center"/>
          </w:tcPr>
          <w:p w14:paraId="4F6CD669">
            <w:pPr>
              <w:tabs>
                <w:tab w:val="left" w:pos="180"/>
                <w:tab w:val="left" w:pos="1620"/>
              </w:tabs>
              <w:spacing w:line="380" w:lineRule="exact"/>
              <w:jc w:val="center"/>
              <w:rPr>
                <w:rFonts w:hint="eastAsia" w:ascii="宋体" w:hAnsi="宋体" w:cs="宋体"/>
                <w:color w:val="auto"/>
                <w:szCs w:val="21"/>
              </w:rPr>
            </w:pPr>
            <w:r>
              <w:rPr>
                <w:rFonts w:hint="eastAsia" w:ascii="宋体" w:hAnsi="宋体" w:cs="宋体"/>
                <w:color w:val="auto"/>
                <w:szCs w:val="21"/>
              </w:rPr>
              <w:t>1</w:t>
            </w:r>
          </w:p>
        </w:tc>
        <w:tc>
          <w:tcPr>
            <w:tcW w:w="1348" w:type="dxa"/>
            <w:noWrap w:val="0"/>
            <w:vAlign w:val="center"/>
          </w:tcPr>
          <w:p w14:paraId="6223AF86">
            <w:pPr>
              <w:tabs>
                <w:tab w:val="left" w:pos="180"/>
                <w:tab w:val="left" w:pos="1620"/>
              </w:tabs>
              <w:spacing w:line="380" w:lineRule="exact"/>
              <w:jc w:val="center"/>
              <w:rPr>
                <w:rFonts w:hint="eastAsia" w:ascii="宋体" w:hAnsi="宋体" w:eastAsia="宋体" w:cs="宋体"/>
                <w:color w:val="auto"/>
                <w:szCs w:val="21"/>
                <w:lang w:eastAsia="zh-CN"/>
              </w:rPr>
            </w:pPr>
            <w:r>
              <w:rPr>
                <w:rFonts w:hint="eastAsia" w:ascii="宋体" w:hAnsi="宋体"/>
                <w:color w:val="auto"/>
                <w:szCs w:val="21"/>
                <w:lang w:eastAsia="zh-CN"/>
              </w:rPr>
              <w:t>岑溪市梨木中学学生食堂扩建工程</w:t>
            </w:r>
          </w:p>
        </w:tc>
        <w:tc>
          <w:tcPr>
            <w:tcW w:w="643" w:type="dxa"/>
            <w:noWrap w:val="0"/>
            <w:vAlign w:val="center"/>
          </w:tcPr>
          <w:p w14:paraId="4545A024">
            <w:pPr>
              <w:tabs>
                <w:tab w:val="left" w:pos="180"/>
                <w:tab w:val="left" w:pos="1620"/>
              </w:tabs>
              <w:spacing w:line="380" w:lineRule="exact"/>
              <w:jc w:val="center"/>
              <w:rPr>
                <w:rFonts w:hint="eastAsia" w:ascii="宋体" w:hAnsi="宋体" w:cs="宋体"/>
                <w:color w:val="auto"/>
                <w:szCs w:val="21"/>
              </w:rPr>
            </w:pPr>
            <w:r>
              <w:rPr>
                <w:rFonts w:hint="eastAsia" w:ascii="宋体" w:hAnsi="宋体" w:cs="宋体"/>
                <w:color w:val="auto"/>
                <w:szCs w:val="21"/>
              </w:rPr>
              <w:t>1项</w:t>
            </w:r>
          </w:p>
        </w:tc>
        <w:tc>
          <w:tcPr>
            <w:tcW w:w="664" w:type="dxa"/>
            <w:noWrap w:val="0"/>
            <w:vAlign w:val="center"/>
          </w:tcPr>
          <w:p w14:paraId="013C0B87">
            <w:pPr>
              <w:tabs>
                <w:tab w:val="left" w:pos="180"/>
                <w:tab w:val="left" w:pos="1620"/>
              </w:tabs>
              <w:spacing w:line="380" w:lineRule="exact"/>
              <w:jc w:val="center"/>
              <w:rPr>
                <w:rFonts w:hint="eastAsia" w:ascii="宋体" w:hAnsi="宋体" w:cs="宋体"/>
                <w:color w:val="auto"/>
                <w:szCs w:val="21"/>
              </w:rPr>
            </w:pPr>
            <w:r>
              <w:rPr>
                <w:rFonts w:hint="eastAsia" w:ascii="宋体" w:hAnsi="宋体" w:cs="宋体"/>
                <w:color w:val="auto"/>
                <w:szCs w:val="21"/>
              </w:rPr>
              <w:t>建筑业</w:t>
            </w:r>
          </w:p>
        </w:tc>
        <w:tc>
          <w:tcPr>
            <w:tcW w:w="5495" w:type="dxa"/>
            <w:noWrap w:val="0"/>
            <w:vAlign w:val="center"/>
          </w:tcPr>
          <w:p w14:paraId="724B8CA7">
            <w:pPr>
              <w:pStyle w:val="19"/>
              <w:spacing w:line="360" w:lineRule="auto"/>
              <w:ind w:firstLine="420" w:firstLineChars="200"/>
              <w:rPr>
                <w:rFonts w:hint="eastAsia" w:ascii="宋体" w:hAnsi="宋体" w:cs="宋体"/>
                <w:color w:val="auto"/>
                <w:szCs w:val="21"/>
              </w:rPr>
            </w:pPr>
            <w:r>
              <w:rPr>
                <w:rFonts w:hint="eastAsia" w:ascii="宋体" w:hAnsi="宋体" w:cs="宋体"/>
                <w:color w:val="auto"/>
                <w:szCs w:val="21"/>
              </w:rPr>
              <w:t>建筑地址：</w:t>
            </w:r>
            <w:r>
              <w:rPr>
                <w:rFonts w:hint="eastAsia" w:ascii="宋体" w:hAnsi="宋体"/>
                <w:color w:val="auto"/>
                <w:szCs w:val="21"/>
                <w:lang w:eastAsia="zh-CN"/>
              </w:rPr>
              <w:t>岑溪市梨木中学</w:t>
            </w:r>
          </w:p>
          <w:p w14:paraId="71FE9F4D">
            <w:pPr>
              <w:pStyle w:val="19"/>
              <w:spacing w:line="360" w:lineRule="auto"/>
              <w:ind w:firstLine="420" w:firstLineChars="200"/>
              <w:rPr>
                <w:rFonts w:hint="eastAsia" w:ascii="宋体" w:hAnsi="宋体"/>
                <w:color w:val="auto"/>
                <w:szCs w:val="21"/>
              </w:rPr>
            </w:pPr>
            <w:r>
              <w:rPr>
                <w:rFonts w:hint="eastAsia" w:ascii="宋体" w:hAnsi="宋体"/>
                <w:color w:val="auto"/>
                <w:szCs w:val="21"/>
              </w:rPr>
              <w:t>主要建设内容：新建2层学生食堂，建筑面积700㎡</w:t>
            </w:r>
            <w:r>
              <w:rPr>
                <w:rFonts w:hint="eastAsia" w:ascii="宋体" w:hAnsi="宋体"/>
                <w:color w:val="auto"/>
                <w:szCs w:val="21"/>
                <w:lang w:eastAsia="zh-CN"/>
              </w:rPr>
              <w:t>。</w:t>
            </w:r>
            <w:r>
              <w:rPr>
                <w:rFonts w:hint="eastAsia" w:ascii="宋体" w:hAnsi="宋体"/>
                <w:color w:val="auto"/>
                <w:szCs w:val="21"/>
              </w:rPr>
              <w:t>建筑与装饰工程、室外雨棚工程、电气工程、给排水工程等内容，具体详见本项目工程量清单及图纸。</w:t>
            </w:r>
          </w:p>
          <w:p w14:paraId="14A722BE">
            <w:pPr>
              <w:pStyle w:val="19"/>
              <w:spacing w:line="360" w:lineRule="auto"/>
              <w:ind w:firstLine="420" w:firstLineChars="200"/>
              <w:rPr>
                <w:rFonts w:hint="eastAsia" w:ascii="宋体" w:hAnsi="宋体" w:cs="宋体"/>
                <w:color w:val="auto"/>
                <w:szCs w:val="21"/>
              </w:rPr>
            </w:pPr>
            <w:r>
              <w:rPr>
                <w:rFonts w:hint="eastAsia" w:ascii="宋体" w:hAnsi="宋体" w:cs="宋体"/>
                <w:color w:val="auto"/>
                <w:szCs w:val="21"/>
              </w:rPr>
              <w:t>项目质量等级：满足国家现行与本项目相应的施工竣工验收规范之“合格”标准。</w:t>
            </w:r>
          </w:p>
        </w:tc>
      </w:tr>
      <w:tr w14:paraId="3E700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top"/>
          </w:tcPr>
          <w:p w14:paraId="79F7080F">
            <w:pPr>
              <w:spacing w:line="380" w:lineRule="exact"/>
              <w:rPr>
                <w:rFonts w:ascii="宋体" w:hAnsi="宋体"/>
                <w:color w:val="auto"/>
                <w:szCs w:val="21"/>
              </w:rPr>
            </w:pPr>
            <w:r>
              <w:rPr>
                <w:rFonts w:hint="eastAsia" w:ascii="宋体" w:hAnsi="宋体"/>
                <w:color w:val="auto"/>
                <w:szCs w:val="21"/>
              </w:rPr>
              <w:t>▲</w:t>
            </w:r>
            <w:r>
              <w:rPr>
                <w:rFonts w:hint="eastAsia" w:ascii="宋体" w:hAnsi="宋体"/>
                <w:b/>
                <w:color w:val="auto"/>
                <w:szCs w:val="21"/>
              </w:rPr>
              <w:t>一、商务要求</w:t>
            </w:r>
          </w:p>
        </w:tc>
      </w:tr>
      <w:tr w14:paraId="5BD28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48CFB44A">
            <w:pPr>
              <w:tabs>
                <w:tab w:val="left" w:pos="180"/>
                <w:tab w:val="left" w:pos="1620"/>
              </w:tabs>
              <w:spacing w:line="380" w:lineRule="exact"/>
              <w:jc w:val="center"/>
              <w:rPr>
                <w:rFonts w:hint="eastAsia" w:ascii="宋体" w:hAnsi="宋体" w:cs="宋体"/>
                <w:color w:val="auto"/>
                <w:szCs w:val="21"/>
              </w:rPr>
            </w:pPr>
            <w:r>
              <w:rPr>
                <w:rFonts w:hint="eastAsia" w:ascii="宋体" w:hAnsi="宋体" w:cs="宋体"/>
                <w:color w:val="auto"/>
                <w:szCs w:val="21"/>
              </w:rPr>
              <w:t>计划工期</w:t>
            </w:r>
          </w:p>
        </w:tc>
        <w:tc>
          <w:tcPr>
            <w:tcW w:w="6802" w:type="dxa"/>
            <w:gridSpan w:val="3"/>
            <w:tcBorders>
              <w:top w:val="single" w:color="auto" w:sz="4" w:space="0"/>
              <w:left w:val="single" w:color="auto" w:sz="4" w:space="0"/>
              <w:bottom w:val="single" w:color="auto" w:sz="4" w:space="0"/>
              <w:right w:val="single" w:color="auto" w:sz="4" w:space="0"/>
            </w:tcBorders>
            <w:noWrap w:val="0"/>
            <w:vAlign w:val="center"/>
          </w:tcPr>
          <w:p w14:paraId="4AF8B72F">
            <w:pPr>
              <w:spacing w:line="380" w:lineRule="exact"/>
              <w:jc w:val="left"/>
              <w:rPr>
                <w:rFonts w:ascii="宋体" w:hAnsi="宋体"/>
                <w:b/>
                <w:color w:val="auto"/>
                <w:szCs w:val="21"/>
              </w:rPr>
            </w:pPr>
            <w:r>
              <w:rPr>
                <w:rFonts w:hint="eastAsia" w:ascii="宋体" w:hAnsi="宋体" w:cs="宋体"/>
                <w:color w:val="auto"/>
              </w:rPr>
              <w:t>自签订合同之日起</w:t>
            </w:r>
            <w:r>
              <w:rPr>
                <w:rFonts w:hint="eastAsia" w:ascii="宋体" w:hAnsi="宋体" w:cs="宋体"/>
                <w:color w:val="auto"/>
                <w:lang w:eastAsia="zh-CN"/>
              </w:rPr>
              <w:t>90个日历日</w:t>
            </w:r>
            <w:r>
              <w:rPr>
                <w:rFonts w:hint="eastAsia" w:ascii="宋体" w:hAnsi="宋体" w:cs="宋体"/>
                <w:color w:val="auto"/>
              </w:rPr>
              <w:t>内完工。</w:t>
            </w:r>
          </w:p>
        </w:tc>
      </w:tr>
      <w:tr w14:paraId="2F79B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1DE23FCF">
            <w:pPr>
              <w:tabs>
                <w:tab w:val="left" w:pos="180"/>
                <w:tab w:val="left" w:pos="1620"/>
              </w:tabs>
              <w:spacing w:line="380" w:lineRule="exact"/>
              <w:jc w:val="center"/>
              <w:rPr>
                <w:rFonts w:hint="eastAsia" w:ascii="宋体" w:hAnsi="宋体" w:cs="宋体"/>
                <w:color w:val="auto"/>
                <w:szCs w:val="21"/>
              </w:rPr>
            </w:pPr>
            <w:r>
              <w:rPr>
                <w:rFonts w:hint="eastAsia" w:ascii="宋体" w:hAnsi="宋体" w:cs="宋体"/>
                <w:color w:val="auto"/>
                <w:szCs w:val="21"/>
              </w:rPr>
              <w:t>建设地点</w:t>
            </w:r>
          </w:p>
        </w:tc>
        <w:tc>
          <w:tcPr>
            <w:tcW w:w="6802" w:type="dxa"/>
            <w:gridSpan w:val="3"/>
            <w:tcBorders>
              <w:top w:val="single" w:color="auto" w:sz="4" w:space="0"/>
              <w:left w:val="single" w:color="auto" w:sz="4" w:space="0"/>
              <w:bottom w:val="single" w:color="auto" w:sz="4" w:space="0"/>
              <w:right w:val="single" w:color="auto" w:sz="4" w:space="0"/>
            </w:tcBorders>
            <w:noWrap w:val="0"/>
            <w:vAlign w:val="center"/>
          </w:tcPr>
          <w:p w14:paraId="101A03B6">
            <w:pPr>
              <w:spacing w:line="380" w:lineRule="exact"/>
              <w:jc w:val="left"/>
              <w:rPr>
                <w:rFonts w:hint="eastAsia" w:ascii="宋体" w:hAnsi="宋体"/>
                <w:color w:val="auto"/>
                <w:szCs w:val="21"/>
              </w:rPr>
            </w:pPr>
            <w:r>
              <w:rPr>
                <w:rFonts w:hint="eastAsia" w:ascii="宋体" w:hAnsi="宋体"/>
                <w:color w:val="auto"/>
                <w:szCs w:val="21"/>
                <w:lang w:eastAsia="zh-CN"/>
              </w:rPr>
              <w:t>岑溪市梨木中学</w:t>
            </w:r>
          </w:p>
        </w:tc>
      </w:tr>
      <w:tr w14:paraId="627E0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10015DE4">
            <w:pPr>
              <w:tabs>
                <w:tab w:val="left" w:pos="180"/>
                <w:tab w:val="left" w:pos="1620"/>
              </w:tabs>
              <w:spacing w:line="380" w:lineRule="exact"/>
              <w:jc w:val="center"/>
              <w:rPr>
                <w:rFonts w:hint="eastAsia" w:ascii="宋体" w:hAnsi="宋体" w:cs="宋体"/>
                <w:color w:val="auto"/>
                <w:szCs w:val="21"/>
              </w:rPr>
            </w:pPr>
            <w:r>
              <w:rPr>
                <w:rFonts w:hint="eastAsia" w:ascii="宋体" w:hAnsi="宋体" w:cs="宋体"/>
                <w:color w:val="auto"/>
                <w:szCs w:val="21"/>
              </w:rPr>
              <w:t>合同签订时间</w:t>
            </w:r>
          </w:p>
        </w:tc>
        <w:tc>
          <w:tcPr>
            <w:tcW w:w="6802" w:type="dxa"/>
            <w:gridSpan w:val="3"/>
            <w:tcBorders>
              <w:top w:val="single" w:color="auto" w:sz="4" w:space="0"/>
              <w:left w:val="single" w:color="auto" w:sz="4" w:space="0"/>
              <w:bottom w:val="single" w:color="auto" w:sz="4" w:space="0"/>
              <w:right w:val="single" w:color="auto" w:sz="4" w:space="0"/>
            </w:tcBorders>
            <w:noWrap w:val="0"/>
            <w:vAlign w:val="center"/>
          </w:tcPr>
          <w:p w14:paraId="4B61AE4D">
            <w:pPr>
              <w:spacing w:line="380" w:lineRule="exact"/>
              <w:jc w:val="left"/>
              <w:rPr>
                <w:rFonts w:hint="eastAsia" w:ascii="宋体" w:hAnsi="宋体"/>
                <w:b/>
                <w:color w:val="auto"/>
                <w:szCs w:val="21"/>
              </w:rPr>
            </w:pPr>
            <w:r>
              <w:rPr>
                <w:rFonts w:hint="eastAsia" w:ascii="宋体" w:hAnsi="宋体"/>
                <w:color w:val="auto"/>
                <w:szCs w:val="21"/>
              </w:rPr>
              <w:t xml:space="preserve">自成交通知书发出之日起 </w:t>
            </w:r>
            <w:r>
              <w:rPr>
                <w:rFonts w:hint="eastAsia" w:ascii="宋体" w:hAnsi="宋体"/>
                <w:color w:val="auto"/>
                <w:szCs w:val="21"/>
                <w:u w:val="single"/>
              </w:rPr>
              <w:t>25</w:t>
            </w:r>
            <w:r>
              <w:rPr>
                <w:rFonts w:hint="eastAsia" w:ascii="宋体" w:hAnsi="宋体"/>
                <w:color w:val="auto"/>
                <w:szCs w:val="21"/>
              </w:rPr>
              <w:t>日内。</w:t>
            </w:r>
          </w:p>
        </w:tc>
      </w:tr>
      <w:tr w14:paraId="7D51E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3" w:hRule="atLeast"/>
          <w:jc w:val="center"/>
        </w:trPr>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5ADB4B5A">
            <w:pPr>
              <w:tabs>
                <w:tab w:val="left" w:pos="180"/>
                <w:tab w:val="left" w:pos="1620"/>
              </w:tabs>
              <w:spacing w:line="380" w:lineRule="exact"/>
              <w:jc w:val="center"/>
              <w:rPr>
                <w:rFonts w:hint="eastAsia" w:ascii="宋体" w:hAnsi="宋体" w:cs="宋体"/>
                <w:color w:val="auto"/>
                <w:szCs w:val="21"/>
              </w:rPr>
            </w:pPr>
            <w:r>
              <w:rPr>
                <w:rFonts w:hint="eastAsia" w:ascii="宋体" w:hAnsi="宋体" w:cs="宋体"/>
                <w:color w:val="auto"/>
                <w:szCs w:val="21"/>
              </w:rPr>
              <w:t>付款条件</w:t>
            </w:r>
          </w:p>
        </w:tc>
        <w:tc>
          <w:tcPr>
            <w:tcW w:w="6802" w:type="dxa"/>
            <w:gridSpan w:val="3"/>
            <w:tcBorders>
              <w:top w:val="single" w:color="auto" w:sz="4" w:space="0"/>
              <w:left w:val="single" w:color="auto" w:sz="4" w:space="0"/>
              <w:bottom w:val="single" w:color="auto" w:sz="4" w:space="0"/>
              <w:right w:val="single" w:color="auto" w:sz="4" w:space="0"/>
            </w:tcBorders>
            <w:noWrap w:val="0"/>
            <w:vAlign w:val="center"/>
          </w:tcPr>
          <w:p w14:paraId="24FD0A7D">
            <w:pPr>
              <w:snapToGrid w:val="0"/>
              <w:spacing w:line="380" w:lineRule="exact"/>
              <w:jc w:val="left"/>
              <w:rPr>
                <w:rFonts w:hint="eastAsia" w:ascii="宋体" w:hAnsi="宋体" w:cs="宋体"/>
                <w:bCs/>
                <w:szCs w:val="21"/>
              </w:rPr>
            </w:pPr>
            <w:r>
              <w:rPr>
                <w:rFonts w:hint="eastAsia" w:ascii="宋体" w:hAnsi="宋体" w:cs="宋体"/>
                <w:bCs/>
                <w:szCs w:val="21"/>
              </w:rPr>
              <w:t>工程款按工程进度支付：</w:t>
            </w:r>
          </w:p>
          <w:p w14:paraId="4233E514">
            <w:pPr>
              <w:snapToGrid w:val="0"/>
              <w:spacing w:line="380" w:lineRule="exact"/>
              <w:jc w:val="left"/>
              <w:rPr>
                <w:rFonts w:hint="eastAsia" w:ascii="宋体" w:hAnsi="宋体" w:cs="宋体"/>
                <w:bCs/>
                <w:szCs w:val="21"/>
              </w:rPr>
            </w:pPr>
            <w:r>
              <w:rPr>
                <w:rFonts w:hint="eastAsia" w:ascii="宋体" w:hAnsi="宋体" w:cs="宋体"/>
                <w:bCs/>
                <w:szCs w:val="21"/>
              </w:rPr>
              <w:t>1.合同签订后，凭成交供应商提供的等额正式发票，</w:t>
            </w:r>
            <w:r>
              <w:rPr>
                <w:rFonts w:hint="eastAsia" w:ascii="宋体" w:hAnsi="宋体" w:cs="宋体"/>
                <w:bCs/>
                <w:szCs w:val="21"/>
                <w:lang w:val="en-US" w:eastAsia="zh-CN"/>
              </w:rPr>
              <w:t>采购人</w:t>
            </w:r>
            <w:r>
              <w:rPr>
                <w:rFonts w:hint="eastAsia" w:ascii="宋体" w:hAnsi="宋体" w:cs="宋体"/>
                <w:bCs/>
                <w:szCs w:val="21"/>
              </w:rPr>
              <w:t>10个工作日之内支付10%预付款。</w:t>
            </w:r>
          </w:p>
          <w:p w14:paraId="5CF45556">
            <w:pPr>
              <w:snapToGrid w:val="0"/>
              <w:spacing w:line="380" w:lineRule="exact"/>
              <w:jc w:val="left"/>
              <w:rPr>
                <w:rFonts w:hint="eastAsia" w:ascii="宋体" w:hAnsi="宋体" w:cs="宋体"/>
                <w:bCs/>
                <w:szCs w:val="21"/>
              </w:rPr>
            </w:pPr>
            <w:r>
              <w:rPr>
                <w:rFonts w:hint="eastAsia" w:ascii="宋体" w:hAnsi="宋体" w:cs="宋体"/>
                <w:bCs/>
                <w:szCs w:val="21"/>
              </w:rPr>
              <w:t>2.工程进度完成工程量的50%时，工程款支付的限额标准为已完成工作量的80%。</w:t>
            </w:r>
          </w:p>
          <w:p w14:paraId="38A47568">
            <w:pPr>
              <w:snapToGrid w:val="0"/>
              <w:spacing w:line="380" w:lineRule="exact"/>
              <w:jc w:val="left"/>
              <w:rPr>
                <w:rFonts w:hint="eastAsia" w:ascii="宋体" w:hAnsi="宋体" w:cs="宋体"/>
                <w:bCs/>
                <w:color w:val="auto"/>
                <w:szCs w:val="21"/>
              </w:rPr>
            </w:pPr>
            <w:r>
              <w:rPr>
                <w:rFonts w:hint="eastAsia" w:ascii="宋体" w:hAnsi="宋体" w:cs="宋体"/>
                <w:bCs/>
                <w:szCs w:val="21"/>
              </w:rPr>
              <w:t>3.施工完成并经验收合格结算后支付到结算价款的97%，余3%</w:t>
            </w:r>
            <w:r>
              <w:rPr>
                <w:rFonts w:hint="eastAsia" w:ascii="宋体" w:hAnsi="宋体" w:cs="宋体"/>
                <w:bCs/>
                <w:szCs w:val="21"/>
                <w:lang w:val="en-US" w:eastAsia="zh-CN"/>
              </w:rPr>
              <w:t>用作</w:t>
            </w:r>
            <w:r>
              <w:rPr>
                <w:rFonts w:hint="eastAsia" w:hAnsi="宋体" w:cs="宋体"/>
                <w:u w:val="none"/>
              </w:rPr>
              <w:t>工程质量保证金</w:t>
            </w:r>
            <w:r>
              <w:rPr>
                <w:rFonts w:hint="eastAsia" w:hAnsi="宋体" w:cs="宋体"/>
                <w:u w:val="none"/>
                <w:lang w:eastAsia="zh-CN"/>
              </w:rPr>
              <w:t>，</w:t>
            </w:r>
            <w:r>
              <w:rPr>
                <w:rFonts w:hint="eastAsia" w:ascii="宋体" w:hAnsi="宋体" w:cs="宋体"/>
                <w:bCs/>
                <w:szCs w:val="21"/>
              </w:rPr>
              <w:t>待缺陷责任期满后15日内退还。</w:t>
            </w:r>
          </w:p>
        </w:tc>
      </w:tr>
      <w:tr w14:paraId="60C2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7F658C6D">
            <w:pPr>
              <w:tabs>
                <w:tab w:val="left" w:pos="180"/>
                <w:tab w:val="left" w:pos="1620"/>
              </w:tabs>
              <w:spacing w:line="380" w:lineRule="exact"/>
              <w:jc w:val="center"/>
              <w:rPr>
                <w:rFonts w:hint="eastAsia" w:ascii="宋体" w:hAnsi="宋体" w:cs="宋体"/>
                <w:color w:val="auto"/>
                <w:szCs w:val="21"/>
              </w:rPr>
            </w:pPr>
            <w:r>
              <w:rPr>
                <w:rFonts w:hint="eastAsia" w:ascii="宋体" w:hAnsi="宋体" w:cs="宋体"/>
                <w:color w:val="auto"/>
                <w:szCs w:val="21"/>
              </w:rPr>
              <w:t>项目合同价格形式</w:t>
            </w:r>
          </w:p>
        </w:tc>
        <w:tc>
          <w:tcPr>
            <w:tcW w:w="6802" w:type="dxa"/>
            <w:gridSpan w:val="3"/>
            <w:tcBorders>
              <w:top w:val="single" w:color="auto" w:sz="4" w:space="0"/>
              <w:left w:val="single" w:color="auto" w:sz="4" w:space="0"/>
              <w:bottom w:val="single" w:color="auto" w:sz="4" w:space="0"/>
              <w:right w:val="single" w:color="auto" w:sz="4" w:space="0"/>
            </w:tcBorders>
            <w:noWrap w:val="0"/>
            <w:vAlign w:val="center"/>
          </w:tcPr>
          <w:p w14:paraId="199400A8">
            <w:pPr>
              <w:widowControl/>
              <w:spacing w:line="380" w:lineRule="exact"/>
              <w:jc w:val="left"/>
              <w:rPr>
                <w:rFonts w:ascii="Calibri" w:hAnsi="Calibri"/>
                <w:color w:val="auto"/>
                <w:szCs w:val="22"/>
              </w:rPr>
            </w:pPr>
            <w:r>
              <w:rPr>
                <w:rFonts w:hint="eastAsia" w:ascii="宋体" w:hAnsi="宋体" w:cs="宋体"/>
                <w:color w:val="auto"/>
                <w:szCs w:val="21"/>
              </w:rPr>
              <w:t>单价合同</w:t>
            </w:r>
          </w:p>
        </w:tc>
      </w:tr>
      <w:tr w14:paraId="1EFB2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2A0D5436">
            <w:pPr>
              <w:tabs>
                <w:tab w:val="left" w:pos="180"/>
                <w:tab w:val="left" w:pos="1620"/>
              </w:tabs>
              <w:spacing w:line="380" w:lineRule="exact"/>
              <w:jc w:val="center"/>
              <w:rPr>
                <w:rFonts w:hint="eastAsia" w:ascii="宋体" w:hAnsi="宋体" w:cs="宋体"/>
                <w:color w:val="auto"/>
                <w:szCs w:val="21"/>
              </w:rPr>
            </w:pPr>
            <w:r>
              <w:rPr>
                <w:rFonts w:hint="eastAsia" w:ascii="宋体" w:hAnsi="宋体" w:cs="宋体"/>
                <w:color w:val="auto"/>
                <w:szCs w:val="21"/>
              </w:rPr>
              <w:t>验收标准</w:t>
            </w:r>
          </w:p>
        </w:tc>
        <w:tc>
          <w:tcPr>
            <w:tcW w:w="6802" w:type="dxa"/>
            <w:gridSpan w:val="3"/>
            <w:tcBorders>
              <w:top w:val="single" w:color="auto" w:sz="4" w:space="0"/>
              <w:left w:val="single" w:color="auto" w:sz="4" w:space="0"/>
              <w:bottom w:val="single" w:color="auto" w:sz="4" w:space="0"/>
              <w:right w:val="single" w:color="auto" w:sz="4" w:space="0"/>
            </w:tcBorders>
            <w:noWrap w:val="0"/>
            <w:vAlign w:val="center"/>
          </w:tcPr>
          <w:p w14:paraId="0080091C">
            <w:pPr>
              <w:widowControl/>
              <w:spacing w:line="380" w:lineRule="exact"/>
              <w:jc w:val="left"/>
              <w:rPr>
                <w:rFonts w:hint="eastAsia" w:ascii="宋体" w:hAnsi="宋体" w:cs="宋体"/>
                <w:color w:val="auto"/>
                <w:szCs w:val="21"/>
              </w:rPr>
            </w:pPr>
            <w:r>
              <w:rPr>
                <w:rFonts w:hint="eastAsia" w:ascii="宋体" w:hAnsi="宋体" w:cs="宋体"/>
                <w:color w:val="auto"/>
                <w:szCs w:val="21"/>
              </w:rPr>
              <w:t>满足国家现行与本项目相应的施工竣工验收规范之“合格”标准。</w:t>
            </w:r>
          </w:p>
        </w:tc>
      </w:tr>
    </w:tbl>
    <w:p w14:paraId="5B5000AD">
      <w:pPr>
        <w:tabs>
          <w:tab w:val="left" w:pos="180"/>
          <w:tab w:val="left" w:pos="1620"/>
        </w:tabs>
        <w:spacing w:line="360" w:lineRule="auto"/>
        <w:ind w:firstLine="422" w:firstLineChars="200"/>
        <w:rPr>
          <w:rFonts w:ascii="宋体" w:hAnsi="宋体" w:cs="宋体"/>
          <w:b/>
          <w:bCs/>
          <w:color w:val="auto"/>
          <w:szCs w:val="21"/>
        </w:rPr>
      </w:pPr>
    </w:p>
    <w:p w14:paraId="4B292DC3">
      <w:pPr>
        <w:pStyle w:val="21"/>
        <w:jc w:val="center"/>
        <w:rPr>
          <w:rFonts w:hint="eastAsia"/>
          <w:b/>
          <w:color w:val="auto"/>
          <w:sz w:val="28"/>
          <w:szCs w:val="28"/>
        </w:rPr>
      </w:pPr>
      <w:r>
        <w:rPr>
          <w:rFonts w:hint="eastAsia"/>
          <w:b/>
          <w:color w:val="auto"/>
          <w:sz w:val="28"/>
          <w:szCs w:val="28"/>
        </w:rPr>
        <w:t>中小企业划型标准规定</w:t>
      </w:r>
    </w:p>
    <w:p w14:paraId="6B3BE729">
      <w:pPr>
        <w:pStyle w:val="21"/>
        <w:jc w:val="center"/>
        <w:rPr>
          <w:rFonts w:ascii="宋体" w:hAnsi="宋体"/>
          <w:color w:val="auto"/>
          <w:szCs w:val="21"/>
        </w:rPr>
      </w:pPr>
      <w:r>
        <w:rPr>
          <w:rFonts w:hint="eastAsia" w:ascii="宋体" w:hAnsi="宋体"/>
          <w:color w:val="auto"/>
          <w:szCs w:val="21"/>
        </w:rPr>
        <w:t>工信部联企业〔2011〕300号</w:t>
      </w:r>
    </w:p>
    <w:p w14:paraId="2E65FB2C">
      <w:pPr>
        <w:pStyle w:val="21"/>
        <w:rPr>
          <w:rFonts w:hint="eastAsia"/>
          <w:color w:val="auto"/>
          <w:sz w:val="24"/>
          <w:szCs w:val="21"/>
        </w:rPr>
      </w:pPr>
    </w:p>
    <w:p w14:paraId="68DF2B32">
      <w:pPr>
        <w:pStyle w:val="21"/>
        <w:rPr>
          <w:color w:val="auto"/>
          <w:szCs w:val="21"/>
        </w:rPr>
      </w:pPr>
      <w:r>
        <w:rPr>
          <w:rFonts w:hint="eastAsia"/>
          <w:color w:val="auto"/>
          <w:szCs w:val="21"/>
        </w:rPr>
        <w:t>　　一、根据《中华人民共和国中小企业促进法》和《国务院关于进一步促进中小企业发展的若干意见》</w:t>
      </w:r>
      <w:r>
        <w:rPr>
          <w:color w:val="auto"/>
          <w:szCs w:val="21"/>
        </w:rPr>
        <w:t>(</w:t>
      </w:r>
      <w:r>
        <w:rPr>
          <w:rFonts w:hint="eastAsia"/>
          <w:color w:val="auto"/>
          <w:szCs w:val="21"/>
        </w:rPr>
        <w:t>国发</w:t>
      </w:r>
      <w:r>
        <w:rPr>
          <w:rFonts w:hint="eastAsia" w:ascii="宋体" w:hAnsi="宋体"/>
          <w:color w:val="auto"/>
          <w:szCs w:val="21"/>
        </w:rPr>
        <w:t>〔2009〕36号</w:t>
      </w:r>
      <w:r>
        <w:rPr>
          <w:color w:val="auto"/>
          <w:szCs w:val="21"/>
        </w:rPr>
        <w:t>)</w:t>
      </w:r>
      <w:r>
        <w:rPr>
          <w:rFonts w:hint="eastAsia"/>
          <w:color w:val="auto"/>
          <w:szCs w:val="21"/>
        </w:rPr>
        <w:t>，制定本规定。</w:t>
      </w:r>
    </w:p>
    <w:p w14:paraId="48B25B66">
      <w:pPr>
        <w:pStyle w:val="21"/>
        <w:rPr>
          <w:color w:val="auto"/>
          <w:szCs w:val="21"/>
        </w:rPr>
      </w:pPr>
      <w:r>
        <w:rPr>
          <w:rFonts w:hint="eastAsia"/>
          <w:color w:val="auto"/>
          <w:szCs w:val="21"/>
        </w:rPr>
        <w:t>　　二、中小企业划分为中型、小型、微型三种类型，具体标准根据企业从业人员、营业收入、资产总额等指标，结合行业特点制定。</w:t>
      </w:r>
    </w:p>
    <w:p w14:paraId="0D76789E">
      <w:pPr>
        <w:pStyle w:val="21"/>
        <w:rPr>
          <w:color w:val="auto"/>
          <w:szCs w:val="21"/>
        </w:rPr>
      </w:pPr>
      <w:r>
        <w:rPr>
          <w:rFonts w:hint="eastAsia"/>
          <w:color w:val="auto"/>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D5DC863">
      <w:pPr>
        <w:pStyle w:val="21"/>
        <w:rPr>
          <w:color w:val="auto"/>
          <w:szCs w:val="21"/>
        </w:rPr>
      </w:pPr>
      <w:r>
        <w:rPr>
          <w:rFonts w:hint="eastAsia"/>
          <w:color w:val="auto"/>
          <w:szCs w:val="21"/>
        </w:rPr>
        <w:t>　　四、各行业划型标准为：</w:t>
      </w:r>
    </w:p>
    <w:p w14:paraId="10FC34D4">
      <w:pPr>
        <w:pStyle w:val="21"/>
        <w:rPr>
          <w:color w:val="auto"/>
          <w:szCs w:val="21"/>
        </w:rPr>
      </w:pPr>
      <w:r>
        <w:rPr>
          <w:rFonts w:hint="eastAsia"/>
          <w:color w:val="auto"/>
          <w:szCs w:val="21"/>
        </w:rPr>
        <w:t>　　（一）农、林、牧、渔业。营业收入</w:t>
      </w:r>
      <w:r>
        <w:rPr>
          <w:color w:val="auto"/>
          <w:szCs w:val="21"/>
        </w:rPr>
        <w:t>20000</w:t>
      </w:r>
      <w:r>
        <w:rPr>
          <w:rFonts w:hint="eastAsia"/>
          <w:color w:val="auto"/>
          <w:szCs w:val="21"/>
        </w:rPr>
        <w:t>万元以下的为中小微型企业。其中，营业收入</w:t>
      </w:r>
      <w:r>
        <w:rPr>
          <w:color w:val="auto"/>
          <w:szCs w:val="21"/>
        </w:rPr>
        <w:t>500</w:t>
      </w:r>
      <w:r>
        <w:rPr>
          <w:rFonts w:hint="eastAsia"/>
          <w:color w:val="auto"/>
          <w:szCs w:val="21"/>
        </w:rPr>
        <w:t>万元及以上的为中型企业，营业收入</w:t>
      </w:r>
      <w:r>
        <w:rPr>
          <w:color w:val="auto"/>
          <w:szCs w:val="21"/>
        </w:rPr>
        <w:t>50</w:t>
      </w:r>
      <w:r>
        <w:rPr>
          <w:rFonts w:hint="eastAsia"/>
          <w:color w:val="auto"/>
          <w:szCs w:val="21"/>
        </w:rPr>
        <w:t>万元及以上的为小型企业，营业收入</w:t>
      </w:r>
      <w:r>
        <w:rPr>
          <w:color w:val="auto"/>
          <w:szCs w:val="21"/>
        </w:rPr>
        <w:t>50</w:t>
      </w:r>
      <w:r>
        <w:rPr>
          <w:rFonts w:hint="eastAsia"/>
          <w:color w:val="auto"/>
          <w:szCs w:val="21"/>
        </w:rPr>
        <w:t>万元以下的为微型企业。</w:t>
      </w:r>
    </w:p>
    <w:p w14:paraId="2981C86F">
      <w:pPr>
        <w:pStyle w:val="21"/>
        <w:rPr>
          <w:color w:val="auto"/>
          <w:szCs w:val="21"/>
        </w:rPr>
      </w:pPr>
      <w:r>
        <w:rPr>
          <w:rFonts w:hint="eastAsia"/>
          <w:color w:val="auto"/>
          <w:szCs w:val="21"/>
        </w:rPr>
        <w:t>　　（二）工业。从业人员</w:t>
      </w:r>
      <w:r>
        <w:rPr>
          <w:color w:val="auto"/>
          <w:szCs w:val="21"/>
        </w:rPr>
        <w:t>1000</w:t>
      </w:r>
      <w:r>
        <w:rPr>
          <w:rFonts w:hint="eastAsia"/>
          <w:color w:val="auto"/>
          <w:szCs w:val="21"/>
        </w:rPr>
        <w:t>人以下或营业收入</w:t>
      </w:r>
      <w:r>
        <w:rPr>
          <w:color w:val="auto"/>
          <w:szCs w:val="21"/>
        </w:rPr>
        <w:t>40000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300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300</w:t>
      </w:r>
      <w:r>
        <w:rPr>
          <w:rFonts w:hint="eastAsia"/>
          <w:color w:val="auto"/>
          <w:szCs w:val="21"/>
        </w:rPr>
        <w:t>万元以下的为微型企业。</w:t>
      </w:r>
    </w:p>
    <w:p w14:paraId="659C5C43">
      <w:pPr>
        <w:pStyle w:val="21"/>
        <w:rPr>
          <w:color w:val="auto"/>
          <w:szCs w:val="21"/>
        </w:rPr>
      </w:pPr>
      <w:r>
        <w:rPr>
          <w:rFonts w:hint="eastAsia"/>
          <w:color w:val="auto"/>
          <w:szCs w:val="21"/>
        </w:rPr>
        <w:t>　　（三）建筑业。营业收入</w:t>
      </w:r>
      <w:r>
        <w:rPr>
          <w:color w:val="auto"/>
          <w:szCs w:val="21"/>
        </w:rPr>
        <w:t>80000</w:t>
      </w:r>
      <w:r>
        <w:rPr>
          <w:rFonts w:hint="eastAsia"/>
          <w:color w:val="auto"/>
          <w:szCs w:val="21"/>
        </w:rPr>
        <w:t>万元以下或资产总额</w:t>
      </w:r>
      <w:r>
        <w:rPr>
          <w:color w:val="auto"/>
          <w:szCs w:val="21"/>
        </w:rPr>
        <w:t>80000</w:t>
      </w:r>
      <w:r>
        <w:rPr>
          <w:rFonts w:hint="eastAsia"/>
          <w:color w:val="auto"/>
          <w:szCs w:val="21"/>
        </w:rPr>
        <w:t>万元以下的为中小微型企业。其中，营业收入</w:t>
      </w:r>
      <w:r>
        <w:rPr>
          <w:color w:val="auto"/>
          <w:szCs w:val="21"/>
        </w:rPr>
        <w:t>6000</w:t>
      </w:r>
      <w:r>
        <w:rPr>
          <w:rFonts w:hint="eastAsia"/>
          <w:color w:val="auto"/>
          <w:szCs w:val="21"/>
        </w:rPr>
        <w:t>万元及以上，且资产总额</w:t>
      </w:r>
      <w:r>
        <w:rPr>
          <w:color w:val="auto"/>
          <w:szCs w:val="21"/>
        </w:rPr>
        <w:t>5000</w:t>
      </w:r>
      <w:r>
        <w:rPr>
          <w:rFonts w:hint="eastAsia"/>
          <w:color w:val="auto"/>
          <w:szCs w:val="21"/>
        </w:rPr>
        <w:t>万元及以上的为中型企业；营业收入</w:t>
      </w:r>
      <w:r>
        <w:rPr>
          <w:color w:val="auto"/>
          <w:szCs w:val="21"/>
        </w:rPr>
        <w:t>300</w:t>
      </w:r>
      <w:r>
        <w:rPr>
          <w:rFonts w:hint="eastAsia"/>
          <w:color w:val="auto"/>
          <w:szCs w:val="21"/>
        </w:rPr>
        <w:t>万元及以上，且资产总额</w:t>
      </w:r>
      <w:r>
        <w:rPr>
          <w:color w:val="auto"/>
          <w:szCs w:val="21"/>
        </w:rPr>
        <w:t>300</w:t>
      </w:r>
      <w:r>
        <w:rPr>
          <w:rFonts w:hint="eastAsia"/>
          <w:color w:val="auto"/>
          <w:szCs w:val="21"/>
        </w:rPr>
        <w:t>万元及以上的为小型企业；营业收入</w:t>
      </w:r>
      <w:r>
        <w:rPr>
          <w:color w:val="auto"/>
          <w:szCs w:val="21"/>
        </w:rPr>
        <w:t>300</w:t>
      </w:r>
      <w:r>
        <w:rPr>
          <w:rFonts w:hint="eastAsia"/>
          <w:color w:val="auto"/>
          <w:szCs w:val="21"/>
        </w:rPr>
        <w:t>万元以下或资产总额</w:t>
      </w:r>
      <w:r>
        <w:rPr>
          <w:color w:val="auto"/>
          <w:szCs w:val="21"/>
        </w:rPr>
        <w:t>300</w:t>
      </w:r>
      <w:r>
        <w:rPr>
          <w:rFonts w:hint="eastAsia"/>
          <w:color w:val="auto"/>
          <w:szCs w:val="21"/>
        </w:rPr>
        <w:t>万元以下的为微型企业。</w:t>
      </w:r>
    </w:p>
    <w:p w14:paraId="4C8B0B97">
      <w:pPr>
        <w:pStyle w:val="21"/>
        <w:rPr>
          <w:color w:val="auto"/>
          <w:szCs w:val="21"/>
        </w:rPr>
      </w:pPr>
      <w:r>
        <w:rPr>
          <w:rFonts w:hint="eastAsia"/>
          <w:color w:val="auto"/>
          <w:szCs w:val="21"/>
        </w:rPr>
        <w:t>　　（四）批发业。从业人员</w:t>
      </w:r>
      <w:r>
        <w:rPr>
          <w:color w:val="auto"/>
          <w:szCs w:val="21"/>
        </w:rPr>
        <w:t>200</w:t>
      </w:r>
      <w:r>
        <w:rPr>
          <w:rFonts w:hint="eastAsia"/>
          <w:color w:val="auto"/>
          <w:szCs w:val="21"/>
        </w:rPr>
        <w:t>人以下或营业收入</w:t>
      </w:r>
      <w:r>
        <w:rPr>
          <w:color w:val="auto"/>
          <w:szCs w:val="21"/>
        </w:rPr>
        <w:t>40000</w:t>
      </w:r>
      <w:r>
        <w:rPr>
          <w:rFonts w:hint="eastAsia"/>
          <w:color w:val="auto"/>
          <w:szCs w:val="21"/>
        </w:rPr>
        <w:t>万元以下的为中小微型企业。其中，从业人员</w:t>
      </w:r>
      <w:r>
        <w:rPr>
          <w:color w:val="auto"/>
          <w:szCs w:val="21"/>
        </w:rPr>
        <w:t>20</w:t>
      </w:r>
      <w:r>
        <w:rPr>
          <w:rFonts w:hint="eastAsia"/>
          <w:color w:val="auto"/>
          <w:szCs w:val="21"/>
        </w:rPr>
        <w:t>人及以上，且营业收入</w:t>
      </w:r>
      <w:r>
        <w:rPr>
          <w:color w:val="auto"/>
          <w:szCs w:val="21"/>
        </w:rPr>
        <w:t>5000</w:t>
      </w:r>
      <w:r>
        <w:rPr>
          <w:rFonts w:hint="eastAsia"/>
          <w:color w:val="auto"/>
          <w:szCs w:val="21"/>
        </w:rPr>
        <w:t>万元及以上的为中型企业；从业人员</w:t>
      </w:r>
      <w:r>
        <w:rPr>
          <w:color w:val="auto"/>
          <w:szCs w:val="21"/>
        </w:rPr>
        <w:t>5</w:t>
      </w:r>
      <w:r>
        <w:rPr>
          <w:rFonts w:hint="eastAsia"/>
          <w:color w:val="auto"/>
          <w:szCs w:val="21"/>
        </w:rPr>
        <w:t>人及以上，且营业收入</w:t>
      </w:r>
      <w:r>
        <w:rPr>
          <w:color w:val="auto"/>
          <w:szCs w:val="21"/>
        </w:rPr>
        <w:t>1000</w:t>
      </w:r>
      <w:r>
        <w:rPr>
          <w:rFonts w:hint="eastAsia"/>
          <w:color w:val="auto"/>
          <w:szCs w:val="21"/>
        </w:rPr>
        <w:t>万元及以上的为小型企业；从业人员</w:t>
      </w:r>
      <w:r>
        <w:rPr>
          <w:color w:val="auto"/>
          <w:szCs w:val="21"/>
        </w:rPr>
        <w:t>5</w:t>
      </w:r>
      <w:r>
        <w:rPr>
          <w:rFonts w:hint="eastAsia"/>
          <w:color w:val="auto"/>
          <w:szCs w:val="21"/>
        </w:rPr>
        <w:t>人以下或营业收入</w:t>
      </w:r>
      <w:r>
        <w:rPr>
          <w:color w:val="auto"/>
          <w:szCs w:val="21"/>
        </w:rPr>
        <w:t>1000</w:t>
      </w:r>
      <w:r>
        <w:rPr>
          <w:rFonts w:hint="eastAsia"/>
          <w:color w:val="auto"/>
          <w:szCs w:val="21"/>
        </w:rPr>
        <w:t>万元以下的为微型企业。</w:t>
      </w:r>
    </w:p>
    <w:p w14:paraId="76F1A375">
      <w:pPr>
        <w:pStyle w:val="21"/>
        <w:rPr>
          <w:color w:val="auto"/>
          <w:szCs w:val="21"/>
        </w:rPr>
      </w:pPr>
      <w:r>
        <w:rPr>
          <w:rFonts w:hint="eastAsia"/>
          <w:color w:val="auto"/>
          <w:szCs w:val="21"/>
        </w:rPr>
        <w:t>　　（五）零售业。从业人员</w:t>
      </w:r>
      <w:r>
        <w:rPr>
          <w:color w:val="auto"/>
          <w:szCs w:val="21"/>
        </w:rPr>
        <w:t>300</w:t>
      </w:r>
      <w:r>
        <w:rPr>
          <w:rFonts w:hint="eastAsia"/>
          <w:color w:val="auto"/>
          <w:szCs w:val="21"/>
        </w:rPr>
        <w:t>人以下或营业收入</w:t>
      </w:r>
      <w:r>
        <w:rPr>
          <w:color w:val="auto"/>
          <w:szCs w:val="21"/>
        </w:rPr>
        <w:t>20000</w:t>
      </w:r>
      <w:r>
        <w:rPr>
          <w:rFonts w:hint="eastAsia"/>
          <w:color w:val="auto"/>
          <w:szCs w:val="21"/>
        </w:rPr>
        <w:t>万元以下的为中小微型企业。其中，从业人员</w:t>
      </w:r>
      <w:r>
        <w:rPr>
          <w:color w:val="auto"/>
          <w:szCs w:val="21"/>
        </w:rPr>
        <w:t>50</w:t>
      </w:r>
      <w:r>
        <w:rPr>
          <w:rFonts w:hint="eastAsia"/>
          <w:color w:val="auto"/>
          <w:szCs w:val="21"/>
        </w:rPr>
        <w:t>人及以上，且营业收入</w:t>
      </w:r>
      <w:r>
        <w:rPr>
          <w:color w:val="auto"/>
          <w:szCs w:val="21"/>
        </w:rPr>
        <w:t>500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16AC594A">
      <w:pPr>
        <w:pStyle w:val="21"/>
        <w:rPr>
          <w:color w:val="auto"/>
          <w:szCs w:val="21"/>
        </w:rPr>
      </w:pPr>
      <w:r>
        <w:rPr>
          <w:rFonts w:hint="eastAsia"/>
          <w:color w:val="auto"/>
          <w:szCs w:val="21"/>
        </w:rPr>
        <w:t>　　（六）交通运输业。从业人员</w:t>
      </w:r>
      <w:r>
        <w:rPr>
          <w:color w:val="auto"/>
          <w:szCs w:val="21"/>
        </w:rPr>
        <w:t>1000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3000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200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200</w:t>
      </w:r>
      <w:r>
        <w:rPr>
          <w:rFonts w:hint="eastAsia"/>
          <w:color w:val="auto"/>
          <w:szCs w:val="21"/>
        </w:rPr>
        <w:t>万元以下的为微型企业。</w:t>
      </w:r>
    </w:p>
    <w:p w14:paraId="56CE6385">
      <w:pPr>
        <w:pStyle w:val="21"/>
        <w:rPr>
          <w:color w:val="auto"/>
          <w:szCs w:val="21"/>
        </w:rPr>
      </w:pPr>
      <w:r>
        <w:rPr>
          <w:rFonts w:hint="eastAsia"/>
          <w:color w:val="auto"/>
          <w:szCs w:val="21"/>
        </w:rPr>
        <w:t>　　（七）仓储业。从业人员</w:t>
      </w:r>
      <w:r>
        <w:rPr>
          <w:color w:val="auto"/>
          <w:szCs w:val="21"/>
        </w:rPr>
        <w:t>200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100</w:t>
      </w:r>
      <w:r>
        <w:rPr>
          <w:rFonts w:hint="eastAsia"/>
          <w:color w:val="auto"/>
          <w:szCs w:val="21"/>
        </w:rPr>
        <w:t>万元以下的为微型企业。</w:t>
      </w:r>
    </w:p>
    <w:p w14:paraId="09B8F0A7">
      <w:pPr>
        <w:pStyle w:val="21"/>
        <w:rPr>
          <w:color w:val="auto"/>
          <w:szCs w:val="21"/>
        </w:rPr>
      </w:pPr>
      <w:r>
        <w:rPr>
          <w:rFonts w:hint="eastAsia"/>
          <w:color w:val="auto"/>
          <w:szCs w:val="21"/>
        </w:rPr>
        <w:t>　　（八）邮政业。从业人员</w:t>
      </w:r>
      <w:r>
        <w:rPr>
          <w:color w:val="auto"/>
          <w:szCs w:val="21"/>
        </w:rPr>
        <w:t>1000</w:t>
      </w:r>
      <w:r>
        <w:rPr>
          <w:rFonts w:hint="eastAsia"/>
          <w:color w:val="auto"/>
          <w:szCs w:val="21"/>
        </w:rPr>
        <w:t>人以下或营业收入</w:t>
      </w:r>
      <w:r>
        <w:rPr>
          <w:color w:val="auto"/>
          <w:szCs w:val="21"/>
        </w:rPr>
        <w:t>30000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20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20</w:t>
      </w:r>
      <w:r>
        <w:rPr>
          <w:rFonts w:hint="eastAsia"/>
          <w:color w:val="auto"/>
          <w:szCs w:val="21"/>
        </w:rPr>
        <w:t>人以下或营业收入</w:t>
      </w:r>
      <w:r>
        <w:rPr>
          <w:color w:val="auto"/>
          <w:szCs w:val="21"/>
        </w:rPr>
        <w:t>100</w:t>
      </w:r>
      <w:r>
        <w:rPr>
          <w:rFonts w:hint="eastAsia"/>
          <w:color w:val="auto"/>
          <w:szCs w:val="21"/>
        </w:rPr>
        <w:t>万元以下的为微型企业。</w:t>
      </w:r>
    </w:p>
    <w:p w14:paraId="69DFEE36">
      <w:pPr>
        <w:pStyle w:val="21"/>
        <w:rPr>
          <w:color w:val="auto"/>
          <w:szCs w:val="21"/>
        </w:rPr>
      </w:pPr>
      <w:r>
        <w:rPr>
          <w:rFonts w:hint="eastAsia"/>
          <w:color w:val="auto"/>
          <w:szCs w:val="21"/>
        </w:rPr>
        <w:t>　　（九）住宿业。从业人员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79EF620F">
      <w:pPr>
        <w:pStyle w:val="21"/>
        <w:rPr>
          <w:color w:val="auto"/>
          <w:szCs w:val="21"/>
        </w:rPr>
      </w:pPr>
      <w:r>
        <w:rPr>
          <w:rFonts w:hint="eastAsia"/>
          <w:color w:val="auto"/>
          <w:szCs w:val="21"/>
        </w:rPr>
        <w:t>　　（十）餐饮业。从业人员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2000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15D8F74D">
      <w:pPr>
        <w:pStyle w:val="21"/>
        <w:rPr>
          <w:color w:val="auto"/>
          <w:szCs w:val="21"/>
        </w:rPr>
      </w:pPr>
      <w:r>
        <w:rPr>
          <w:rFonts w:hint="eastAsia"/>
          <w:color w:val="auto"/>
          <w:szCs w:val="21"/>
        </w:rPr>
        <w:t>　　（十一）信息传输业。从业人员</w:t>
      </w:r>
      <w:r>
        <w:rPr>
          <w:color w:val="auto"/>
          <w:szCs w:val="21"/>
        </w:rPr>
        <w:t>2000</w:t>
      </w:r>
      <w:r>
        <w:rPr>
          <w:rFonts w:hint="eastAsia"/>
          <w:color w:val="auto"/>
          <w:szCs w:val="21"/>
        </w:rPr>
        <w:t>人以下或营业收入</w:t>
      </w:r>
      <w:r>
        <w:rPr>
          <w:color w:val="auto"/>
          <w:szCs w:val="21"/>
        </w:rPr>
        <w:t>100000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100</w:t>
      </w:r>
      <w:r>
        <w:rPr>
          <w:rFonts w:hint="eastAsia"/>
          <w:color w:val="auto"/>
          <w:szCs w:val="21"/>
        </w:rPr>
        <w:t>万元以下的为微型企业。</w:t>
      </w:r>
    </w:p>
    <w:p w14:paraId="2F83458E">
      <w:pPr>
        <w:pStyle w:val="21"/>
        <w:rPr>
          <w:color w:val="auto"/>
          <w:szCs w:val="21"/>
        </w:rPr>
      </w:pPr>
      <w:r>
        <w:rPr>
          <w:rFonts w:hint="eastAsia"/>
          <w:color w:val="auto"/>
          <w:szCs w:val="21"/>
        </w:rPr>
        <w:t>　　（十二）软件和信息技术服务业。从业人员</w:t>
      </w:r>
      <w:r>
        <w:rPr>
          <w:color w:val="auto"/>
          <w:szCs w:val="21"/>
        </w:rPr>
        <w:t>300</w:t>
      </w:r>
      <w:r>
        <w:rPr>
          <w:rFonts w:hint="eastAsia"/>
          <w:color w:val="auto"/>
          <w:szCs w:val="21"/>
        </w:rPr>
        <w:t>人以下或营业收入</w:t>
      </w:r>
      <w:r>
        <w:rPr>
          <w:color w:val="auto"/>
          <w:szCs w:val="21"/>
        </w:rPr>
        <w:t>10000</w:t>
      </w:r>
      <w:r>
        <w:rPr>
          <w:rFonts w:hint="eastAsia"/>
          <w:color w:val="auto"/>
          <w:szCs w:val="21"/>
        </w:rPr>
        <w:t>万元以下的为中小微型企业。其中，从业人员</w:t>
      </w:r>
      <w:r>
        <w:rPr>
          <w:color w:val="auto"/>
          <w:szCs w:val="21"/>
        </w:rPr>
        <w:t>100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w:t>
      </w:r>
      <w:r>
        <w:rPr>
          <w:rFonts w:hint="eastAsia"/>
          <w:color w:val="auto"/>
          <w:szCs w:val="21"/>
        </w:rPr>
        <w:t>人及以上，且营业收入</w:t>
      </w:r>
      <w:r>
        <w:rPr>
          <w:color w:val="auto"/>
          <w:szCs w:val="21"/>
        </w:rPr>
        <w:t>50</w:t>
      </w:r>
      <w:r>
        <w:rPr>
          <w:rFonts w:hint="eastAsia"/>
          <w:color w:val="auto"/>
          <w:szCs w:val="21"/>
        </w:rPr>
        <w:t>万元及以上的为小型企业；从业人员</w:t>
      </w:r>
      <w:r>
        <w:rPr>
          <w:color w:val="auto"/>
          <w:szCs w:val="21"/>
        </w:rPr>
        <w:t>10</w:t>
      </w:r>
      <w:r>
        <w:rPr>
          <w:rFonts w:hint="eastAsia"/>
          <w:color w:val="auto"/>
          <w:szCs w:val="21"/>
        </w:rPr>
        <w:t>人以下或营业收入</w:t>
      </w:r>
      <w:r>
        <w:rPr>
          <w:color w:val="auto"/>
          <w:szCs w:val="21"/>
        </w:rPr>
        <w:t>50</w:t>
      </w:r>
      <w:r>
        <w:rPr>
          <w:rFonts w:hint="eastAsia"/>
          <w:color w:val="auto"/>
          <w:szCs w:val="21"/>
        </w:rPr>
        <w:t>万元以下的为微型企业。</w:t>
      </w:r>
    </w:p>
    <w:p w14:paraId="2C7D7391">
      <w:pPr>
        <w:pStyle w:val="21"/>
        <w:rPr>
          <w:color w:val="auto"/>
          <w:szCs w:val="21"/>
        </w:rPr>
      </w:pPr>
      <w:r>
        <w:rPr>
          <w:rFonts w:hint="eastAsia"/>
          <w:color w:val="auto"/>
          <w:szCs w:val="21"/>
        </w:rPr>
        <w:t>　　（十三）房地产开发经营。营业收入</w:t>
      </w:r>
      <w:r>
        <w:rPr>
          <w:color w:val="auto"/>
          <w:szCs w:val="21"/>
        </w:rPr>
        <w:t>200000</w:t>
      </w:r>
      <w:r>
        <w:rPr>
          <w:rFonts w:hint="eastAsia"/>
          <w:color w:val="auto"/>
          <w:szCs w:val="21"/>
        </w:rPr>
        <w:t>万元以下或资产总额</w:t>
      </w:r>
      <w:r>
        <w:rPr>
          <w:color w:val="auto"/>
          <w:szCs w:val="21"/>
        </w:rPr>
        <w:t>10000</w:t>
      </w:r>
      <w:r>
        <w:rPr>
          <w:rFonts w:hint="eastAsia"/>
          <w:color w:val="auto"/>
          <w:szCs w:val="21"/>
        </w:rPr>
        <w:t>万元以下的为中小微型企业。其中，营业收入</w:t>
      </w:r>
      <w:r>
        <w:rPr>
          <w:color w:val="auto"/>
          <w:szCs w:val="21"/>
        </w:rPr>
        <w:t>1000</w:t>
      </w:r>
      <w:r>
        <w:rPr>
          <w:rFonts w:hint="eastAsia"/>
          <w:color w:val="auto"/>
          <w:szCs w:val="21"/>
        </w:rPr>
        <w:t>万元及以上，且资产总额</w:t>
      </w:r>
      <w:r>
        <w:rPr>
          <w:color w:val="auto"/>
          <w:szCs w:val="21"/>
        </w:rPr>
        <w:t>5000</w:t>
      </w:r>
      <w:r>
        <w:rPr>
          <w:rFonts w:hint="eastAsia"/>
          <w:color w:val="auto"/>
          <w:szCs w:val="21"/>
        </w:rPr>
        <w:t>万元及以上的为中型企业；营业收入</w:t>
      </w:r>
      <w:r>
        <w:rPr>
          <w:color w:val="auto"/>
          <w:szCs w:val="21"/>
        </w:rPr>
        <w:t>100</w:t>
      </w:r>
      <w:r>
        <w:rPr>
          <w:rFonts w:hint="eastAsia"/>
          <w:color w:val="auto"/>
          <w:szCs w:val="21"/>
        </w:rPr>
        <w:t>万元及以上，且资产总额</w:t>
      </w:r>
      <w:r>
        <w:rPr>
          <w:color w:val="auto"/>
          <w:szCs w:val="21"/>
        </w:rPr>
        <w:t>2000</w:t>
      </w:r>
      <w:r>
        <w:rPr>
          <w:rFonts w:hint="eastAsia"/>
          <w:color w:val="auto"/>
          <w:szCs w:val="21"/>
        </w:rPr>
        <w:t>万元及以上的为小型企业；营业收入</w:t>
      </w:r>
      <w:r>
        <w:rPr>
          <w:color w:val="auto"/>
          <w:szCs w:val="21"/>
        </w:rPr>
        <w:t>100</w:t>
      </w:r>
      <w:r>
        <w:rPr>
          <w:rFonts w:hint="eastAsia"/>
          <w:color w:val="auto"/>
          <w:szCs w:val="21"/>
        </w:rPr>
        <w:t>万元以下或资产总额</w:t>
      </w:r>
      <w:r>
        <w:rPr>
          <w:color w:val="auto"/>
          <w:szCs w:val="21"/>
        </w:rPr>
        <w:t>2000</w:t>
      </w:r>
      <w:r>
        <w:rPr>
          <w:rFonts w:hint="eastAsia"/>
          <w:color w:val="auto"/>
          <w:szCs w:val="21"/>
        </w:rPr>
        <w:t>万元以下的为微型企业。</w:t>
      </w:r>
    </w:p>
    <w:p w14:paraId="64EDC695">
      <w:pPr>
        <w:pStyle w:val="21"/>
        <w:rPr>
          <w:color w:val="auto"/>
          <w:szCs w:val="21"/>
        </w:rPr>
      </w:pPr>
      <w:r>
        <w:rPr>
          <w:rFonts w:hint="eastAsia"/>
          <w:color w:val="auto"/>
          <w:szCs w:val="21"/>
        </w:rPr>
        <w:t>　　（十四）物业管理。从业人员</w:t>
      </w:r>
      <w:r>
        <w:rPr>
          <w:color w:val="auto"/>
          <w:szCs w:val="21"/>
        </w:rPr>
        <w:t>1000</w:t>
      </w:r>
      <w:r>
        <w:rPr>
          <w:rFonts w:hint="eastAsia"/>
          <w:color w:val="auto"/>
          <w:szCs w:val="21"/>
        </w:rPr>
        <w:t>人以下或营业收入</w:t>
      </w:r>
      <w:r>
        <w:rPr>
          <w:color w:val="auto"/>
          <w:szCs w:val="21"/>
        </w:rPr>
        <w:t>5000</w:t>
      </w:r>
      <w:r>
        <w:rPr>
          <w:rFonts w:hint="eastAsia"/>
          <w:color w:val="auto"/>
          <w:szCs w:val="21"/>
        </w:rPr>
        <w:t>万元以下的为中小微型企业。其中，从业人员</w:t>
      </w:r>
      <w:r>
        <w:rPr>
          <w:color w:val="auto"/>
          <w:szCs w:val="21"/>
        </w:rPr>
        <w:t>300</w:t>
      </w:r>
      <w:r>
        <w:rPr>
          <w:rFonts w:hint="eastAsia"/>
          <w:color w:val="auto"/>
          <w:szCs w:val="21"/>
        </w:rPr>
        <w:t>人及以上，且营业收入</w:t>
      </w:r>
      <w:r>
        <w:rPr>
          <w:color w:val="auto"/>
          <w:szCs w:val="21"/>
        </w:rPr>
        <w:t>1000</w:t>
      </w:r>
      <w:r>
        <w:rPr>
          <w:rFonts w:hint="eastAsia"/>
          <w:color w:val="auto"/>
          <w:szCs w:val="21"/>
        </w:rPr>
        <w:t>万元及以上的为中型企业；从业人员</w:t>
      </w:r>
      <w:r>
        <w:rPr>
          <w:color w:val="auto"/>
          <w:szCs w:val="21"/>
        </w:rPr>
        <w:t>100</w:t>
      </w:r>
      <w:r>
        <w:rPr>
          <w:rFonts w:hint="eastAsia"/>
          <w:color w:val="auto"/>
          <w:szCs w:val="21"/>
        </w:rPr>
        <w:t>人及以上，且营业收入</w:t>
      </w:r>
      <w:r>
        <w:rPr>
          <w:color w:val="auto"/>
          <w:szCs w:val="21"/>
        </w:rPr>
        <w:t>500</w:t>
      </w:r>
      <w:r>
        <w:rPr>
          <w:rFonts w:hint="eastAsia"/>
          <w:color w:val="auto"/>
          <w:szCs w:val="21"/>
        </w:rPr>
        <w:t>万元及以上的为小型企业；从业人员</w:t>
      </w:r>
      <w:r>
        <w:rPr>
          <w:color w:val="auto"/>
          <w:szCs w:val="21"/>
        </w:rPr>
        <w:t>100</w:t>
      </w:r>
      <w:r>
        <w:rPr>
          <w:rFonts w:hint="eastAsia"/>
          <w:color w:val="auto"/>
          <w:szCs w:val="21"/>
        </w:rPr>
        <w:t>人以下或营业收入</w:t>
      </w:r>
      <w:r>
        <w:rPr>
          <w:color w:val="auto"/>
          <w:szCs w:val="21"/>
        </w:rPr>
        <w:t>500</w:t>
      </w:r>
      <w:r>
        <w:rPr>
          <w:rFonts w:hint="eastAsia"/>
          <w:color w:val="auto"/>
          <w:szCs w:val="21"/>
        </w:rPr>
        <w:t>万元以下的为微型企业。</w:t>
      </w:r>
    </w:p>
    <w:p w14:paraId="5F5BE214">
      <w:pPr>
        <w:pStyle w:val="21"/>
        <w:rPr>
          <w:color w:val="auto"/>
          <w:szCs w:val="21"/>
        </w:rPr>
      </w:pPr>
      <w:r>
        <w:rPr>
          <w:rFonts w:hint="eastAsia"/>
          <w:color w:val="auto"/>
          <w:szCs w:val="21"/>
        </w:rPr>
        <w:t>　　（十五）租赁和商务服务业。从业人员</w:t>
      </w:r>
      <w:r>
        <w:rPr>
          <w:color w:val="auto"/>
          <w:szCs w:val="21"/>
        </w:rPr>
        <w:t>300</w:t>
      </w:r>
      <w:r>
        <w:rPr>
          <w:rFonts w:hint="eastAsia"/>
          <w:color w:val="auto"/>
          <w:szCs w:val="21"/>
        </w:rPr>
        <w:t>人以下或资产总额</w:t>
      </w:r>
      <w:r>
        <w:rPr>
          <w:color w:val="auto"/>
          <w:szCs w:val="21"/>
        </w:rPr>
        <w:t>120000</w:t>
      </w:r>
      <w:r>
        <w:rPr>
          <w:rFonts w:hint="eastAsia"/>
          <w:color w:val="auto"/>
          <w:szCs w:val="21"/>
        </w:rPr>
        <w:t>万元以下的为中小微型企业。其中，从业人员</w:t>
      </w:r>
      <w:r>
        <w:rPr>
          <w:color w:val="auto"/>
          <w:szCs w:val="21"/>
        </w:rPr>
        <w:t>100</w:t>
      </w:r>
      <w:r>
        <w:rPr>
          <w:rFonts w:hint="eastAsia"/>
          <w:color w:val="auto"/>
          <w:szCs w:val="21"/>
        </w:rPr>
        <w:t>人及以上，且资产总额</w:t>
      </w:r>
      <w:r>
        <w:rPr>
          <w:color w:val="auto"/>
          <w:szCs w:val="21"/>
        </w:rPr>
        <w:t>8000</w:t>
      </w:r>
      <w:r>
        <w:rPr>
          <w:rFonts w:hint="eastAsia"/>
          <w:color w:val="auto"/>
          <w:szCs w:val="21"/>
        </w:rPr>
        <w:t>万元及以上的为中型企业；从业人员</w:t>
      </w:r>
      <w:r>
        <w:rPr>
          <w:color w:val="auto"/>
          <w:szCs w:val="21"/>
        </w:rPr>
        <w:t>10</w:t>
      </w:r>
      <w:r>
        <w:rPr>
          <w:rFonts w:hint="eastAsia"/>
          <w:color w:val="auto"/>
          <w:szCs w:val="21"/>
        </w:rPr>
        <w:t>人及以上，且资产总额</w:t>
      </w:r>
      <w:r>
        <w:rPr>
          <w:color w:val="auto"/>
          <w:szCs w:val="21"/>
        </w:rPr>
        <w:t>100</w:t>
      </w:r>
      <w:r>
        <w:rPr>
          <w:rFonts w:hint="eastAsia"/>
          <w:color w:val="auto"/>
          <w:szCs w:val="21"/>
        </w:rPr>
        <w:t>万元及以上的为小型企业；从业人员</w:t>
      </w:r>
      <w:r>
        <w:rPr>
          <w:color w:val="auto"/>
          <w:szCs w:val="21"/>
        </w:rPr>
        <w:t>10</w:t>
      </w:r>
      <w:r>
        <w:rPr>
          <w:rFonts w:hint="eastAsia"/>
          <w:color w:val="auto"/>
          <w:szCs w:val="21"/>
        </w:rPr>
        <w:t>人以下或资产总额</w:t>
      </w:r>
      <w:r>
        <w:rPr>
          <w:color w:val="auto"/>
          <w:szCs w:val="21"/>
        </w:rPr>
        <w:t>100</w:t>
      </w:r>
      <w:r>
        <w:rPr>
          <w:rFonts w:hint="eastAsia"/>
          <w:color w:val="auto"/>
          <w:szCs w:val="21"/>
        </w:rPr>
        <w:t>万元以下的为微型企业。</w:t>
      </w:r>
    </w:p>
    <w:p w14:paraId="56DE44AD">
      <w:pPr>
        <w:pStyle w:val="21"/>
        <w:rPr>
          <w:color w:val="auto"/>
          <w:szCs w:val="21"/>
        </w:rPr>
      </w:pPr>
      <w:r>
        <w:rPr>
          <w:rFonts w:hint="eastAsia"/>
          <w:color w:val="auto"/>
          <w:szCs w:val="21"/>
        </w:rPr>
        <w:t>　　（十六）其他未列明行业。从业人员</w:t>
      </w:r>
      <w:r>
        <w:rPr>
          <w:color w:val="auto"/>
          <w:szCs w:val="21"/>
        </w:rPr>
        <w:t>300</w:t>
      </w:r>
      <w:r>
        <w:rPr>
          <w:rFonts w:hint="eastAsia"/>
          <w:color w:val="auto"/>
          <w:szCs w:val="21"/>
        </w:rPr>
        <w:t>人以下的为中小微型企业。其中，从业人员</w:t>
      </w:r>
      <w:r>
        <w:rPr>
          <w:color w:val="auto"/>
          <w:szCs w:val="21"/>
        </w:rPr>
        <w:t>100</w:t>
      </w:r>
      <w:r>
        <w:rPr>
          <w:rFonts w:hint="eastAsia"/>
          <w:color w:val="auto"/>
          <w:szCs w:val="21"/>
        </w:rPr>
        <w:t>人及以上的为中型企业；从业人员</w:t>
      </w:r>
      <w:r>
        <w:rPr>
          <w:color w:val="auto"/>
          <w:szCs w:val="21"/>
        </w:rPr>
        <w:t>10</w:t>
      </w:r>
      <w:r>
        <w:rPr>
          <w:rFonts w:hint="eastAsia"/>
          <w:color w:val="auto"/>
          <w:szCs w:val="21"/>
        </w:rPr>
        <w:t>人及以上的为小型企业；从业人员</w:t>
      </w:r>
      <w:r>
        <w:rPr>
          <w:color w:val="auto"/>
          <w:szCs w:val="21"/>
        </w:rPr>
        <w:t>10</w:t>
      </w:r>
      <w:r>
        <w:rPr>
          <w:rFonts w:hint="eastAsia"/>
          <w:color w:val="auto"/>
          <w:szCs w:val="21"/>
        </w:rPr>
        <w:t>人以下的为微型企业。</w:t>
      </w:r>
    </w:p>
    <w:p w14:paraId="41C3F20A">
      <w:pPr>
        <w:pStyle w:val="21"/>
        <w:rPr>
          <w:color w:val="auto"/>
          <w:szCs w:val="21"/>
        </w:rPr>
      </w:pPr>
      <w:r>
        <w:rPr>
          <w:rFonts w:hint="eastAsia"/>
          <w:color w:val="auto"/>
          <w:szCs w:val="21"/>
        </w:rPr>
        <w:t>　　五、企业类型的划分以统计部门的统计数据为依据。</w:t>
      </w:r>
    </w:p>
    <w:p w14:paraId="085F5C1B">
      <w:pPr>
        <w:pStyle w:val="21"/>
        <w:rPr>
          <w:color w:val="auto"/>
          <w:szCs w:val="21"/>
        </w:rPr>
      </w:pPr>
      <w:r>
        <w:rPr>
          <w:rFonts w:hint="eastAsia"/>
          <w:color w:val="auto"/>
          <w:szCs w:val="21"/>
        </w:rPr>
        <w:t>　　六、本规定适用于在中华人民共和国境内依法设立的各类所有制和各种组织形式的企业。个体工商户和本规定以外的行业，参照本规定进行划型。</w:t>
      </w:r>
    </w:p>
    <w:p w14:paraId="6C5B91DF">
      <w:pPr>
        <w:pStyle w:val="21"/>
        <w:rPr>
          <w:color w:val="auto"/>
          <w:szCs w:val="21"/>
        </w:rPr>
      </w:pPr>
      <w:r>
        <w:rPr>
          <w:rFonts w:hint="eastAsia"/>
          <w:color w:val="auto"/>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443B72DD">
      <w:pPr>
        <w:pStyle w:val="21"/>
        <w:rPr>
          <w:color w:val="auto"/>
          <w:szCs w:val="21"/>
        </w:rPr>
      </w:pPr>
      <w:r>
        <w:rPr>
          <w:rFonts w:hint="eastAsia"/>
          <w:color w:val="auto"/>
          <w:szCs w:val="21"/>
        </w:rPr>
        <w:t>　　八、本规定由工业和信息化部、国家统计局会同有关部门根据《国民经济行业分类》修订情况和企业发展变化情况适时修订。</w:t>
      </w:r>
    </w:p>
    <w:p w14:paraId="6926A1E1">
      <w:pPr>
        <w:pStyle w:val="21"/>
        <w:rPr>
          <w:color w:val="auto"/>
          <w:szCs w:val="21"/>
        </w:rPr>
      </w:pPr>
      <w:r>
        <w:rPr>
          <w:rFonts w:hint="eastAsia"/>
          <w:color w:val="auto"/>
          <w:szCs w:val="21"/>
        </w:rPr>
        <w:t>　　九、本规定由工业和信息化部、国家统计局会同有关部门负责解释。</w:t>
      </w:r>
    </w:p>
    <w:p w14:paraId="0B5E2917">
      <w:pPr>
        <w:tabs>
          <w:tab w:val="left" w:pos="180"/>
          <w:tab w:val="left" w:pos="1620"/>
        </w:tabs>
        <w:spacing w:line="360" w:lineRule="auto"/>
        <w:ind w:firstLine="420" w:firstLineChars="200"/>
        <w:rPr>
          <w:rFonts w:ascii="宋体" w:hAnsi="宋体" w:cs="宋体"/>
          <w:b/>
          <w:bCs/>
          <w:color w:val="auto"/>
          <w:szCs w:val="21"/>
        </w:rPr>
      </w:pPr>
      <w:r>
        <w:rPr>
          <w:rFonts w:hint="eastAsia"/>
          <w:color w:val="auto"/>
          <w:szCs w:val="21"/>
        </w:rPr>
        <w:t>十、本规定自发布之日起执行，原国家经贸委、原国家计委、财政部和国家统计局</w:t>
      </w:r>
      <w:r>
        <w:rPr>
          <w:color w:val="auto"/>
          <w:szCs w:val="21"/>
        </w:rPr>
        <w:t>2003</w:t>
      </w:r>
      <w:r>
        <w:rPr>
          <w:rFonts w:hint="eastAsia"/>
          <w:color w:val="auto"/>
          <w:szCs w:val="21"/>
        </w:rPr>
        <w:t>年颁布的《中小企业标准暂行规定》同时废止。</w:t>
      </w:r>
    </w:p>
    <w:p w14:paraId="6C9BA583">
      <w:pPr>
        <w:tabs>
          <w:tab w:val="left" w:pos="180"/>
          <w:tab w:val="left" w:pos="1620"/>
        </w:tabs>
        <w:spacing w:line="360" w:lineRule="auto"/>
        <w:rPr>
          <w:rFonts w:hint="eastAsia" w:ascii="仿宋_GB2312" w:hAnsi="仿宋" w:eastAsia="仿宋_GB2312"/>
          <w:color w:val="auto"/>
          <w:szCs w:val="21"/>
        </w:rPr>
      </w:pPr>
    </w:p>
    <w:p w14:paraId="154CA9A8">
      <w:pPr>
        <w:pStyle w:val="5"/>
        <w:spacing w:before="0" w:after="0" w:line="360" w:lineRule="auto"/>
        <w:jc w:val="center"/>
        <w:rPr>
          <w:rFonts w:hint="eastAsia"/>
          <w:color w:val="auto"/>
        </w:rPr>
      </w:pPr>
      <w:r>
        <w:rPr>
          <w:rFonts w:hint="eastAsia"/>
          <w:color w:val="auto"/>
        </w:rPr>
        <w:t>第四章  评审程序、评审方法和评审标准</w:t>
      </w:r>
      <w:bookmarkEnd w:id="75"/>
    </w:p>
    <w:p w14:paraId="2364BFAB">
      <w:pPr>
        <w:spacing w:line="360" w:lineRule="auto"/>
        <w:jc w:val="center"/>
        <w:rPr>
          <w:rFonts w:hint="eastAsia" w:ascii="宋体" w:hAnsi="宋体"/>
          <w:b/>
          <w:color w:val="auto"/>
          <w:sz w:val="32"/>
          <w:szCs w:val="32"/>
        </w:rPr>
      </w:pPr>
      <w:r>
        <w:rPr>
          <w:rFonts w:hint="eastAsia" w:ascii="宋体" w:hAnsi="宋体"/>
          <w:b/>
          <w:color w:val="auto"/>
          <w:sz w:val="32"/>
          <w:szCs w:val="32"/>
        </w:rPr>
        <w:t>一、评审程序和评审方法</w:t>
      </w:r>
    </w:p>
    <w:p w14:paraId="4FB87669">
      <w:pPr>
        <w:spacing w:line="360" w:lineRule="exact"/>
        <w:ind w:firstLine="482" w:firstLineChars="200"/>
        <w:rPr>
          <w:rFonts w:hint="eastAsia"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14:paraId="67AD4BDA">
      <w:pPr>
        <w:snapToGrid w:val="0"/>
        <w:spacing w:line="360" w:lineRule="exact"/>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317EF8AC">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注：</w:t>
      </w:r>
      <w:r>
        <w:rPr>
          <w:rFonts w:hint="eastAsia"/>
          <w:color w:val="auto"/>
        </w:rPr>
        <w:t>磋商小组</w:t>
      </w:r>
      <w:r>
        <w:rPr>
          <w:rFonts w:hint="eastAsia" w:ascii="宋体" w:hAnsi="宋体" w:cs="宋体"/>
          <w:color w:val="auto"/>
          <w:szCs w:val="21"/>
        </w:rPr>
        <w:t>在资格审查结束前，对供应商进行信用查询。</w:t>
      </w:r>
    </w:p>
    <w:p w14:paraId="03E4DAF0">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（1）查询渠道：“信用中国”网站（www.creditchina.gov.cn）、中国政府采购网（www.ccgp.gov.cn）。</w:t>
      </w:r>
    </w:p>
    <w:p w14:paraId="13DD0129">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（2）信用查询截止时点：资格审查结束前。</w:t>
      </w:r>
    </w:p>
    <w:p w14:paraId="433AA463">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14:paraId="4C98CC49">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14:paraId="6379CB51">
      <w:pPr>
        <w:spacing w:line="360" w:lineRule="exact"/>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18615029">
      <w:pPr>
        <w:spacing w:line="360" w:lineRule="exact"/>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.3供应商有下列情形之一的，资格审查不通过，其响应文件按无效处理：</w:t>
      </w:r>
    </w:p>
    <w:p w14:paraId="388A7F25">
      <w:pPr>
        <w:spacing w:line="360" w:lineRule="exact"/>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237B3CD0">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（2）未按磋商文件规定的方式获取本磋商文件的供应商；</w:t>
      </w:r>
    </w:p>
    <w:p w14:paraId="50BBA61C">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）响应文件的资格证明文件缺少任一项“供应商须知前附表”资格证明文件规定的“必须提供”的文件资料的；</w:t>
      </w:r>
    </w:p>
    <w:p w14:paraId="0260312E">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14:paraId="17DA596D">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）有第二章“供应商须知”第3.2项规定的任何一种情形的。</w:t>
      </w:r>
    </w:p>
    <w:p w14:paraId="41DAA7BA">
      <w:pPr>
        <w:spacing w:line="360" w:lineRule="exact"/>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应当重新开展采购活动。</w:t>
      </w:r>
    </w:p>
    <w:p w14:paraId="215B64FA">
      <w:pPr>
        <w:spacing w:line="360" w:lineRule="exact"/>
        <w:ind w:firstLine="482" w:firstLineChars="200"/>
        <w:rPr>
          <w:rFonts w:hint="eastAsia"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14:paraId="78F1C16C">
      <w:pPr>
        <w:spacing w:line="360" w:lineRule="exact"/>
        <w:ind w:firstLine="420" w:firstLineChars="200"/>
        <w:rPr>
          <w:rFonts w:hint="eastAsia" w:ascii="宋体" w:hAnsi="宋体" w:cs="宋体"/>
          <w:color w:val="auto"/>
          <w:szCs w:val="21"/>
        </w:rPr>
      </w:pPr>
      <w:bookmarkStart w:id="76" w:name="_Hlk42528882"/>
      <w:r>
        <w:rPr>
          <w:rFonts w:ascii="宋体" w:hAnsi="宋体" w:cs="宋体"/>
          <w:color w:val="auto"/>
          <w:szCs w:val="21"/>
        </w:rPr>
        <w:t>2.1</w:t>
      </w:r>
      <w:r>
        <w:rPr>
          <w:rFonts w:hint="eastAsia" w:ascii="宋体" w:hAnsi="宋体" w:cs="宋体"/>
          <w:color w:val="auto"/>
          <w:szCs w:val="21"/>
        </w:rPr>
        <w:t>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76"/>
    <w:p w14:paraId="15806ABA">
      <w:pPr>
        <w:spacing w:line="360" w:lineRule="exact"/>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5C4883">
      <w:pPr>
        <w:spacing w:line="360" w:lineRule="exact"/>
        <w:ind w:firstLine="420" w:firstLineChars="200"/>
        <w:rPr>
          <w:rFonts w:hint="eastAsia"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14:paraId="730D8FBD">
      <w:pPr>
        <w:spacing w:line="360" w:lineRule="exact"/>
        <w:ind w:firstLine="420" w:firstLineChars="200"/>
        <w:rPr>
          <w:rFonts w:ascii="宋体" w:hAnsi="宋体" w:cs="宋体"/>
          <w:color w:val="auto"/>
          <w:spacing w:val="-6"/>
          <w:szCs w:val="21"/>
        </w:rPr>
      </w:pPr>
      <w:r>
        <w:rPr>
          <w:rFonts w:hint="eastAsia" w:ascii="宋体" w:hAnsi="宋体" w:cs="Courier New"/>
          <w:color w:val="auto"/>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2C0883A">
      <w:pPr>
        <w:spacing w:line="360" w:lineRule="exact"/>
        <w:ind w:firstLine="396" w:firstLineChars="200"/>
        <w:rPr>
          <w:rFonts w:hint="eastAsia"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0222B0C9">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433F81E7">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45C06151">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1B6243E1">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788D688D">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同时出现两种以上不一致的，按照以上（1）-（4）规定的顺序逐条进行修正。修正后的报价经供应商确认后产生约束力，供应商不确认的，其响应文件按无效处理。</w:t>
      </w:r>
    </w:p>
    <w:p w14:paraId="601BB5D2">
      <w:pPr>
        <w:spacing w:line="360" w:lineRule="exact"/>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0B20BA39">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在评审时，如发现下列情形之一的，将被视为响应文件无效处理：</w:t>
      </w:r>
    </w:p>
    <w:p w14:paraId="19820D85">
      <w:pPr>
        <w:spacing w:line="360" w:lineRule="exact"/>
        <w:ind w:firstLine="422" w:firstLineChars="200"/>
        <w:rPr>
          <w:rFonts w:ascii="宋体" w:hAnsi="宋体" w:cs="宋体"/>
          <w:b/>
          <w:color w:val="auto"/>
          <w:szCs w:val="21"/>
        </w:rPr>
      </w:pPr>
      <w:r>
        <w:rPr>
          <w:rFonts w:hint="eastAsia" w:ascii="宋体" w:hAnsi="宋体" w:cs="宋体"/>
          <w:b/>
          <w:color w:val="auto"/>
          <w:szCs w:val="21"/>
        </w:rPr>
        <w:t>（1）商务技术评审</w:t>
      </w:r>
    </w:p>
    <w:p w14:paraId="2D6B0C35">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1）响应文件未按磋商文件要求签署、盖章的；</w:t>
      </w:r>
    </w:p>
    <w:p w14:paraId="34D4DB1B">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 xml:space="preserve">2）委托代理人未能出具有效身份证或者出具的身份证与授权委托书中的信息不符的； </w:t>
      </w:r>
    </w:p>
    <w:p w14:paraId="04396FAF">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3）提交的磋商保证金无效的或者未按照磋商文件的规定提交磋商保证金的；</w:t>
      </w:r>
    </w:p>
    <w:p w14:paraId="24061FF7">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5745ED84">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5）未对竞标有效期作出响应或者响应文件承诺的竞标有效期不满足磋商文件要求的；</w:t>
      </w:r>
    </w:p>
    <w:p w14:paraId="60877BDF">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6）响应文件的实质性内容未使用中文表述、使用计量单位不符合磋商文件要求的；</w:t>
      </w:r>
    </w:p>
    <w:p w14:paraId="6474AB7E">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7）响应文件中的文件资料因填写不齐全或者内容虚假或者出现其他情形而导致被磋商小组认定无效的；</w:t>
      </w:r>
    </w:p>
    <w:p w14:paraId="697639EA">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8）响应文件含有采购人不能接受的附加条件的；</w:t>
      </w:r>
    </w:p>
    <w:p w14:paraId="4A300F6D">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9）属于“供应商须知正文”第7.</w:t>
      </w:r>
      <w:r>
        <w:rPr>
          <w:rFonts w:ascii="宋体" w:hAnsi="宋体" w:cs="宋体"/>
          <w:b/>
          <w:color w:val="auto"/>
          <w:szCs w:val="21"/>
        </w:rPr>
        <w:t>5</w:t>
      </w:r>
      <w:r>
        <w:rPr>
          <w:rFonts w:hint="eastAsia" w:ascii="宋体" w:hAnsi="宋体" w:cs="宋体"/>
          <w:b/>
          <w:color w:val="auto"/>
          <w:szCs w:val="21"/>
        </w:rPr>
        <w:t>条供应商相互串通竞标情形的；</w:t>
      </w:r>
    </w:p>
    <w:p w14:paraId="061CE926">
      <w:pPr>
        <w:spacing w:line="360" w:lineRule="exact"/>
        <w:ind w:firstLine="422" w:firstLineChars="200"/>
        <w:rPr>
          <w:rFonts w:hint="eastAsia"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0）虚假竞标，或者出现其他情形而导致被磋商小组认定无效的；</w:t>
      </w:r>
    </w:p>
    <w:p w14:paraId="4D4AB3DB">
      <w:pPr>
        <w:spacing w:line="360" w:lineRule="exact"/>
        <w:ind w:firstLine="422" w:firstLineChars="200"/>
        <w:rPr>
          <w:rFonts w:hint="eastAsia"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1）</w:t>
      </w:r>
      <w:bookmarkStart w:id="77" w:name="_Hlk71704147"/>
      <w:r>
        <w:rPr>
          <w:rFonts w:hint="eastAsia" w:ascii="宋体" w:hAnsi="宋体" w:cs="宋体"/>
          <w:b/>
          <w:color w:val="auto"/>
          <w:szCs w:val="21"/>
        </w:rPr>
        <w:t>磋商文件未载明允许提供备选（替代）竞标方案或明确不允许提供备选（替代）竞标方案时，供应商提供了备选（替代）竞标方案的；</w:t>
      </w:r>
      <w:bookmarkEnd w:id="77"/>
    </w:p>
    <w:p w14:paraId="0F112729">
      <w:pPr>
        <w:spacing w:line="360" w:lineRule="exact"/>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2）响应文件标注的项目名称或者项目编号与磋商文件标注的项目名称或者项目编号不一致的；</w:t>
      </w:r>
    </w:p>
    <w:p w14:paraId="1A722A46">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13）</w:t>
      </w:r>
      <w:r>
        <w:rPr>
          <w:rFonts w:hint="eastAsia" w:ascii="宋体" w:hAnsi="宋体"/>
          <w:b/>
          <w:color w:val="auto"/>
          <w:szCs w:val="21"/>
        </w:rPr>
        <w:t>竞争性磋商文件明确不允许分包，响应文件拟分包的；</w:t>
      </w:r>
    </w:p>
    <w:p w14:paraId="55732535">
      <w:pPr>
        <w:spacing w:line="360" w:lineRule="exact"/>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4）未响应磋商文件实质性要求的；</w:t>
      </w:r>
    </w:p>
    <w:p w14:paraId="4B8FA875">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15）法律、法规和磋商文件规定的其他无效情形。</w:t>
      </w:r>
    </w:p>
    <w:p w14:paraId="7EBF7604">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w:t>
      </w:r>
      <w:r>
        <w:rPr>
          <w:rFonts w:ascii="宋体" w:hAnsi="宋体" w:cs="宋体"/>
          <w:b/>
          <w:color w:val="auto"/>
          <w:szCs w:val="21"/>
        </w:rPr>
        <w:t>2</w:t>
      </w:r>
      <w:r>
        <w:rPr>
          <w:rFonts w:hint="eastAsia" w:ascii="宋体" w:hAnsi="宋体" w:cs="宋体"/>
          <w:b/>
          <w:color w:val="auto"/>
          <w:szCs w:val="21"/>
        </w:rPr>
        <w:t>）报价评审</w:t>
      </w:r>
    </w:p>
    <w:p w14:paraId="19AD244F">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1）</w:t>
      </w:r>
      <w:r>
        <w:rPr>
          <w:rFonts w:ascii="宋体" w:hAnsi="宋体" w:cs="宋体"/>
          <w:b/>
          <w:color w:val="auto"/>
          <w:szCs w:val="21"/>
        </w:rPr>
        <w:t xml:space="preserve"> </w:t>
      </w:r>
      <w:r>
        <w:rPr>
          <w:rFonts w:hint="eastAsia" w:ascii="宋体" w:hAnsi="宋体" w:cs="宋体"/>
          <w:b/>
          <w:color w:val="auto"/>
          <w:szCs w:val="21"/>
        </w:rPr>
        <w:t>响应文件未提供“供应商须知前附表” 报价文件中规定的“竞标报价表”的；</w:t>
      </w:r>
    </w:p>
    <w:p w14:paraId="7898E556">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2）未采用人民币报价或者未按照磋商文件标明的币种报价的；</w:t>
      </w:r>
    </w:p>
    <w:p w14:paraId="5F1BD4D4">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28F49545">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4）竞标报价（包含首次报价、最后报价）超过所竞标分标规定的采购预算金额或者最高限价的（如本项目公布了最高限价）；</w:t>
      </w:r>
      <w:bookmarkStart w:id="78" w:name="_Hlk42596405"/>
      <w:r>
        <w:rPr>
          <w:rFonts w:hint="eastAsia" w:ascii="宋体" w:hAnsi="宋体" w:cs="宋体"/>
          <w:b/>
          <w:color w:val="auto"/>
          <w:szCs w:val="21"/>
        </w:rPr>
        <w:t>竞标报价（包含首次报价、最后报价）</w:t>
      </w:r>
      <w:bookmarkEnd w:id="78"/>
      <w:bookmarkStart w:id="79" w:name="_Hlk42596276"/>
      <w:r>
        <w:rPr>
          <w:rFonts w:hint="eastAsia" w:ascii="宋体" w:hAnsi="宋体" w:cs="宋体"/>
          <w:b/>
          <w:color w:val="auto"/>
          <w:szCs w:val="21"/>
        </w:rPr>
        <w:t>超过磋商文件分项采购预算金额或者单价最高限价的</w:t>
      </w:r>
      <w:bookmarkEnd w:id="79"/>
      <w:r>
        <w:rPr>
          <w:rFonts w:hint="eastAsia" w:ascii="宋体" w:hAnsi="宋体" w:cs="宋体"/>
          <w:b/>
          <w:color w:val="auto"/>
          <w:szCs w:val="21"/>
        </w:rPr>
        <w:t>（如项目有要求并公布了分项采购预算金额或者单价最高限价）；</w:t>
      </w:r>
    </w:p>
    <w:p w14:paraId="329DB3FB">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342F06C6">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6）在单价合同工程中供应商采用总价优惠或以总价百分比优惠的方式进行竞标报价的；</w:t>
      </w:r>
    </w:p>
    <w:p w14:paraId="5159452B">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7）竞标总报价与已标价工程量清单汇总表不一致的；</w:t>
      </w:r>
    </w:p>
    <w:p w14:paraId="5B4C09EF">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8）安全文明施工费和规费、增值税不按广西壮族自治区费用定额及造价管理相关文件规定报价的（园林绿化及仿古建筑工程除外）；</w:t>
      </w:r>
    </w:p>
    <w:p w14:paraId="2E6BFEAC">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9）供应商已标价工程量清单的项目编码（12位）、计量单位、工程量任何一处与工程量清单不一致的；</w:t>
      </w:r>
    </w:p>
    <w:p w14:paraId="5D430ABF">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10）供应商已标价工程量清单的项目名称或项目特征与工程量清单不一致，磋商小组要求澄清、说明或补正，但供应商拒绝澄清、说明或补正的；</w:t>
      </w:r>
    </w:p>
    <w:p w14:paraId="2A59B86A">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11）设有暂估价、暂列金额的，竞标时未按工程量清单给出的暂估价总价、暂列金额总价计入竞标总报价中的；</w:t>
      </w:r>
    </w:p>
    <w:p w14:paraId="76B99556">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12）供应商对工程量清单内容进行增减或对竞标范围进行调整的；</w:t>
      </w:r>
    </w:p>
    <w:p w14:paraId="2608FE60">
      <w:pPr>
        <w:spacing w:line="360" w:lineRule="exact"/>
        <w:ind w:firstLine="422" w:firstLineChars="200"/>
        <w:rPr>
          <w:rFonts w:hint="eastAsia" w:ascii="宋体" w:hAnsi="宋体"/>
          <w:b/>
          <w:color w:val="auto"/>
          <w:szCs w:val="21"/>
        </w:rPr>
      </w:pPr>
      <w:r>
        <w:rPr>
          <w:rFonts w:hint="eastAsia" w:ascii="宋体" w:hAnsi="宋体" w:cs="宋体"/>
          <w:b/>
          <w:color w:val="auto"/>
          <w:szCs w:val="21"/>
        </w:rPr>
        <w:t>13）</w:t>
      </w:r>
      <w:r>
        <w:rPr>
          <w:rFonts w:hint="eastAsia" w:ascii="宋体" w:hAnsi="宋体"/>
          <w:b/>
          <w:color w:val="auto"/>
          <w:szCs w:val="21"/>
        </w:rPr>
        <w:t>响应文件响应的标的数量及单位与竞争性磋商采购文件要求实质性不一致的；</w:t>
      </w:r>
    </w:p>
    <w:p w14:paraId="0E318517">
      <w:pPr>
        <w:spacing w:line="360" w:lineRule="exact"/>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4）未响应磋商文件实质性要求的。</w:t>
      </w:r>
    </w:p>
    <w:p w14:paraId="53FFE197">
      <w:pPr>
        <w:spacing w:line="360" w:lineRule="exact"/>
        <w:ind w:firstLine="422" w:firstLineChars="200"/>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15）</w:t>
      </w:r>
      <w:bookmarkStart w:id="80" w:name="_Hlk220404454"/>
      <w:r>
        <w:rPr>
          <w:rFonts w:hint="eastAsia" w:ascii="宋体" w:hAnsi="宋体" w:eastAsia="宋体" w:cs="宋体"/>
          <w:b/>
          <w:color w:val="FF0000"/>
          <w:szCs w:val="21"/>
          <w:highlight w:val="none"/>
        </w:rPr>
        <w:t>磋商小组启动异常低价响应审查后，供应商不能提供书面说明、证明材料，或者提供的书面说明、证明材料不能证明其报价合理性的</w:t>
      </w:r>
      <w:bookmarkEnd w:id="80"/>
      <w:r>
        <w:rPr>
          <w:rFonts w:hint="eastAsia" w:ascii="宋体" w:hAnsi="宋体" w:eastAsia="宋体" w:cs="宋体"/>
          <w:b/>
          <w:color w:val="FF0000"/>
          <w:szCs w:val="21"/>
          <w:highlight w:val="none"/>
        </w:rPr>
        <w:t>；</w:t>
      </w:r>
    </w:p>
    <w:p w14:paraId="7BC844BC">
      <w:pPr>
        <w:spacing w:line="360" w:lineRule="exact"/>
        <w:ind w:firstLine="420" w:firstLineChars="200"/>
        <w:rPr>
          <w:rFonts w:hint="eastAsia"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磋商小组对响应文件进行评审，未实质性响应磋商文件的响应文件按无效处理，磋商小组应当将资格和符合性不通过的情况告知有关供应商。</w:t>
      </w:r>
    </w:p>
    <w:p w14:paraId="659A1B20">
      <w:pPr>
        <w:spacing w:line="360" w:lineRule="exact"/>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通过符合性审查的合格供应商不足3家的，不得进入磋商环节，应当重新开展采购活动。</w:t>
      </w:r>
    </w:p>
    <w:p w14:paraId="1A2A510A">
      <w:pPr>
        <w:spacing w:line="360" w:lineRule="exact"/>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14:paraId="70E260C3">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w:t>
      </w:r>
      <w:r>
        <w:rPr>
          <w:rFonts w:hint="eastAsia" w:ascii="宋体" w:hAnsi="宋体" w:cs="宋体"/>
          <w:color w:val="auto"/>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41411723">
      <w:pPr>
        <w:spacing w:line="360" w:lineRule="exact"/>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30AC8E7">
      <w:pPr>
        <w:spacing w:line="360" w:lineRule="exact"/>
        <w:ind w:firstLine="420" w:firstLineChars="200"/>
        <w:rPr>
          <w:rFonts w:hint="eastAsia"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对磋商文件作出的实质性变动是磋商文件的有效组成部分，由磋商小组及时以电子澄清函形式同时通知所有参加磋商的供应商。</w:t>
      </w:r>
    </w:p>
    <w:p w14:paraId="538442E8">
      <w:pPr>
        <w:spacing w:line="360" w:lineRule="exact"/>
        <w:ind w:firstLine="420" w:firstLineChars="200"/>
        <w:rPr>
          <w:rFonts w:hint="eastAsia"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1BE15077">
      <w:pPr>
        <w:spacing w:line="360" w:lineRule="exact"/>
        <w:ind w:firstLine="420" w:firstLineChars="200"/>
        <w:rPr>
          <w:rFonts w:hint="eastAsia"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磋商中，磋商的任何一方不得透露与磋商有关的其他供应商的技术资料、价格和其他信息</w:t>
      </w:r>
      <w:r>
        <w:rPr>
          <w:rFonts w:hint="eastAsia" w:ascii="宋体" w:hAnsi="宋体" w:cs="宋体"/>
          <w:color w:val="auto"/>
          <w:spacing w:val="-6"/>
          <w:szCs w:val="21"/>
        </w:rPr>
        <w:t>。</w:t>
      </w:r>
    </w:p>
    <w:p w14:paraId="56F7BCAF">
      <w:pPr>
        <w:widowControl/>
        <w:tabs>
          <w:tab w:val="left" w:pos="540"/>
        </w:tabs>
        <w:spacing w:line="360" w:lineRule="exact"/>
        <w:ind w:firstLine="420" w:firstLineChars="200"/>
        <w:jc w:val="left"/>
        <w:rPr>
          <w:rFonts w:ascii="宋体" w:hAnsi="宋体" w:cs="宋体"/>
          <w:color w:val="auto"/>
          <w:szCs w:val="21"/>
        </w:rPr>
      </w:pPr>
      <w:r>
        <w:rPr>
          <w:rFonts w:ascii="宋体" w:hAnsi="宋体" w:cs="宋体"/>
          <w:color w:val="auto"/>
          <w:szCs w:val="21"/>
        </w:rPr>
        <w:t>3.6</w:t>
      </w:r>
      <w:r>
        <w:rPr>
          <w:rFonts w:hint="eastAsia" w:ascii="宋体" w:hAnsi="宋体" w:cs="宋体"/>
          <w:color w:val="auto"/>
          <w:szCs w:val="21"/>
        </w:rPr>
        <w:t>采购代理机构对磋商过程和磋商内容进行记录。</w:t>
      </w:r>
    </w:p>
    <w:p w14:paraId="51BB4D3E">
      <w:pPr>
        <w:widowControl/>
        <w:tabs>
          <w:tab w:val="left" w:pos="540"/>
        </w:tabs>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.7</w:t>
      </w:r>
      <w:r>
        <w:rPr>
          <w:color w:val="auto"/>
        </w:rPr>
        <w:t>根据《</w:t>
      </w:r>
      <w:r>
        <w:rPr>
          <w:rFonts w:ascii="宋体" w:hAnsi="宋体"/>
          <w:color w:val="auto"/>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8FC024F">
      <w:pPr>
        <w:tabs>
          <w:tab w:val="left" w:pos="2835"/>
        </w:tabs>
        <w:spacing w:line="360" w:lineRule="exact"/>
        <w:ind w:firstLine="420" w:firstLineChars="200"/>
        <w:rPr>
          <w:rFonts w:hint="eastAsia" w:ascii="宋体" w:hAnsi="宋体" w:cs="宋体"/>
          <w:color w:val="auto"/>
          <w:szCs w:val="21"/>
        </w:rPr>
      </w:pPr>
      <w:r>
        <w:rPr>
          <w:rFonts w:ascii="宋体" w:hAnsi="宋体" w:cs="宋体"/>
          <w:color w:val="auto"/>
          <w:szCs w:val="21"/>
        </w:rPr>
        <w:t>3.8除</w:t>
      </w:r>
      <w:r>
        <w:rPr>
          <w:rFonts w:ascii="宋体" w:hAnsi="宋体"/>
          <w:color w:val="auto"/>
        </w:rPr>
        <w:t>本章第3.7条</w:t>
      </w:r>
      <w:r>
        <w:rPr>
          <w:rFonts w:hint="eastAsia" w:ascii="宋体" w:hAnsi="宋体"/>
          <w:color w:val="auto"/>
        </w:rPr>
        <w:t>规定的</w:t>
      </w:r>
      <w:r>
        <w:rPr>
          <w:rFonts w:ascii="宋体" w:hAnsi="宋体"/>
          <w:color w:val="auto"/>
        </w:rPr>
        <w:t>情形</w:t>
      </w:r>
      <w:r>
        <w:rPr>
          <w:rFonts w:hint="eastAsia" w:ascii="宋体" w:hAnsi="宋体"/>
          <w:color w:val="auto"/>
        </w:rPr>
        <w:t>外，</w:t>
      </w:r>
      <w:r>
        <w:rPr>
          <w:rFonts w:hint="eastAsia" w:ascii="宋体" w:hAnsi="宋体"/>
          <w:color w:val="auto"/>
          <w:szCs w:val="21"/>
        </w:rPr>
        <w:t>对磋商过程提交的响应文件进行有效性、完整性和响应程度审查，通过审查的合格供应商不足3家的，应当重新开展采购活动。</w:t>
      </w:r>
    </w:p>
    <w:p w14:paraId="6356863D">
      <w:pPr>
        <w:spacing w:line="360" w:lineRule="exact"/>
        <w:ind w:firstLine="482" w:firstLineChars="200"/>
        <w:rPr>
          <w:rFonts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 xml:space="preserve"> 最后报价</w:t>
      </w:r>
    </w:p>
    <w:p w14:paraId="49A75FD3">
      <w:pPr>
        <w:spacing w:line="360" w:lineRule="exact"/>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rPr>
        <w:t>4.3</w:t>
      </w:r>
      <w:r>
        <w:rPr>
          <w:rFonts w:hint="eastAsia" w:ascii="宋体" w:hAnsi="宋体" w:cs="宋体"/>
          <w:color w:val="auto"/>
          <w:szCs w:val="21"/>
        </w:rPr>
        <w:t>条规定的情形外，提交最后报价的供应商不得少于3家，否则应当重新</w:t>
      </w:r>
      <w:r>
        <w:rPr>
          <w:rFonts w:hint="eastAsia" w:ascii="宋体" w:hAnsi="宋体"/>
          <w:color w:val="auto"/>
          <w:szCs w:val="21"/>
        </w:rPr>
        <w:t>开展采购活动</w:t>
      </w:r>
      <w:r>
        <w:rPr>
          <w:rFonts w:hint="eastAsia" w:ascii="宋体" w:hAnsi="宋体" w:cs="宋体"/>
          <w:color w:val="auto"/>
          <w:szCs w:val="21"/>
        </w:rPr>
        <w:t>。</w:t>
      </w:r>
    </w:p>
    <w:p w14:paraId="4454670F">
      <w:pPr>
        <w:spacing w:line="360" w:lineRule="exact"/>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rPr>
        <w:t>如果供应商的最后报价与首次报价不一致的，不能只报竞标总报价，必须同时提供“已标价工程量清单”，否则做无效响应处理。</w:t>
      </w:r>
    </w:p>
    <w:p w14:paraId="15608E31">
      <w:pPr>
        <w:spacing w:line="360" w:lineRule="exact"/>
        <w:ind w:firstLine="420" w:firstLineChars="200"/>
        <w:rPr>
          <w:rFonts w:hint="eastAsia"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w:t>
      </w:r>
    </w:p>
    <w:p w14:paraId="6AC3B709">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符合《政府采购竞争性磋商采购方式管理暂行办法》（财库〔2014〕214号）第三条第四项“市场竞争不充分的科研项目，以及需要扶持的科技成果转化项目”和</w:t>
      </w:r>
      <w:r>
        <w:rPr>
          <w:color w:val="auto"/>
        </w:rPr>
        <w:t>本章</w:t>
      </w:r>
      <w:r>
        <w:rPr>
          <w:rFonts w:ascii="宋体" w:hAnsi="宋体"/>
          <w:color w:val="auto"/>
        </w:rPr>
        <w:t>第3.7条</w:t>
      </w:r>
      <w:r>
        <w:rPr>
          <w:rFonts w:hint="eastAsia" w:ascii="宋体" w:hAnsi="宋体" w:cs="宋体"/>
          <w:color w:val="auto"/>
          <w:szCs w:val="21"/>
        </w:rPr>
        <w:t>规定</w:t>
      </w:r>
      <w:r>
        <w:rPr>
          <w:color w:val="auto"/>
        </w:rPr>
        <w:t>情形的，</w:t>
      </w:r>
      <w:r>
        <w:rPr>
          <w:rFonts w:hint="eastAsia" w:ascii="宋体" w:hAnsi="宋体" w:cs="宋体"/>
          <w:color w:val="auto"/>
          <w:szCs w:val="21"/>
        </w:rPr>
        <w:t>提交最后报价的供应商可以为2家。</w:t>
      </w:r>
    </w:p>
    <w:p w14:paraId="5301EEAE">
      <w:pPr>
        <w:spacing w:line="360" w:lineRule="exact"/>
        <w:ind w:firstLine="420" w:firstLineChars="200"/>
        <w:rPr>
          <w:rFonts w:hint="eastAsia"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已经提交响应文件的供应商，在提交最后报价之前，可以根据磋商情况退出磋商，退出磋商的供应商的响应文件按无效处理。采购人、采购代理机构将退还退出磋商的供应商的保证金。</w:t>
      </w:r>
    </w:p>
    <w:p w14:paraId="627F6666">
      <w:pPr>
        <w:spacing w:line="360" w:lineRule="exact"/>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供应商未在规定时间内提交最后报价的，视同退出磋商，其响应文件按无效处理。</w:t>
      </w:r>
    </w:p>
    <w:p w14:paraId="44624A1B">
      <w:pPr>
        <w:spacing w:line="360" w:lineRule="auto"/>
        <w:ind w:firstLine="420" w:firstLineChars="200"/>
        <w:rPr>
          <w:rFonts w:hint="eastAsia" w:ascii="宋体" w:hAnsi="宋体" w:cs="宋体"/>
          <w:color w:val="auto"/>
          <w:szCs w:val="21"/>
        </w:rPr>
      </w:pPr>
      <w:r>
        <w:rPr>
          <w:rFonts w:ascii="宋体" w:hAnsi="宋体" w:cs="宋体"/>
          <w:color w:val="auto"/>
          <w:szCs w:val="21"/>
        </w:rPr>
        <w:t>4.6</w:t>
      </w:r>
      <w:r>
        <w:rPr>
          <w:rFonts w:hint="eastAsia" w:ascii="宋体" w:hAnsi="宋体" w:cs="宋体"/>
          <w:color w:val="auto"/>
          <w:szCs w:val="21"/>
        </w:rPr>
        <w:t>最后报价统一开启后，磋商小组对最后报价进行有效性、完整性和响应程度的审查。</w:t>
      </w:r>
    </w:p>
    <w:p w14:paraId="63D1460E">
      <w:pPr>
        <w:spacing w:line="360" w:lineRule="auto"/>
        <w:ind w:firstLine="420" w:firstLineChars="200"/>
        <w:rPr>
          <w:rFonts w:hint="eastAsia" w:ascii="宋体" w:hAnsi="宋体" w:cs="宋体"/>
          <w:color w:val="auto"/>
          <w:szCs w:val="21"/>
        </w:rPr>
      </w:pPr>
      <w:r>
        <w:rPr>
          <w:rFonts w:ascii="宋体" w:hAnsi="宋体" w:cs="宋体"/>
          <w:color w:val="auto"/>
          <w:szCs w:val="21"/>
        </w:rPr>
        <w:t>4.7</w:t>
      </w:r>
      <w:r>
        <w:rPr>
          <w:rFonts w:hint="eastAsia" w:ascii="宋体" w:hAnsi="宋体" w:cs="宋体"/>
          <w:color w:val="auto"/>
          <w:szCs w:val="21"/>
        </w:rPr>
        <w:t>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0B5B4AB9">
      <w:pPr>
        <w:spacing w:line="360" w:lineRule="auto"/>
        <w:ind w:firstLine="420" w:firstLineChars="200"/>
        <w:rPr>
          <w:rFonts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0E439F18">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14:paraId="7844C402">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08C0208C">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（3）经供应商确认修正后的竞标报价（包含首次报价、最后报价）超过分项采购预算金额或者单价最高限价的（如项目有要求并公布了分项采购预算金额或者单价最高限价）。</w:t>
      </w:r>
    </w:p>
    <w:p w14:paraId="1B032BE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4.9经供应商确认修正后的最后报价作为评审及签订合同的依据。</w:t>
      </w:r>
    </w:p>
    <w:p w14:paraId="2EAE9C6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4.10异常低价响应审查</w:t>
      </w:r>
    </w:p>
    <w:p w14:paraId="6C37AE70">
      <w:pPr>
        <w:snapToGrid w:val="0"/>
        <w:spacing w:line="360" w:lineRule="auto"/>
        <w:ind w:firstLine="420" w:firstLineChars="200"/>
        <w:rPr>
          <w:rFonts w:ascii="宋体" w:hAnsi="宋体"/>
          <w:color w:val="FF0000"/>
          <w:szCs w:val="21"/>
        </w:rPr>
      </w:pPr>
      <w:r>
        <w:rPr>
          <w:rFonts w:hint="eastAsia" w:ascii="宋体" w:hAnsi="宋体"/>
          <w:color w:val="FF0000"/>
          <w:szCs w:val="21"/>
        </w:rPr>
        <w:t>（1）磋商小组在评审中发现下列情形之一的，应当启动异常低价响应审查程序：</w:t>
      </w:r>
    </w:p>
    <w:p w14:paraId="3BEDF8F1">
      <w:pPr>
        <w:snapToGrid w:val="0"/>
        <w:spacing w:line="360" w:lineRule="auto"/>
        <w:ind w:firstLine="420" w:firstLineChars="200"/>
        <w:rPr>
          <w:rFonts w:hint="eastAsia" w:ascii="宋体" w:hAnsi="宋体"/>
          <w:color w:val="FF0000"/>
          <w:szCs w:val="21"/>
        </w:rPr>
      </w:pPr>
      <w:r>
        <w:rPr>
          <w:rFonts w:hint="eastAsia" w:ascii="宋体" w:hAnsi="宋体"/>
          <w:color w:val="FF0000"/>
          <w:szCs w:val="21"/>
        </w:rPr>
        <w:t>①响应报价低于全部通过符合性审查供应商响应报价平均值</w:t>
      </w:r>
      <w:r>
        <w:rPr>
          <w:rFonts w:ascii="宋体" w:hAnsi="宋体"/>
          <w:color w:val="FF0000"/>
          <w:szCs w:val="21"/>
          <w:u w:val="single"/>
        </w:rPr>
        <w:t xml:space="preserve"> 65% </w:t>
      </w:r>
      <w:r>
        <w:rPr>
          <w:rFonts w:hint="eastAsia" w:ascii="宋体" w:hAnsi="宋体"/>
          <w:color w:val="FF0000"/>
          <w:szCs w:val="21"/>
        </w:rPr>
        <w:t>的，即响应报价＜全部通过符合性审查供应商响应报价平均值×</w:t>
      </w:r>
      <w:r>
        <w:rPr>
          <w:rFonts w:ascii="宋体" w:hAnsi="宋体"/>
          <w:color w:val="FF0000"/>
          <w:szCs w:val="21"/>
          <w:u w:val="single"/>
        </w:rPr>
        <w:t xml:space="preserve"> 65% </w:t>
      </w:r>
      <w:r>
        <w:rPr>
          <w:rFonts w:hint="eastAsia" w:ascii="宋体" w:hAnsi="宋体"/>
          <w:color w:val="FF0000"/>
          <w:szCs w:val="21"/>
        </w:rPr>
        <w:t>；</w:t>
      </w:r>
    </w:p>
    <w:p w14:paraId="28C82C66">
      <w:pPr>
        <w:snapToGrid w:val="0"/>
        <w:spacing w:line="360" w:lineRule="auto"/>
        <w:ind w:firstLine="420" w:firstLineChars="200"/>
        <w:rPr>
          <w:rFonts w:hint="eastAsia" w:ascii="宋体" w:hAnsi="宋体"/>
          <w:color w:val="FF0000"/>
          <w:szCs w:val="21"/>
        </w:rPr>
      </w:pPr>
      <w:r>
        <w:rPr>
          <w:rFonts w:hint="eastAsia" w:ascii="宋体" w:hAnsi="宋体"/>
          <w:color w:val="FF0000"/>
          <w:szCs w:val="21"/>
        </w:rPr>
        <w:t>②响应报价低于通过符合性审查的次低报价供应商响应报价</w:t>
      </w:r>
      <w:r>
        <w:rPr>
          <w:rFonts w:ascii="宋体" w:hAnsi="宋体"/>
          <w:color w:val="FF0000"/>
          <w:szCs w:val="21"/>
          <w:u w:val="single"/>
        </w:rPr>
        <w:t xml:space="preserve"> 65% </w:t>
      </w:r>
      <w:r>
        <w:rPr>
          <w:rFonts w:hint="eastAsia" w:ascii="宋体" w:hAnsi="宋体"/>
          <w:color w:val="FF0000"/>
          <w:szCs w:val="21"/>
        </w:rPr>
        <w:t>的，即响应报价＜通过符合性审查的次低报价供应商响应报价×</w:t>
      </w:r>
      <w:r>
        <w:rPr>
          <w:rFonts w:ascii="宋体" w:hAnsi="宋体"/>
          <w:color w:val="FF0000"/>
          <w:szCs w:val="21"/>
          <w:u w:val="single"/>
        </w:rPr>
        <w:t xml:space="preserve"> 65% </w:t>
      </w:r>
      <w:r>
        <w:rPr>
          <w:rFonts w:hint="eastAsia" w:ascii="宋体" w:hAnsi="宋体"/>
          <w:color w:val="FF0000"/>
          <w:szCs w:val="21"/>
        </w:rPr>
        <w:t>；</w:t>
      </w:r>
    </w:p>
    <w:p w14:paraId="0B24A8BB">
      <w:pPr>
        <w:snapToGrid w:val="0"/>
        <w:spacing w:line="360" w:lineRule="auto"/>
        <w:ind w:firstLine="420" w:firstLineChars="200"/>
        <w:rPr>
          <w:rFonts w:hint="eastAsia" w:ascii="宋体" w:hAnsi="宋体"/>
          <w:color w:val="FF0000"/>
          <w:szCs w:val="21"/>
        </w:rPr>
      </w:pPr>
      <w:r>
        <w:rPr>
          <w:rFonts w:hint="eastAsia" w:ascii="宋体" w:hAnsi="宋体"/>
          <w:color w:val="FF0000"/>
          <w:szCs w:val="21"/>
        </w:rPr>
        <w:t>③响应报价低于采购项目最高限价</w:t>
      </w:r>
      <w:r>
        <w:rPr>
          <w:rFonts w:ascii="宋体" w:hAnsi="宋体"/>
          <w:color w:val="FF0000"/>
          <w:szCs w:val="21"/>
          <w:u w:val="single"/>
        </w:rPr>
        <w:t xml:space="preserve"> 65% </w:t>
      </w:r>
      <w:r>
        <w:rPr>
          <w:rFonts w:hint="eastAsia" w:ascii="宋体" w:hAnsi="宋体"/>
          <w:color w:val="FF0000"/>
          <w:szCs w:val="21"/>
        </w:rPr>
        <w:t>的，即响应报价＜采购项目最高限价×</w:t>
      </w:r>
      <w:r>
        <w:rPr>
          <w:rFonts w:ascii="宋体" w:hAnsi="宋体"/>
          <w:color w:val="FF0000"/>
          <w:szCs w:val="21"/>
          <w:u w:val="single"/>
        </w:rPr>
        <w:t xml:space="preserve"> 65% </w:t>
      </w:r>
      <w:r>
        <w:rPr>
          <w:rFonts w:hint="eastAsia" w:ascii="宋体" w:hAnsi="宋体"/>
          <w:color w:val="FF0000"/>
          <w:szCs w:val="21"/>
        </w:rPr>
        <w:t>；</w:t>
      </w:r>
    </w:p>
    <w:p w14:paraId="60685ADE">
      <w:pPr>
        <w:snapToGrid w:val="0"/>
        <w:spacing w:line="360" w:lineRule="auto"/>
        <w:ind w:firstLine="420" w:firstLineChars="200"/>
        <w:rPr>
          <w:rFonts w:hint="eastAsia" w:ascii="宋体" w:hAnsi="宋体"/>
          <w:color w:val="FF0000"/>
          <w:szCs w:val="21"/>
        </w:rPr>
      </w:pPr>
      <w:r>
        <w:rPr>
          <w:rFonts w:hint="eastAsia" w:ascii="宋体" w:hAnsi="宋体"/>
          <w:color w:val="FF0000"/>
          <w:szCs w:val="21"/>
        </w:rPr>
        <w:t>④磋商小组基于专业判断，认为供应商报价过低，有可能影响产品质量或者不能诚信履约的其他情形。</w:t>
      </w:r>
    </w:p>
    <w:p w14:paraId="247D862C">
      <w:pPr>
        <w:snapToGrid w:val="0"/>
        <w:spacing w:line="360" w:lineRule="auto"/>
        <w:ind w:firstLine="420" w:firstLineChars="200"/>
        <w:rPr>
          <w:rFonts w:hint="eastAsia" w:ascii="宋体" w:hAnsi="宋体"/>
          <w:color w:val="FF0000"/>
          <w:szCs w:val="21"/>
        </w:rPr>
      </w:pPr>
      <w:r>
        <w:rPr>
          <w:rFonts w:hint="eastAsia" w:ascii="宋体" w:hAnsi="宋体"/>
          <w:color w:val="FF0000"/>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623614A6">
      <w:pPr>
        <w:snapToGrid w:val="0"/>
        <w:spacing w:line="360" w:lineRule="auto"/>
        <w:ind w:firstLine="420" w:firstLineChars="200"/>
        <w:rPr>
          <w:rFonts w:hint="eastAsia" w:ascii="宋体" w:hAnsi="宋体"/>
          <w:color w:val="FF0000"/>
          <w:szCs w:val="21"/>
        </w:rPr>
      </w:pPr>
      <w:r>
        <w:rPr>
          <w:rFonts w:hint="eastAsia" w:ascii="宋体" w:hAnsi="宋体"/>
          <w:color w:val="FF0000"/>
          <w:szCs w:val="21"/>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FF0000"/>
          <w:szCs w:val="21"/>
        </w:rPr>
        <w:t>相关供应商不能提供书面说明、证明材料，或者提供的书面说明、证明材料不能证明其报价合理性的，磋商小组应当将其作为无效响应处理。</w:t>
      </w:r>
    </w:p>
    <w:p w14:paraId="0FB8B7CF">
      <w:pPr>
        <w:snapToGrid w:val="0"/>
        <w:spacing w:line="360" w:lineRule="auto"/>
        <w:ind w:firstLine="420" w:firstLineChars="200"/>
        <w:rPr>
          <w:rFonts w:hint="eastAsia" w:ascii="宋体" w:hAnsi="宋体"/>
          <w:color w:val="FF0000"/>
          <w:szCs w:val="21"/>
        </w:rPr>
      </w:pPr>
      <w:r>
        <w:rPr>
          <w:rFonts w:hint="eastAsia" w:ascii="宋体" w:hAnsi="宋体"/>
          <w:color w:val="FF0000"/>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7627618">
      <w:pPr>
        <w:spacing w:line="360" w:lineRule="auto"/>
        <w:ind w:firstLine="420" w:firstLineChars="200"/>
        <w:rPr>
          <w:rFonts w:hint="eastAsia" w:ascii="宋体" w:hAnsi="宋体" w:cs="宋体"/>
          <w:szCs w:val="21"/>
        </w:rPr>
      </w:pPr>
      <w:r>
        <w:rPr>
          <w:rFonts w:hint="eastAsia" w:ascii="宋体" w:hAnsi="宋体"/>
          <w:color w:val="FF0000"/>
          <w:szCs w:val="21"/>
        </w:rPr>
        <w:t>异常低价响应审查的启动原因、审查意见和审查结果应当在评审报告中记录，并随供应商提供的相关书面说明及证明材料，以及磋商小组有关互联网浏览、查询历史一并归档。</w:t>
      </w:r>
    </w:p>
    <w:p w14:paraId="2745160B">
      <w:pPr>
        <w:spacing w:line="360" w:lineRule="auto"/>
        <w:ind w:firstLine="420" w:firstLineChars="200"/>
        <w:rPr>
          <w:rFonts w:ascii="宋体" w:hAnsi="宋体" w:cs="宋体"/>
          <w:szCs w:val="21"/>
        </w:rPr>
      </w:pPr>
      <w:r>
        <w:rPr>
          <w:rFonts w:hint="eastAsia" w:ascii="宋体" w:hAnsi="宋体" w:cs="宋体"/>
          <w:color w:val="FF0000"/>
          <w:szCs w:val="21"/>
        </w:rPr>
        <w:t>4.11</w:t>
      </w:r>
      <w:r>
        <w:rPr>
          <w:rFonts w:hint="eastAsia" w:ascii="宋体" w:hAnsi="宋体" w:cs="宋体"/>
          <w:szCs w:val="21"/>
        </w:rPr>
        <w:t>供应商出现最后报价按无效响应处理或者响应文件按无效处理时</w:t>
      </w:r>
      <w:r>
        <w:rPr>
          <w:rFonts w:hint="eastAsia" w:ascii="宋体" w:hAnsi="宋体"/>
          <w:szCs w:val="21"/>
        </w:rPr>
        <w:t>，磋商小组应当告知有关供应商</w:t>
      </w:r>
      <w:r>
        <w:rPr>
          <w:rFonts w:hint="eastAsia" w:ascii="宋体" w:hAnsi="宋体" w:cs="宋体"/>
          <w:szCs w:val="21"/>
        </w:rPr>
        <w:t>。</w:t>
      </w:r>
    </w:p>
    <w:p w14:paraId="20904637">
      <w:pPr>
        <w:spacing w:line="360" w:lineRule="auto"/>
        <w:ind w:firstLine="420" w:firstLineChars="200"/>
        <w:rPr>
          <w:rFonts w:hint="eastAsia" w:ascii="宋体" w:hAnsi="宋体" w:cs="宋体"/>
          <w:szCs w:val="21"/>
        </w:rPr>
      </w:pPr>
      <w:r>
        <w:rPr>
          <w:rFonts w:hint="eastAsia" w:ascii="宋体" w:hAnsi="宋体" w:cs="宋体"/>
          <w:color w:val="FF0000"/>
          <w:szCs w:val="21"/>
        </w:rPr>
        <w:t>4</w:t>
      </w:r>
      <w:r>
        <w:rPr>
          <w:rFonts w:ascii="宋体" w:hAnsi="宋体" w:cs="宋体"/>
          <w:color w:val="FF0000"/>
          <w:szCs w:val="21"/>
        </w:rPr>
        <w:t>.1</w:t>
      </w:r>
      <w:r>
        <w:rPr>
          <w:rFonts w:hint="eastAsia" w:ascii="宋体" w:hAnsi="宋体" w:cs="宋体"/>
          <w:color w:val="FF0000"/>
          <w:szCs w:val="21"/>
        </w:rPr>
        <w:t>2</w:t>
      </w:r>
      <w:r>
        <w:rPr>
          <w:rFonts w:hint="eastAsia" w:ascii="宋体" w:hAnsi="宋体" w:cs="宋体"/>
          <w:szCs w:val="21"/>
        </w:rPr>
        <w:t>最后报价结束后，磋商小组不得再与供应商进行任何形式的商谈。</w:t>
      </w:r>
    </w:p>
    <w:p w14:paraId="00275236">
      <w:pPr>
        <w:spacing w:line="360" w:lineRule="exact"/>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0582E59B">
      <w:pPr>
        <w:spacing w:line="360" w:lineRule="exact"/>
        <w:ind w:firstLine="420" w:firstLineChars="200"/>
        <w:rPr>
          <w:rFonts w:hint="eastAsia"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10176348">
      <w:pPr>
        <w:spacing w:line="360" w:lineRule="exact"/>
        <w:ind w:firstLine="420" w:firstLineChars="200"/>
        <w:rPr>
          <w:rFonts w:hint="eastAsia"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3C997727">
      <w:pPr>
        <w:spacing w:line="360" w:lineRule="exact"/>
        <w:ind w:firstLine="420" w:firstLineChars="200"/>
        <w:rPr>
          <w:rFonts w:hint="eastAsia"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1FF2897D">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12FDC3C0">
      <w:pPr>
        <w:spacing w:line="360" w:lineRule="exact"/>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5ED7FC3C">
      <w:pPr>
        <w:spacing w:line="360" w:lineRule="exact"/>
        <w:ind w:firstLine="420" w:firstLineChars="200"/>
        <w:rPr>
          <w:rFonts w:hint="eastAsia"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7B5FAB9E">
      <w:pPr>
        <w:spacing w:line="360" w:lineRule="exact"/>
        <w:ind w:firstLine="482" w:firstLineChars="200"/>
        <w:rPr>
          <w:rFonts w:ascii="黑体" w:hAnsi="黑体" w:eastAsia="黑体" w:cs="宋体"/>
          <w:b/>
          <w:bCs/>
          <w:color w:val="auto"/>
          <w:sz w:val="24"/>
        </w:rPr>
      </w:pPr>
      <w:r>
        <w:rPr>
          <w:rFonts w:hint="eastAsia" w:ascii="黑体" w:hAnsi="黑体" w:eastAsia="黑体" w:cs="宋体"/>
          <w:b/>
          <w:bCs/>
          <w:color w:val="auto"/>
          <w:sz w:val="24"/>
        </w:rPr>
        <w:t>6. 成交供应商推荐原则</w:t>
      </w:r>
    </w:p>
    <w:p w14:paraId="650AD526">
      <w:pPr>
        <w:spacing w:line="360" w:lineRule="exact"/>
        <w:ind w:firstLine="420" w:firstLineChars="200"/>
        <w:rPr>
          <w:rFonts w:hint="eastAsia" w:ascii="宋体" w:hAnsi="宋体"/>
          <w:color w:val="auto"/>
          <w:kern w:val="0"/>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1</w:t>
      </w:r>
      <w:r>
        <w:rPr>
          <w:rFonts w:hint="eastAsia" w:ascii="宋体" w:hAnsi="宋体"/>
          <w:bCs/>
          <w:color w:val="auto"/>
          <w:szCs w:val="21"/>
        </w:rPr>
        <w:t>由磋商小组根据综合评分情况，按照评审得分由高到低顺序推荐3名及以上成交候选供应商，并编写评审报告，</w:t>
      </w:r>
      <w:r>
        <w:rPr>
          <w:rFonts w:hint="eastAsia" w:ascii="宋体" w:hAnsi="宋体" w:cs="宋体"/>
          <w:color w:val="auto"/>
        </w:rPr>
        <w:t>评审报告</w:t>
      </w:r>
      <w:r>
        <w:rPr>
          <w:rFonts w:hint="eastAsia" w:hAnsi="宋体"/>
          <w:color w:val="auto"/>
        </w:rPr>
        <w:t>通过电子交易平台向采购人、采购代理机构提交。</w:t>
      </w:r>
      <w:r>
        <w:rPr>
          <w:rFonts w:hint="eastAsia" w:ascii="宋体" w:hAnsi="宋体"/>
          <w:bCs/>
          <w:color w:val="auto"/>
          <w:szCs w:val="21"/>
        </w:rPr>
        <w:t>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auto"/>
          <w:kern w:val="0"/>
          <w:szCs w:val="21"/>
        </w:rPr>
        <w:t>。</w:t>
      </w:r>
    </w:p>
    <w:p w14:paraId="0062AA03">
      <w:pPr>
        <w:spacing w:line="360" w:lineRule="exact"/>
        <w:ind w:firstLine="420" w:firstLineChars="200"/>
        <w:rPr>
          <w:rFonts w:hint="eastAsia" w:ascii="宋体" w:hAnsi="宋体" w:cs="宋体"/>
          <w:color w:val="auto"/>
          <w:szCs w:val="21"/>
        </w:rPr>
      </w:pPr>
      <w:r>
        <w:rPr>
          <w:rFonts w:hint="eastAsia" w:ascii="宋体" w:hAnsi="宋体"/>
          <w:color w:val="auto"/>
          <w:kern w:val="0"/>
          <w:szCs w:val="21"/>
        </w:rPr>
        <w:t>6</w:t>
      </w:r>
      <w:r>
        <w:rPr>
          <w:rFonts w:ascii="宋体" w:hAnsi="宋体"/>
          <w:color w:val="auto"/>
          <w:kern w:val="0"/>
          <w:szCs w:val="21"/>
        </w:rPr>
        <w:t>.</w:t>
      </w:r>
      <w:r>
        <w:rPr>
          <w:rFonts w:hint="eastAsia" w:ascii="宋体" w:hAnsi="宋体"/>
          <w:color w:val="auto"/>
          <w:kern w:val="0"/>
          <w:szCs w:val="21"/>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C8F9D4E">
      <w:pPr>
        <w:spacing w:line="360" w:lineRule="auto"/>
        <w:jc w:val="center"/>
        <w:rPr>
          <w:rFonts w:ascii="宋体" w:hAnsi="宋体"/>
          <w:b/>
          <w:color w:val="auto"/>
          <w:sz w:val="32"/>
          <w:szCs w:val="32"/>
        </w:rPr>
      </w:pPr>
      <w:r>
        <w:rPr>
          <w:rFonts w:hint="eastAsia" w:ascii="宋体" w:hAnsi="宋体"/>
          <w:b/>
          <w:color w:val="auto"/>
          <w:sz w:val="32"/>
          <w:szCs w:val="32"/>
        </w:rPr>
        <w:t>二、评审标准</w:t>
      </w:r>
    </w:p>
    <w:p w14:paraId="6D94AE12">
      <w:pPr>
        <w:spacing w:line="360" w:lineRule="auto"/>
        <w:ind w:firstLine="420" w:firstLineChars="200"/>
        <w:rPr>
          <w:rFonts w:hint="eastAsia" w:ascii="宋体" w:hAnsi="宋体"/>
          <w:bCs/>
          <w:color w:val="auto"/>
          <w:szCs w:val="21"/>
        </w:rPr>
      </w:pPr>
      <w:r>
        <w:rPr>
          <w:rFonts w:hint="eastAsia" w:ascii="宋体" w:hAnsi="宋体"/>
          <w:bCs/>
          <w:color w:val="auto"/>
          <w:szCs w:val="21"/>
        </w:rPr>
        <w:t>7</w:t>
      </w:r>
      <w:r>
        <w:rPr>
          <w:rFonts w:ascii="宋体" w:hAnsi="宋体"/>
          <w:bCs/>
          <w:color w:val="auto"/>
          <w:szCs w:val="21"/>
        </w:rPr>
        <w:t>.</w:t>
      </w:r>
      <w:r>
        <w:rPr>
          <w:rFonts w:hint="eastAsia" w:ascii="宋体" w:hAnsi="宋体"/>
          <w:bCs/>
          <w:color w:val="auto"/>
          <w:szCs w:val="21"/>
        </w:rPr>
        <w:t>评审依据：磋商小组以磋商文件为评审依据，对供应商的报价、技术、商务等方面内容按百分制打分。（计分方法按四舍五入取至百分位）</w:t>
      </w:r>
    </w:p>
    <w:p w14:paraId="7B909E03">
      <w:pPr>
        <w:spacing w:line="360" w:lineRule="auto"/>
        <w:rPr>
          <w:rFonts w:hint="eastAsia" w:ascii="宋体" w:hAnsi="宋体"/>
          <w:bCs/>
          <w:color w:val="auto"/>
          <w:szCs w:val="21"/>
        </w:rPr>
      </w:pPr>
    </w:p>
    <w:tbl>
      <w:tblPr>
        <w:tblStyle w:val="4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37"/>
        <w:gridCol w:w="6288"/>
        <w:gridCol w:w="851"/>
      </w:tblGrid>
      <w:tr w14:paraId="49C8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14" w:type="dxa"/>
            <w:noWrap w:val="0"/>
            <w:vAlign w:val="center"/>
          </w:tcPr>
          <w:p w14:paraId="39BF9DFF">
            <w:pPr>
              <w:widowControl/>
              <w:spacing w:line="360" w:lineRule="auto"/>
              <w:jc w:val="center"/>
              <w:rPr>
                <w:rFonts w:ascii="宋体" w:hAnsi="宋体" w:cs="Tahoma"/>
                <w:b/>
                <w:bCs/>
                <w:kern w:val="0"/>
                <w:szCs w:val="21"/>
              </w:rPr>
            </w:pPr>
            <w:bookmarkStart w:id="81" w:name="_Toc122424248"/>
            <w:r>
              <w:rPr>
                <w:rFonts w:hint="eastAsia" w:ascii="宋体" w:hAnsi="宋体" w:cs="Tahoma"/>
                <w:b/>
                <w:bCs/>
                <w:kern w:val="0"/>
                <w:szCs w:val="21"/>
              </w:rPr>
              <w:t>序号</w:t>
            </w:r>
          </w:p>
        </w:tc>
        <w:tc>
          <w:tcPr>
            <w:tcW w:w="1337" w:type="dxa"/>
            <w:noWrap w:val="0"/>
            <w:vAlign w:val="center"/>
          </w:tcPr>
          <w:p w14:paraId="07B564C6">
            <w:pPr>
              <w:widowControl/>
              <w:spacing w:line="360" w:lineRule="auto"/>
              <w:jc w:val="center"/>
              <w:rPr>
                <w:rFonts w:ascii="宋体" w:hAnsi="宋体" w:cs="Tahoma"/>
                <w:b/>
                <w:bCs/>
                <w:kern w:val="0"/>
                <w:szCs w:val="21"/>
              </w:rPr>
            </w:pPr>
            <w:r>
              <w:rPr>
                <w:rFonts w:hint="eastAsia" w:ascii="宋体" w:hAnsi="宋体" w:cs="Tahoma"/>
                <w:b/>
                <w:bCs/>
                <w:kern w:val="0"/>
                <w:szCs w:val="21"/>
              </w:rPr>
              <w:t>评审因素</w:t>
            </w:r>
          </w:p>
        </w:tc>
        <w:tc>
          <w:tcPr>
            <w:tcW w:w="6288" w:type="dxa"/>
            <w:noWrap w:val="0"/>
            <w:vAlign w:val="center"/>
          </w:tcPr>
          <w:p w14:paraId="22EA0411">
            <w:pPr>
              <w:widowControl/>
              <w:spacing w:line="360" w:lineRule="auto"/>
              <w:jc w:val="center"/>
              <w:rPr>
                <w:rFonts w:ascii="宋体" w:hAnsi="宋体" w:cs="Tahoma"/>
                <w:b/>
                <w:bCs/>
                <w:kern w:val="0"/>
                <w:szCs w:val="21"/>
              </w:rPr>
            </w:pPr>
            <w:r>
              <w:rPr>
                <w:rFonts w:hint="eastAsia" w:ascii="宋体" w:hAnsi="宋体" w:cs="Tahoma"/>
                <w:b/>
                <w:bCs/>
                <w:kern w:val="0"/>
                <w:szCs w:val="21"/>
              </w:rPr>
              <w:t>评审标准</w:t>
            </w:r>
          </w:p>
        </w:tc>
        <w:tc>
          <w:tcPr>
            <w:tcW w:w="851" w:type="dxa"/>
            <w:noWrap w:val="0"/>
            <w:vAlign w:val="center"/>
          </w:tcPr>
          <w:p w14:paraId="481FD151">
            <w:pPr>
              <w:widowControl/>
              <w:spacing w:line="360" w:lineRule="auto"/>
              <w:jc w:val="center"/>
              <w:rPr>
                <w:rFonts w:ascii="宋体" w:hAnsi="宋体" w:cs="Tahoma"/>
                <w:b/>
                <w:bCs/>
                <w:kern w:val="0"/>
                <w:szCs w:val="21"/>
              </w:rPr>
            </w:pPr>
            <w:r>
              <w:rPr>
                <w:rFonts w:hint="eastAsia" w:ascii="宋体" w:hAnsi="宋体" w:cs="Tahoma"/>
                <w:b/>
                <w:bCs/>
                <w:kern w:val="0"/>
                <w:szCs w:val="21"/>
              </w:rPr>
              <w:t>分值</w:t>
            </w:r>
          </w:p>
        </w:tc>
      </w:tr>
      <w:tr w14:paraId="0B20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14" w:type="dxa"/>
            <w:noWrap w:val="0"/>
            <w:vAlign w:val="center"/>
          </w:tcPr>
          <w:p w14:paraId="1F31A1C2">
            <w:pPr>
              <w:widowControl/>
              <w:spacing w:line="360" w:lineRule="auto"/>
              <w:jc w:val="center"/>
              <w:rPr>
                <w:rFonts w:ascii="宋体" w:hAnsi="宋体" w:cs="Tahoma"/>
                <w:b/>
                <w:bCs/>
                <w:kern w:val="0"/>
                <w:szCs w:val="21"/>
              </w:rPr>
            </w:pPr>
            <w:r>
              <w:rPr>
                <w:rFonts w:hint="eastAsia" w:ascii="宋体" w:hAnsi="宋体" w:cs="Tahoma"/>
                <w:b/>
                <w:bCs/>
                <w:kern w:val="0"/>
                <w:szCs w:val="21"/>
              </w:rPr>
              <w:t>1</w:t>
            </w:r>
          </w:p>
        </w:tc>
        <w:tc>
          <w:tcPr>
            <w:tcW w:w="1337" w:type="dxa"/>
            <w:noWrap w:val="0"/>
            <w:vAlign w:val="center"/>
          </w:tcPr>
          <w:p w14:paraId="49BE96CF">
            <w:pPr>
              <w:widowControl/>
              <w:spacing w:line="360" w:lineRule="auto"/>
              <w:jc w:val="center"/>
              <w:rPr>
                <w:rFonts w:ascii="宋体" w:hAnsi="宋体" w:cs="Tahoma"/>
                <w:b/>
                <w:bCs/>
                <w:kern w:val="0"/>
                <w:szCs w:val="21"/>
              </w:rPr>
            </w:pPr>
            <w:r>
              <w:rPr>
                <w:rFonts w:hint="eastAsia" w:ascii="宋体" w:hAnsi="宋体" w:cs="Tahoma"/>
                <w:b/>
                <w:bCs/>
                <w:kern w:val="0"/>
                <w:szCs w:val="21"/>
              </w:rPr>
              <w:t>价格分</w:t>
            </w:r>
            <w:r>
              <w:rPr>
                <w:rFonts w:hint="eastAsia" w:ascii="宋体" w:hAnsi="宋体" w:cs="宋体"/>
                <w:b/>
                <w:bCs/>
                <w:szCs w:val="21"/>
              </w:rPr>
              <w:t>（满分30 分）</w:t>
            </w:r>
          </w:p>
        </w:tc>
        <w:tc>
          <w:tcPr>
            <w:tcW w:w="6288" w:type="dxa"/>
            <w:noWrap w:val="0"/>
            <w:vAlign w:val="top"/>
          </w:tcPr>
          <w:p w14:paraId="38382EC6">
            <w:pPr>
              <w:spacing w:line="360" w:lineRule="auto"/>
              <w:ind w:firstLine="420" w:firstLineChars="200"/>
              <w:rPr>
                <w:rFonts w:hint="eastAsia" w:ascii="宋体" w:hAnsi="宋体"/>
                <w:szCs w:val="21"/>
              </w:rPr>
            </w:pPr>
            <w:r>
              <w:rPr>
                <w:rFonts w:hint="eastAsia" w:ascii="宋体" w:hAnsi="宋体" w:cs="Courier New"/>
                <w:bCs/>
                <w:szCs w:val="21"/>
              </w:rPr>
              <w:t>（1）因本项</w:t>
            </w:r>
            <w:r>
              <w:rPr>
                <w:rFonts w:hint="eastAsia" w:ascii="宋体" w:hAnsi="宋体" w:cs="Courier New"/>
                <w:bCs/>
                <w:szCs w:val="21"/>
                <w:lang w:val="en-US" w:eastAsia="zh-CN"/>
              </w:rPr>
              <w:t>目</w:t>
            </w:r>
            <w:r>
              <w:rPr>
                <w:rFonts w:hint="eastAsia" w:ascii="宋体" w:hAnsi="宋体" w:cs="Courier New"/>
                <w:bCs/>
                <w:szCs w:val="21"/>
              </w:rPr>
              <w:t>属于专门面向中小企业采购，不享受价格扣除优惠政策。</w:t>
            </w:r>
            <w:r>
              <w:rPr>
                <w:rFonts w:hint="eastAsia" w:ascii="宋体" w:hAnsi="宋体"/>
                <w:szCs w:val="21"/>
              </w:rPr>
              <w:t>评审价为供应商的最后报价，最终成交供应商的成交金额等于最后报价（如有修正，以确认修正后的最后报价为准）。</w:t>
            </w:r>
          </w:p>
          <w:p w14:paraId="063DF6B2">
            <w:pPr>
              <w:pStyle w:val="27"/>
              <w:spacing w:line="360" w:lineRule="auto"/>
              <w:ind w:firstLine="420" w:firstLineChars="200"/>
              <w:rPr>
                <w:rFonts w:hAnsi="宋体" w:cs="Courier New"/>
                <w:bCs/>
                <w:kern w:val="2"/>
                <w:sz w:val="21"/>
              </w:rPr>
            </w:pPr>
            <w:r>
              <w:rPr>
                <w:rFonts w:hint="eastAsia" w:hAnsi="宋体" w:cs="Courier New"/>
                <w:bCs/>
                <w:kern w:val="2"/>
                <w:sz w:val="21"/>
              </w:rPr>
              <w:t>（2）以进入比较与评价环节的最低的评审价为基准价，基准价得分为</w:t>
            </w:r>
            <w:r>
              <w:rPr>
                <w:rFonts w:hint="eastAsia" w:hAnsi="宋体" w:cs="Courier New"/>
                <w:bCs/>
                <w:kern w:val="2"/>
                <w:sz w:val="21"/>
                <w:u w:val="single"/>
              </w:rPr>
              <w:t>30</w:t>
            </w:r>
            <w:r>
              <w:rPr>
                <w:rFonts w:hint="eastAsia" w:hAnsi="宋体" w:cs="Courier New"/>
                <w:bCs/>
                <w:kern w:val="2"/>
                <w:sz w:val="21"/>
              </w:rPr>
              <w:t>分。</w:t>
            </w:r>
          </w:p>
          <w:p w14:paraId="32C34BF5">
            <w:pPr>
              <w:pStyle w:val="27"/>
              <w:spacing w:line="360" w:lineRule="auto"/>
              <w:ind w:firstLine="420" w:firstLineChars="200"/>
              <w:rPr>
                <w:rFonts w:hAnsi="宋体" w:cs="Courier New"/>
                <w:bCs/>
                <w:kern w:val="2"/>
                <w:sz w:val="21"/>
              </w:rPr>
            </w:pPr>
            <w:r>
              <w:rPr>
                <w:rFonts w:hint="eastAsia" w:hAnsi="宋体" w:cs="Courier New"/>
                <w:bCs/>
                <w:kern w:val="2"/>
                <w:sz w:val="21"/>
              </w:rPr>
              <w:t>（</w:t>
            </w:r>
            <w:r>
              <w:rPr>
                <w:rFonts w:hint="eastAsia" w:hAnsi="宋体" w:cs="Courier New"/>
                <w:bCs/>
                <w:kern w:val="2"/>
                <w:sz w:val="21"/>
                <w:lang w:val="en-US" w:eastAsia="zh-CN"/>
              </w:rPr>
              <w:t>3</w:t>
            </w:r>
            <w:r>
              <w:rPr>
                <w:rFonts w:hint="eastAsia" w:hAnsi="宋体" w:cs="Courier New"/>
                <w:bCs/>
                <w:kern w:val="2"/>
                <w:sz w:val="21"/>
              </w:rPr>
              <w:t>）价格分计算公式：</w:t>
            </w:r>
          </w:p>
          <w:p w14:paraId="0ACF6ECB">
            <w:pPr>
              <w:pStyle w:val="27"/>
              <w:spacing w:line="360" w:lineRule="auto"/>
              <w:ind w:firstLine="420" w:firstLineChars="200"/>
              <w:rPr>
                <w:rFonts w:hAnsi="宋体" w:cs="Courier New"/>
                <w:bCs/>
                <w:kern w:val="2"/>
                <w:sz w:val="21"/>
              </w:rPr>
            </w:pPr>
            <w:r>
              <w:rPr>
                <w:rFonts w:hint="eastAsia" w:hAnsi="宋体" w:cs="Courier New"/>
                <w:bCs/>
                <w:kern w:val="2"/>
                <w:sz w:val="21"/>
              </w:rPr>
              <w:t>报价得分=（基准价/最后报价）×</w:t>
            </w:r>
            <w:r>
              <w:rPr>
                <w:rFonts w:hint="eastAsia" w:hAnsi="宋体" w:cs="Courier New"/>
                <w:bCs/>
                <w:kern w:val="2"/>
                <w:sz w:val="21"/>
                <w:u w:val="single"/>
              </w:rPr>
              <w:t>30</w:t>
            </w:r>
            <w:r>
              <w:rPr>
                <w:rFonts w:hint="eastAsia" w:hAnsi="宋体" w:cs="Courier New"/>
                <w:bCs/>
                <w:kern w:val="2"/>
                <w:sz w:val="21"/>
              </w:rPr>
              <w:t>分</w:t>
            </w:r>
          </w:p>
        </w:tc>
        <w:tc>
          <w:tcPr>
            <w:tcW w:w="851" w:type="dxa"/>
            <w:noWrap w:val="0"/>
            <w:vAlign w:val="center"/>
          </w:tcPr>
          <w:p w14:paraId="1C3C071B">
            <w:pPr>
              <w:widowControl/>
              <w:spacing w:line="360" w:lineRule="auto"/>
              <w:jc w:val="center"/>
              <w:rPr>
                <w:rFonts w:ascii="宋体" w:hAnsi="宋体" w:cs="Tahoma"/>
                <w:kern w:val="0"/>
                <w:szCs w:val="21"/>
              </w:rPr>
            </w:pPr>
            <w:r>
              <w:rPr>
                <w:rFonts w:hint="eastAsia" w:ascii="宋体" w:hAnsi="宋体" w:cs="Tahoma"/>
                <w:kern w:val="0"/>
                <w:szCs w:val="21"/>
              </w:rPr>
              <w:t>30分</w:t>
            </w:r>
          </w:p>
        </w:tc>
      </w:tr>
      <w:tr w14:paraId="11FB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noWrap w:val="0"/>
            <w:vAlign w:val="center"/>
          </w:tcPr>
          <w:p w14:paraId="764D8ECC">
            <w:pPr>
              <w:widowControl/>
              <w:spacing w:line="360" w:lineRule="auto"/>
              <w:jc w:val="center"/>
              <w:rPr>
                <w:rFonts w:hint="eastAsia" w:ascii="宋体" w:hAnsi="宋体" w:cs="Tahoma"/>
                <w:b/>
                <w:bCs/>
                <w:kern w:val="0"/>
                <w:szCs w:val="21"/>
              </w:rPr>
            </w:pPr>
            <w:r>
              <w:rPr>
                <w:rFonts w:hint="eastAsia" w:ascii="宋体" w:hAnsi="宋体"/>
                <w:b/>
                <w:bCs/>
                <w:kern w:val="0"/>
                <w:szCs w:val="21"/>
              </w:rPr>
              <w:t>2</w:t>
            </w:r>
          </w:p>
        </w:tc>
        <w:tc>
          <w:tcPr>
            <w:tcW w:w="1337" w:type="dxa"/>
            <w:noWrap w:val="0"/>
            <w:vAlign w:val="center"/>
          </w:tcPr>
          <w:p w14:paraId="2FB0D668">
            <w:pPr>
              <w:widowControl/>
              <w:spacing w:line="360" w:lineRule="auto"/>
              <w:jc w:val="center"/>
              <w:rPr>
                <w:rFonts w:hint="eastAsia" w:ascii="宋体" w:hAnsi="宋体" w:cs="Tahoma"/>
                <w:b/>
                <w:bCs/>
                <w:kern w:val="0"/>
                <w:szCs w:val="21"/>
              </w:rPr>
            </w:pPr>
            <w:r>
              <w:rPr>
                <w:rFonts w:hint="eastAsia" w:ascii="宋体" w:hAnsi="宋体"/>
                <w:b/>
                <w:bCs/>
                <w:kern w:val="0"/>
                <w:szCs w:val="21"/>
              </w:rPr>
              <w:t>技术分</w:t>
            </w:r>
          </w:p>
        </w:tc>
        <w:tc>
          <w:tcPr>
            <w:tcW w:w="7139" w:type="dxa"/>
            <w:gridSpan w:val="2"/>
            <w:noWrap w:val="0"/>
            <w:vAlign w:val="center"/>
          </w:tcPr>
          <w:p w14:paraId="26603511">
            <w:pPr>
              <w:spacing w:line="360" w:lineRule="auto"/>
              <w:jc w:val="center"/>
              <w:rPr>
                <w:rFonts w:hint="eastAsia" w:ascii="宋体" w:hAnsi="宋体" w:cs="Tahoma"/>
                <w:kern w:val="0"/>
                <w:szCs w:val="21"/>
              </w:rPr>
            </w:pPr>
            <w:r>
              <w:rPr>
                <w:rFonts w:hint="eastAsia" w:hAnsi="宋体"/>
                <w:bCs/>
              </w:rPr>
              <w:t>评审标准</w:t>
            </w:r>
          </w:p>
        </w:tc>
      </w:tr>
      <w:tr w14:paraId="52FA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vMerge w:val="restart"/>
            <w:noWrap w:val="0"/>
            <w:vAlign w:val="center"/>
          </w:tcPr>
          <w:p w14:paraId="2C87907E">
            <w:pPr>
              <w:adjustRightInd w:val="0"/>
              <w:spacing w:line="360" w:lineRule="auto"/>
              <w:ind w:left="-105" w:leftChars="-50" w:right="-105" w:rightChars="-50"/>
              <w:jc w:val="center"/>
              <w:textAlignment w:val="baseline"/>
              <w:rPr>
                <w:rFonts w:ascii="宋体" w:hAnsi="宋体"/>
                <w:b/>
                <w:kern w:val="0"/>
                <w:szCs w:val="21"/>
              </w:rPr>
            </w:pPr>
            <w:r>
              <w:rPr>
                <w:rFonts w:hint="eastAsia" w:ascii="宋体" w:hAnsi="宋体"/>
                <w:b/>
                <w:kern w:val="0"/>
                <w:szCs w:val="21"/>
              </w:rPr>
              <w:t>2.1</w:t>
            </w:r>
          </w:p>
        </w:tc>
        <w:tc>
          <w:tcPr>
            <w:tcW w:w="1337" w:type="dxa"/>
            <w:vMerge w:val="restart"/>
            <w:noWrap w:val="0"/>
            <w:vAlign w:val="center"/>
          </w:tcPr>
          <w:p w14:paraId="13FC8AC1">
            <w:pPr>
              <w:adjustRightInd w:val="0"/>
              <w:spacing w:line="360" w:lineRule="auto"/>
              <w:jc w:val="center"/>
              <w:textAlignment w:val="baseline"/>
              <w:rPr>
                <w:rFonts w:hint="eastAsia" w:ascii="宋体" w:hAnsi="宋体"/>
                <w:b/>
                <w:kern w:val="0"/>
                <w:szCs w:val="21"/>
              </w:rPr>
            </w:pPr>
            <w:r>
              <w:rPr>
                <w:rFonts w:hint="eastAsia" w:ascii="宋体" w:hAnsi="宋体"/>
                <w:b/>
                <w:kern w:val="0"/>
                <w:szCs w:val="21"/>
              </w:rPr>
              <w:t>施工组织设计分</w:t>
            </w:r>
            <w:r>
              <w:rPr>
                <w:rFonts w:hint="eastAsia" w:ascii="宋体" w:hAnsi="宋体" w:cs="宋体"/>
                <w:b/>
                <w:szCs w:val="21"/>
              </w:rPr>
              <w:t>（满分59分）</w:t>
            </w:r>
          </w:p>
        </w:tc>
        <w:tc>
          <w:tcPr>
            <w:tcW w:w="6288" w:type="dxa"/>
            <w:noWrap w:val="0"/>
            <w:vAlign w:val="center"/>
          </w:tcPr>
          <w:p w14:paraId="377407A4">
            <w:pPr>
              <w:pStyle w:val="8"/>
              <w:rPr>
                <w:rFonts w:hint="eastAsia" w:ascii="宋体" w:hAnsi="宋体" w:cs="宋体"/>
                <w:bCs w:val="0"/>
                <w:sz w:val="21"/>
                <w:szCs w:val="21"/>
              </w:rPr>
            </w:pPr>
            <w:r>
              <w:rPr>
                <w:rFonts w:hint="eastAsia" w:ascii="宋体" w:hAnsi="宋体" w:cs="宋体"/>
                <w:bCs w:val="0"/>
                <w:sz w:val="21"/>
                <w:szCs w:val="21"/>
              </w:rPr>
              <w:t>（1）总体概述及主要施工方法（满分12分）</w:t>
            </w:r>
          </w:p>
          <w:p w14:paraId="15BA2F9C">
            <w:pPr>
              <w:pStyle w:val="8"/>
              <w:rPr>
                <w:rFonts w:hint="eastAsia" w:ascii="宋体" w:hAnsi="宋体" w:cs="宋体"/>
                <w:b w:val="0"/>
                <w:sz w:val="21"/>
                <w:szCs w:val="21"/>
              </w:rPr>
            </w:pPr>
            <w:r>
              <w:rPr>
                <w:rFonts w:hint="eastAsia" w:ascii="宋体" w:hAnsi="宋体" w:cs="宋体"/>
                <w:b w:val="0"/>
                <w:sz w:val="21"/>
                <w:szCs w:val="21"/>
              </w:rPr>
              <w:t>一档（12分）：对项目总体认识有针对性的概述，对本项目特性有透彻的了解；各主要分部施工方法符合项目实际，有详尽的施工技术方案，工艺先进、施工方法合理并呼应项目总体，施工措施和进度清晰有序，布置规划合理有序，与项目实际结合紧密，能指导具体施工并确保安全。</w:t>
            </w:r>
          </w:p>
          <w:p w14:paraId="105E1237">
            <w:pPr>
              <w:pStyle w:val="8"/>
              <w:rPr>
                <w:rFonts w:hint="eastAsia" w:ascii="宋体" w:hAnsi="宋体" w:cs="宋体"/>
                <w:b w:val="0"/>
                <w:sz w:val="21"/>
                <w:szCs w:val="21"/>
              </w:rPr>
            </w:pPr>
            <w:r>
              <w:rPr>
                <w:rFonts w:hint="eastAsia" w:ascii="宋体" w:hAnsi="宋体" w:cs="宋体"/>
                <w:b w:val="0"/>
                <w:sz w:val="21"/>
                <w:szCs w:val="21"/>
              </w:rPr>
              <w:t>二档（9分）：对项目总体认识有完整的概述；各主要分部施工方法较为完整，施工技术方案的工艺合理，施工方法呼应项目总体，布置规划合理有序，与项目实际结合紧密。</w:t>
            </w:r>
          </w:p>
          <w:p w14:paraId="6CB38274">
            <w:pPr>
              <w:pStyle w:val="8"/>
              <w:rPr>
                <w:rFonts w:hint="eastAsia" w:ascii="宋体" w:hAnsi="宋体" w:cs="宋体"/>
                <w:b w:val="0"/>
                <w:sz w:val="21"/>
                <w:szCs w:val="21"/>
              </w:rPr>
            </w:pPr>
            <w:r>
              <w:rPr>
                <w:rFonts w:hint="eastAsia" w:ascii="宋体" w:hAnsi="宋体" w:cs="宋体"/>
                <w:b w:val="0"/>
                <w:sz w:val="21"/>
                <w:szCs w:val="21"/>
              </w:rPr>
              <w:t>三档（6分）：对项目总体认识有基本合理的概述；各主要分部施工方法较为完整，布置规划较为合理。</w:t>
            </w:r>
          </w:p>
          <w:p w14:paraId="18B6F5DD">
            <w:pPr>
              <w:pStyle w:val="8"/>
              <w:rPr>
                <w:rFonts w:hint="eastAsia" w:ascii="宋体" w:hAnsi="宋体"/>
                <w:szCs w:val="21"/>
              </w:rPr>
            </w:pPr>
            <w:r>
              <w:rPr>
                <w:rFonts w:hint="eastAsia" w:ascii="宋体" w:hAnsi="宋体" w:cs="宋体"/>
                <w:b w:val="0"/>
                <w:sz w:val="21"/>
                <w:szCs w:val="21"/>
              </w:rPr>
              <w:t>四档（0分）：对项目总体认识概述不完整；各主要分部施工方法不符合项目实际，没有施工技术方案，工艺落后、方法不合理、可行，不能指导具体施工并确保安全。</w:t>
            </w:r>
          </w:p>
        </w:tc>
        <w:tc>
          <w:tcPr>
            <w:tcW w:w="851" w:type="dxa"/>
            <w:noWrap w:val="0"/>
            <w:vAlign w:val="center"/>
          </w:tcPr>
          <w:p w14:paraId="30CA2A5B">
            <w:pPr>
              <w:spacing w:line="360" w:lineRule="auto"/>
              <w:jc w:val="center"/>
              <w:rPr>
                <w:rFonts w:ascii="宋体" w:hAnsi="宋体" w:cs="Tahoma"/>
                <w:kern w:val="0"/>
                <w:szCs w:val="21"/>
              </w:rPr>
            </w:pPr>
            <w:r>
              <w:rPr>
                <w:rFonts w:hint="eastAsia" w:ascii="宋体" w:hAnsi="宋体" w:cs="Tahoma"/>
                <w:kern w:val="0"/>
                <w:szCs w:val="21"/>
              </w:rPr>
              <w:t>12分</w:t>
            </w:r>
          </w:p>
        </w:tc>
      </w:tr>
      <w:tr w14:paraId="3819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noWrap w:val="0"/>
            <w:vAlign w:val="center"/>
          </w:tcPr>
          <w:p w14:paraId="7859935E">
            <w:pPr>
              <w:adjustRightInd w:val="0"/>
              <w:spacing w:line="360" w:lineRule="auto"/>
              <w:ind w:left="-105" w:leftChars="-50" w:right="-105" w:rightChars="-50"/>
              <w:jc w:val="center"/>
              <w:textAlignment w:val="baseline"/>
              <w:rPr>
                <w:rFonts w:hint="eastAsia" w:ascii="宋体" w:hAnsi="宋体"/>
                <w:bCs/>
                <w:kern w:val="0"/>
                <w:szCs w:val="21"/>
              </w:rPr>
            </w:pPr>
          </w:p>
        </w:tc>
        <w:tc>
          <w:tcPr>
            <w:tcW w:w="1337" w:type="dxa"/>
            <w:vMerge w:val="continue"/>
            <w:noWrap w:val="0"/>
            <w:vAlign w:val="center"/>
          </w:tcPr>
          <w:p w14:paraId="567BE5EB">
            <w:pPr>
              <w:adjustRightInd w:val="0"/>
              <w:spacing w:line="360" w:lineRule="auto"/>
              <w:jc w:val="center"/>
              <w:textAlignment w:val="baseline"/>
              <w:rPr>
                <w:rFonts w:hint="eastAsia" w:ascii="宋体" w:hAnsi="宋体"/>
                <w:bCs/>
                <w:kern w:val="0"/>
                <w:szCs w:val="21"/>
              </w:rPr>
            </w:pPr>
          </w:p>
        </w:tc>
        <w:tc>
          <w:tcPr>
            <w:tcW w:w="6288" w:type="dxa"/>
            <w:noWrap w:val="0"/>
            <w:vAlign w:val="center"/>
          </w:tcPr>
          <w:p w14:paraId="736FAEC1">
            <w:pPr>
              <w:pStyle w:val="8"/>
              <w:rPr>
                <w:rFonts w:hint="eastAsia" w:ascii="宋体" w:hAnsi="宋体" w:cs="宋体"/>
                <w:bCs w:val="0"/>
                <w:sz w:val="21"/>
                <w:szCs w:val="21"/>
              </w:rPr>
            </w:pPr>
            <w:r>
              <w:rPr>
                <w:rFonts w:hint="eastAsia" w:ascii="宋体" w:hAnsi="宋体" w:cs="宋体"/>
                <w:bCs w:val="0"/>
                <w:sz w:val="21"/>
                <w:szCs w:val="21"/>
              </w:rPr>
              <w:t>（2）拟投入的主要物资及施工机械、设备计划（满分7分）</w:t>
            </w:r>
          </w:p>
          <w:p w14:paraId="3C056A93">
            <w:pPr>
              <w:pStyle w:val="8"/>
              <w:rPr>
                <w:rFonts w:hint="eastAsia" w:ascii="宋体" w:hAnsi="宋体" w:cs="宋体"/>
                <w:b w:val="0"/>
                <w:sz w:val="21"/>
                <w:szCs w:val="21"/>
              </w:rPr>
            </w:pPr>
            <w:r>
              <w:rPr>
                <w:rFonts w:hint="eastAsia" w:ascii="宋体" w:hAnsi="宋体" w:cs="宋体"/>
                <w:b w:val="0"/>
                <w:sz w:val="21"/>
                <w:szCs w:val="21"/>
              </w:rPr>
              <w:t>一档（7分）：投入的施工材料、各类施工机械、设备有详细、具体的组织计划且计划周密，数量、选型配置、进场时间安排合理，计划完整性详实、优劣性突出、可行性高和合理性完善，切实满足施工需要，对资源调配投入计划提出保证措施。</w:t>
            </w:r>
          </w:p>
          <w:p w14:paraId="03418743">
            <w:pPr>
              <w:pStyle w:val="8"/>
              <w:rPr>
                <w:rFonts w:hint="eastAsia" w:ascii="宋体" w:hAnsi="宋体" w:cs="宋体"/>
                <w:b w:val="0"/>
                <w:sz w:val="21"/>
                <w:szCs w:val="21"/>
              </w:rPr>
            </w:pPr>
            <w:r>
              <w:rPr>
                <w:rFonts w:hint="eastAsia" w:ascii="宋体" w:hAnsi="宋体" w:cs="宋体"/>
                <w:b w:val="0"/>
                <w:sz w:val="21"/>
                <w:szCs w:val="21"/>
              </w:rPr>
              <w:t>二档（6分）：投入的施工材料、各类施工机械、设备有较详细的组织计划，计划较周密，数量、选型配置、进场时间安排合理，满足施工需要。</w:t>
            </w:r>
          </w:p>
          <w:p w14:paraId="65221DC8">
            <w:pPr>
              <w:pStyle w:val="8"/>
              <w:rPr>
                <w:rFonts w:hint="eastAsia" w:ascii="宋体" w:hAnsi="宋体" w:cs="宋体"/>
                <w:b w:val="0"/>
                <w:sz w:val="21"/>
                <w:szCs w:val="21"/>
              </w:rPr>
            </w:pPr>
            <w:r>
              <w:rPr>
                <w:rFonts w:hint="eastAsia" w:ascii="宋体" w:hAnsi="宋体" w:cs="宋体"/>
                <w:b w:val="0"/>
                <w:sz w:val="21"/>
                <w:szCs w:val="21"/>
              </w:rPr>
              <w:t>三档（5分）：投入施工材料、各类施工机械、设备的组织与施工进度相呼应，材料、设备计划数量基本满足施工要求，材料、设备质量基本满足施工要求，材料、设备进场时间基本合理。</w:t>
            </w:r>
          </w:p>
          <w:p w14:paraId="6C227ABC">
            <w:pPr>
              <w:pStyle w:val="8"/>
              <w:rPr>
                <w:rFonts w:hint="eastAsia" w:ascii="宋体" w:hAnsi="宋体"/>
                <w:szCs w:val="21"/>
              </w:rPr>
            </w:pPr>
            <w:r>
              <w:rPr>
                <w:rFonts w:hint="eastAsia" w:ascii="宋体" w:hAnsi="宋体" w:cs="宋体"/>
                <w:b w:val="0"/>
                <w:sz w:val="21"/>
                <w:szCs w:val="21"/>
              </w:rPr>
              <w:t>四档（0分）：投入施工材料、各类施工机械、设备的组织与施工进度不呼应，材料计划数量不能满足施工材料要求，材料质量不能满足施工材料要求，材料进场时间不合理。</w:t>
            </w:r>
          </w:p>
        </w:tc>
        <w:tc>
          <w:tcPr>
            <w:tcW w:w="851" w:type="dxa"/>
            <w:noWrap w:val="0"/>
            <w:vAlign w:val="center"/>
          </w:tcPr>
          <w:p w14:paraId="5959650F">
            <w:pPr>
              <w:spacing w:line="360" w:lineRule="auto"/>
              <w:jc w:val="center"/>
              <w:rPr>
                <w:rFonts w:hint="eastAsia" w:ascii="宋体" w:hAnsi="宋体" w:cs="Tahoma"/>
                <w:kern w:val="0"/>
                <w:szCs w:val="21"/>
              </w:rPr>
            </w:pPr>
            <w:r>
              <w:rPr>
                <w:rFonts w:hint="eastAsia" w:ascii="宋体" w:hAnsi="宋体" w:cs="Tahoma"/>
                <w:kern w:val="0"/>
                <w:szCs w:val="21"/>
              </w:rPr>
              <w:t>7分</w:t>
            </w:r>
          </w:p>
        </w:tc>
      </w:tr>
      <w:tr w14:paraId="47C0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noWrap w:val="0"/>
            <w:vAlign w:val="center"/>
          </w:tcPr>
          <w:p w14:paraId="2153D1D7">
            <w:pPr>
              <w:adjustRightInd w:val="0"/>
              <w:spacing w:line="360" w:lineRule="auto"/>
              <w:ind w:left="-105" w:leftChars="-50" w:right="-105" w:rightChars="-50"/>
              <w:jc w:val="center"/>
              <w:textAlignment w:val="baseline"/>
              <w:rPr>
                <w:rFonts w:hint="eastAsia" w:ascii="宋体" w:hAnsi="宋体"/>
                <w:bCs/>
                <w:kern w:val="0"/>
                <w:szCs w:val="21"/>
              </w:rPr>
            </w:pPr>
          </w:p>
        </w:tc>
        <w:tc>
          <w:tcPr>
            <w:tcW w:w="1337" w:type="dxa"/>
            <w:vMerge w:val="continue"/>
            <w:noWrap w:val="0"/>
            <w:vAlign w:val="center"/>
          </w:tcPr>
          <w:p w14:paraId="609C2D85">
            <w:pPr>
              <w:adjustRightInd w:val="0"/>
              <w:spacing w:line="360" w:lineRule="auto"/>
              <w:jc w:val="center"/>
              <w:textAlignment w:val="baseline"/>
              <w:rPr>
                <w:rFonts w:hint="eastAsia" w:ascii="宋体" w:hAnsi="宋体"/>
                <w:bCs/>
                <w:kern w:val="0"/>
                <w:szCs w:val="21"/>
              </w:rPr>
            </w:pPr>
          </w:p>
        </w:tc>
        <w:tc>
          <w:tcPr>
            <w:tcW w:w="6288" w:type="dxa"/>
            <w:noWrap w:val="0"/>
            <w:vAlign w:val="top"/>
          </w:tcPr>
          <w:p w14:paraId="2228284E">
            <w:pPr>
              <w:pStyle w:val="8"/>
              <w:rPr>
                <w:rFonts w:hint="eastAsia" w:ascii="宋体" w:hAnsi="宋体" w:cs="宋体"/>
                <w:sz w:val="21"/>
                <w:szCs w:val="21"/>
                <w:lang w:bidi="ar"/>
              </w:rPr>
            </w:pPr>
            <w:r>
              <w:rPr>
                <w:rFonts w:hint="eastAsia" w:ascii="宋体" w:hAnsi="宋体" w:cs="宋体"/>
                <w:sz w:val="21"/>
                <w:szCs w:val="21"/>
                <w:lang w:bidi="ar"/>
              </w:rPr>
              <w:t>（3）</w:t>
            </w:r>
            <w:r>
              <w:rPr>
                <w:rFonts w:hint="eastAsia" w:ascii="宋体" w:hAnsi="宋体" w:cs="宋体"/>
                <w:bCs w:val="0"/>
                <w:kern w:val="0"/>
                <w:sz w:val="21"/>
                <w:szCs w:val="21"/>
              </w:rPr>
              <w:t>劳动力安排计划</w:t>
            </w:r>
            <w:r>
              <w:rPr>
                <w:rFonts w:hint="eastAsia" w:ascii="宋体" w:hAnsi="宋体" w:cs="宋体"/>
                <w:sz w:val="21"/>
                <w:szCs w:val="21"/>
                <w:lang w:bidi="ar"/>
              </w:rPr>
              <w:t>（满分7分）</w:t>
            </w:r>
          </w:p>
          <w:p w14:paraId="32E07448">
            <w:pPr>
              <w:pStyle w:val="8"/>
              <w:rPr>
                <w:rFonts w:hint="eastAsia" w:ascii="宋体" w:hAnsi="宋体" w:cs="宋体"/>
                <w:b w:val="0"/>
                <w:sz w:val="21"/>
                <w:szCs w:val="21"/>
              </w:rPr>
            </w:pPr>
            <w:r>
              <w:rPr>
                <w:rFonts w:hint="eastAsia" w:ascii="宋体" w:hAnsi="宋体" w:cs="宋体"/>
                <w:b w:val="0"/>
                <w:sz w:val="21"/>
                <w:szCs w:val="21"/>
              </w:rPr>
              <w:t>一档（7分）：各主要施工工序有详细周密的劳动力安排计划，计划与工程进度计划呼应；有各工种劳动力安排计划，劳动力投入合理，满足施工需要，对劳动力安排计划提出保证措施。</w:t>
            </w:r>
          </w:p>
          <w:p w14:paraId="5DB107C7">
            <w:pPr>
              <w:pStyle w:val="8"/>
              <w:rPr>
                <w:rFonts w:hint="eastAsia" w:ascii="宋体" w:hAnsi="宋体" w:cs="宋体"/>
                <w:b w:val="0"/>
                <w:sz w:val="21"/>
                <w:szCs w:val="21"/>
              </w:rPr>
            </w:pPr>
            <w:r>
              <w:rPr>
                <w:rFonts w:hint="eastAsia" w:ascii="宋体" w:hAnsi="宋体" w:cs="宋体"/>
                <w:b w:val="0"/>
                <w:sz w:val="21"/>
                <w:szCs w:val="21"/>
              </w:rPr>
              <w:t>二档（6分）：投入的劳动力有安排计划，内容完善符合要求。有各工种劳动力安排计划，劳动力投入合理，安排满足施工需要。</w:t>
            </w:r>
          </w:p>
          <w:p w14:paraId="21F19047">
            <w:pPr>
              <w:pStyle w:val="8"/>
              <w:rPr>
                <w:rFonts w:hint="eastAsia" w:ascii="宋体" w:hAnsi="宋体" w:cs="宋体"/>
                <w:b w:val="0"/>
                <w:sz w:val="21"/>
                <w:szCs w:val="21"/>
              </w:rPr>
            </w:pPr>
            <w:r>
              <w:rPr>
                <w:rFonts w:hint="eastAsia" w:ascii="宋体" w:hAnsi="宋体" w:cs="宋体"/>
                <w:b w:val="0"/>
                <w:sz w:val="21"/>
                <w:szCs w:val="21"/>
              </w:rPr>
              <w:t>三档（5分）：投入的劳动力有安排计划，内容基本符合要求。有各工种劳动力安排计划，劳动力投入基本合理，基本满足施工需要。</w:t>
            </w:r>
          </w:p>
          <w:p w14:paraId="02973D9A">
            <w:pPr>
              <w:pStyle w:val="8"/>
              <w:rPr>
                <w:rFonts w:hint="eastAsia" w:ascii="宋体" w:hAnsi="宋体"/>
                <w:szCs w:val="21"/>
              </w:rPr>
            </w:pPr>
            <w:r>
              <w:rPr>
                <w:rFonts w:hint="eastAsia" w:ascii="宋体" w:hAnsi="宋体" w:cs="宋体"/>
                <w:b w:val="0"/>
                <w:sz w:val="21"/>
                <w:szCs w:val="21"/>
              </w:rPr>
              <w:t>四档（0分）：投入的劳动力无详细的组织计划，材料的数量、选型配置、进场时间安排不合理，劳动力投入不合理，不能满足施工需要。</w:t>
            </w:r>
          </w:p>
        </w:tc>
        <w:tc>
          <w:tcPr>
            <w:tcW w:w="851" w:type="dxa"/>
            <w:noWrap w:val="0"/>
            <w:vAlign w:val="center"/>
          </w:tcPr>
          <w:p w14:paraId="5064D3E1">
            <w:pPr>
              <w:spacing w:line="360" w:lineRule="auto"/>
              <w:jc w:val="center"/>
              <w:rPr>
                <w:rFonts w:ascii="宋体" w:hAnsi="宋体" w:cs="Tahoma"/>
                <w:kern w:val="0"/>
                <w:szCs w:val="21"/>
              </w:rPr>
            </w:pPr>
            <w:r>
              <w:rPr>
                <w:rFonts w:hint="eastAsia" w:ascii="宋体" w:hAnsi="宋体" w:cs="Tahoma"/>
                <w:kern w:val="0"/>
                <w:szCs w:val="21"/>
              </w:rPr>
              <w:t>7分</w:t>
            </w:r>
          </w:p>
        </w:tc>
      </w:tr>
      <w:tr w14:paraId="7B60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noWrap w:val="0"/>
            <w:vAlign w:val="center"/>
          </w:tcPr>
          <w:p w14:paraId="0E150B27">
            <w:pPr>
              <w:adjustRightInd w:val="0"/>
              <w:spacing w:line="360" w:lineRule="auto"/>
              <w:ind w:left="-105" w:leftChars="-50" w:right="-105" w:rightChars="-50"/>
              <w:jc w:val="center"/>
              <w:textAlignment w:val="baseline"/>
              <w:rPr>
                <w:rFonts w:hint="eastAsia" w:ascii="宋体" w:hAnsi="宋体"/>
                <w:bCs/>
                <w:kern w:val="0"/>
                <w:szCs w:val="21"/>
              </w:rPr>
            </w:pPr>
          </w:p>
        </w:tc>
        <w:tc>
          <w:tcPr>
            <w:tcW w:w="1337" w:type="dxa"/>
            <w:vMerge w:val="continue"/>
            <w:noWrap w:val="0"/>
            <w:vAlign w:val="center"/>
          </w:tcPr>
          <w:p w14:paraId="36E8A8E9">
            <w:pPr>
              <w:adjustRightInd w:val="0"/>
              <w:spacing w:line="360" w:lineRule="auto"/>
              <w:jc w:val="center"/>
              <w:textAlignment w:val="baseline"/>
              <w:rPr>
                <w:rFonts w:hint="eastAsia" w:ascii="宋体" w:hAnsi="宋体"/>
                <w:bCs/>
                <w:kern w:val="0"/>
                <w:szCs w:val="21"/>
              </w:rPr>
            </w:pPr>
          </w:p>
        </w:tc>
        <w:tc>
          <w:tcPr>
            <w:tcW w:w="6288" w:type="dxa"/>
            <w:noWrap w:val="0"/>
            <w:vAlign w:val="center"/>
          </w:tcPr>
          <w:p w14:paraId="125292CC">
            <w:pPr>
              <w:pStyle w:val="8"/>
              <w:rPr>
                <w:rFonts w:hint="eastAsia" w:ascii="宋体" w:hAnsi="宋体" w:cs="宋体"/>
                <w:sz w:val="21"/>
                <w:szCs w:val="21"/>
                <w:lang w:bidi="ar"/>
              </w:rPr>
            </w:pPr>
            <w:r>
              <w:rPr>
                <w:rFonts w:hint="eastAsia" w:ascii="宋体" w:hAnsi="宋体" w:cs="宋体"/>
                <w:sz w:val="21"/>
                <w:szCs w:val="21"/>
                <w:lang w:bidi="ar"/>
              </w:rPr>
              <w:t>（4）确保工程质量的技术组织措施（满分7分）</w:t>
            </w:r>
          </w:p>
          <w:p w14:paraId="2665C0F0">
            <w:pPr>
              <w:pStyle w:val="8"/>
              <w:rPr>
                <w:rFonts w:hint="eastAsia" w:ascii="宋体" w:hAnsi="宋体" w:cs="宋体"/>
                <w:b w:val="0"/>
                <w:sz w:val="21"/>
                <w:szCs w:val="21"/>
              </w:rPr>
            </w:pPr>
            <w:r>
              <w:rPr>
                <w:rFonts w:hint="eastAsia" w:ascii="宋体" w:hAnsi="宋体" w:cs="宋体"/>
                <w:b w:val="0"/>
                <w:sz w:val="21"/>
                <w:szCs w:val="21"/>
              </w:rPr>
              <w:t>一档（7分）：有专门的质量技术管理班子和制度，且人员配备合理，制度健全。主要工序应有质量技术保证措施和手段，自控体系完整，能有效保证技术质量，达到承诺的质量标准。</w:t>
            </w:r>
          </w:p>
          <w:p w14:paraId="1FD7256B">
            <w:pPr>
              <w:pStyle w:val="8"/>
              <w:rPr>
                <w:rFonts w:hint="eastAsia" w:ascii="宋体" w:hAnsi="宋体" w:cs="宋体"/>
                <w:b w:val="0"/>
                <w:sz w:val="21"/>
                <w:szCs w:val="21"/>
              </w:rPr>
            </w:pPr>
            <w:r>
              <w:rPr>
                <w:rFonts w:hint="eastAsia" w:ascii="宋体" w:hAnsi="宋体" w:cs="宋体"/>
                <w:b w:val="0"/>
                <w:sz w:val="21"/>
                <w:szCs w:val="21"/>
              </w:rPr>
              <w:t>二档（6分）：有质量技术管理班子和制度，且人员配备较合理，有较完善的制度。主要工序应有质量技术保证措施和手段，自控体系较完整，能保证技术质量，达到承诺的质量标准。</w:t>
            </w:r>
          </w:p>
          <w:p w14:paraId="3E559B56">
            <w:pPr>
              <w:pStyle w:val="8"/>
              <w:rPr>
                <w:rFonts w:hint="eastAsia" w:ascii="宋体" w:hAnsi="宋体" w:cs="宋体"/>
                <w:b w:val="0"/>
                <w:sz w:val="21"/>
                <w:szCs w:val="21"/>
              </w:rPr>
            </w:pPr>
            <w:r>
              <w:rPr>
                <w:rFonts w:hint="eastAsia" w:ascii="宋体" w:hAnsi="宋体" w:cs="宋体"/>
                <w:b w:val="0"/>
                <w:sz w:val="21"/>
                <w:szCs w:val="21"/>
              </w:rPr>
              <w:t>三</w:t>
            </w:r>
            <w:r>
              <w:rPr>
                <w:rFonts w:hint="eastAsia" w:ascii="宋体" w:hAnsi="宋体" w:cs="宋体"/>
                <w:b w:val="0"/>
                <w:sz w:val="21"/>
                <w:szCs w:val="21"/>
                <w:lang w:val="en-US" w:eastAsia="zh-CN"/>
              </w:rPr>
              <w:t>档</w:t>
            </w:r>
            <w:r>
              <w:rPr>
                <w:rFonts w:hint="eastAsia" w:ascii="宋体" w:hAnsi="宋体" w:cs="宋体"/>
                <w:b w:val="0"/>
                <w:sz w:val="21"/>
                <w:szCs w:val="21"/>
              </w:rPr>
              <w:t>（5分）：有质量技术管理班子和制度，且人员配备可行。主要工序应有质量技术保证措施和手段，自控体系可行，基本能保证技术质量，达到承诺的质量标准。</w:t>
            </w:r>
          </w:p>
          <w:p w14:paraId="2370D4AD">
            <w:pPr>
              <w:pStyle w:val="8"/>
              <w:rPr>
                <w:rFonts w:hint="eastAsia" w:ascii="宋体" w:hAnsi="宋体" w:cs="宋体"/>
                <w:sz w:val="21"/>
                <w:szCs w:val="21"/>
                <w:lang w:bidi="ar"/>
              </w:rPr>
            </w:pPr>
            <w:r>
              <w:rPr>
                <w:rFonts w:hint="eastAsia" w:ascii="宋体" w:hAnsi="宋体" w:cs="宋体"/>
                <w:b w:val="0"/>
                <w:sz w:val="21"/>
                <w:szCs w:val="21"/>
              </w:rPr>
              <w:t>四档（0分）：编制的质量技术保证措施和手段不完善、不满足项目的实际施工要求。质量保证措施不具体。</w:t>
            </w:r>
          </w:p>
        </w:tc>
        <w:tc>
          <w:tcPr>
            <w:tcW w:w="851" w:type="dxa"/>
            <w:noWrap w:val="0"/>
            <w:vAlign w:val="center"/>
          </w:tcPr>
          <w:p w14:paraId="0B2FC575">
            <w:pPr>
              <w:spacing w:line="360" w:lineRule="auto"/>
              <w:jc w:val="center"/>
              <w:rPr>
                <w:rFonts w:ascii="宋体" w:hAnsi="宋体" w:cs="Tahoma"/>
                <w:kern w:val="0"/>
                <w:szCs w:val="21"/>
              </w:rPr>
            </w:pPr>
            <w:r>
              <w:rPr>
                <w:rFonts w:hint="eastAsia" w:ascii="宋体" w:hAnsi="宋体" w:cs="Tahoma"/>
                <w:kern w:val="0"/>
                <w:szCs w:val="21"/>
              </w:rPr>
              <w:t>7分</w:t>
            </w:r>
          </w:p>
        </w:tc>
      </w:tr>
      <w:tr w14:paraId="7B79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noWrap w:val="0"/>
            <w:vAlign w:val="center"/>
          </w:tcPr>
          <w:p w14:paraId="612D2DDB">
            <w:pPr>
              <w:adjustRightInd w:val="0"/>
              <w:spacing w:line="360" w:lineRule="auto"/>
              <w:ind w:left="-105" w:leftChars="-50" w:right="-105" w:rightChars="-50"/>
              <w:jc w:val="center"/>
              <w:textAlignment w:val="baseline"/>
              <w:rPr>
                <w:rFonts w:hint="eastAsia" w:ascii="宋体" w:hAnsi="宋体"/>
                <w:bCs/>
                <w:kern w:val="0"/>
                <w:szCs w:val="21"/>
              </w:rPr>
            </w:pPr>
          </w:p>
        </w:tc>
        <w:tc>
          <w:tcPr>
            <w:tcW w:w="1337" w:type="dxa"/>
            <w:vMerge w:val="continue"/>
            <w:noWrap w:val="0"/>
            <w:vAlign w:val="center"/>
          </w:tcPr>
          <w:p w14:paraId="76B34E8F">
            <w:pPr>
              <w:adjustRightInd w:val="0"/>
              <w:spacing w:line="360" w:lineRule="auto"/>
              <w:jc w:val="center"/>
              <w:textAlignment w:val="baseline"/>
              <w:rPr>
                <w:rFonts w:hint="eastAsia" w:ascii="宋体" w:hAnsi="宋体"/>
                <w:bCs/>
                <w:kern w:val="0"/>
                <w:szCs w:val="21"/>
              </w:rPr>
            </w:pPr>
          </w:p>
        </w:tc>
        <w:tc>
          <w:tcPr>
            <w:tcW w:w="6288" w:type="dxa"/>
            <w:noWrap w:val="0"/>
            <w:vAlign w:val="center"/>
          </w:tcPr>
          <w:p w14:paraId="220E1C72">
            <w:pPr>
              <w:pStyle w:val="8"/>
              <w:rPr>
                <w:rFonts w:hint="eastAsia" w:ascii="宋体" w:hAnsi="宋体" w:cs="宋体"/>
                <w:sz w:val="21"/>
                <w:szCs w:val="21"/>
                <w:lang w:bidi="ar"/>
              </w:rPr>
            </w:pPr>
            <w:r>
              <w:rPr>
                <w:rFonts w:hint="eastAsia" w:ascii="宋体" w:hAnsi="宋体" w:cs="宋体"/>
                <w:sz w:val="21"/>
                <w:szCs w:val="21"/>
                <w:lang w:bidi="ar"/>
              </w:rPr>
              <w:t>（5）确保安全生产的技术组织措施（满分7分）</w:t>
            </w:r>
          </w:p>
          <w:p w14:paraId="43508C0C">
            <w:pPr>
              <w:pStyle w:val="8"/>
              <w:rPr>
                <w:rFonts w:hint="eastAsia" w:ascii="宋体" w:hAnsi="宋体" w:cs="宋体"/>
                <w:b w:val="0"/>
                <w:sz w:val="21"/>
                <w:szCs w:val="21"/>
              </w:rPr>
            </w:pPr>
            <w:r>
              <w:rPr>
                <w:rFonts w:hint="eastAsia" w:ascii="宋体" w:hAnsi="宋体" w:cs="宋体"/>
                <w:b w:val="0"/>
                <w:sz w:val="21"/>
                <w:szCs w:val="21"/>
              </w:rPr>
              <w:t>一档（7分）：针对项目有专门的安全管理人员和制度，且人员配备合理，制度健全，各道工序安全技术措施针对性强，符合实际且满足有关安全技术标准要求。现场防火、应急救援、社会治安安全措施得力。</w:t>
            </w:r>
          </w:p>
          <w:p w14:paraId="62EA02FE">
            <w:pPr>
              <w:pStyle w:val="8"/>
              <w:rPr>
                <w:rFonts w:hint="eastAsia" w:ascii="宋体" w:hAnsi="宋体" w:cs="宋体"/>
                <w:b w:val="0"/>
                <w:sz w:val="21"/>
                <w:szCs w:val="21"/>
              </w:rPr>
            </w:pPr>
            <w:r>
              <w:rPr>
                <w:rFonts w:hint="eastAsia" w:ascii="宋体" w:hAnsi="宋体" w:cs="宋体"/>
                <w:b w:val="0"/>
                <w:sz w:val="21"/>
                <w:szCs w:val="21"/>
              </w:rPr>
              <w:t>二档（6分）：针对项目有专门的安全管理人员和制度，且人员配备基本合理，制度基本健全，各道工序安全技术措施针对性强，基本满足符合实际且满足有关安全技术标准要求。现场防火、应急救援、社会治安安全措施得力。</w:t>
            </w:r>
          </w:p>
          <w:p w14:paraId="7E688043">
            <w:pPr>
              <w:pStyle w:val="8"/>
              <w:rPr>
                <w:rFonts w:hint="eastAsia" w:ascii="宋体" w:hAnsi="宋体" w:cs="宋体"/>
                <w:b w:val="0"/>
                <w:sz w:val="21"/>
                <w:szCs w:val="21"/>
              </w:rPr>
            </w:pPr>
            <w:r>
              <w:rPr>
                <w:rFonts w:hint="eastAsia" w:ascii="宋体" w:hAnsi="宋体" w:cs="宋体"/>
                <w:b w:val="0"/>
                <w:sz w:val="21"/>
                <w:szCs w:val="21"/>
              </w:rPr>
              <w:t>三</w:t>
            </w:r>
            <w:r>
              <w:rPr>
                <w:rFonts w:hint="eastAsia" w:ascii="宋体" w:hAnsi="宋体" w:cs="宋体"/>
                <w:b w:val="0"/>
                <w:sz w:val="21"/>
                <w:szCs w:val="21"/>
                <w:lang w:val="en-US" w:eastAsia="zh-CN"/>
              </w:rPr>
              <w:t>档</w:t>
            </w:r>
            <w:r>
              <w:rPr>
                <w:rFonts w:hint="eastAsia" w:ascii="宋体" w:hAnsi="宋体" w:cs="宋体"/>
                <w:b w:val="0"/>
                <w:sz w:val="21"/>
                <w:szCs w:val="21"/>
              </w:rPr>
              <w:t>（5分）：针对项目有专门的安全管理人员和制度，但人员配备不够合理，制度不够健全，各道工序安全技术措施针对性一般，不够符合实际且不能满足有关安全技术标准要求。现场防火、应急救援、社会治安安全措施不够完善。</w:t>
            </w:r>
          </w:p>
          <w:p w14:paraId="6A1339B8">
            <w:pPr>
              <w:pStyle w:val="8"/>
              <w:rPr>
                <w:rFonts w:hint="eastAsia"/>
              </w:rPr>
            </w:pPr>
            <w:r>
              <w:rPr>
                <w:rFonts w:hint="eastAsia" w:ascii="宋体" w:hAnsi="宋体" w:cs="宋体"/>
                <w:b w:val="0"/>
                <w:sz w:val="21"/>
                <w:szCs w:val="21"/>
              </w:rPr>
              <w:t>四档（0分）：针对项目有专门的安全管理人员和制度，但人员配备不合理，制度不健全，各道工序安全技术措施针对性差，不符合实际且不能满足有关安全技术标准要求。现场防火、应急救援、社会治安安全措施不完善。</w:t>
            </w:r>
          </w:p>
        </w:tc>
        <w:tc>
          <w:tcPr>
            <w:tcW w:w="851" w:type="dxa"/>
            <w:noWrap w:val="0"/>
            <w:vAlign w:val="center"/>
          </w:tcPr>
          <w:p w14:paraId="4F74F217">
            <w:pPr>
              <w:spacing w:line="360" w:lineRule="auto"/>
              <w:jc w:val="center"/>
              <w:rPr>
                <w:rFonts w:ascii="宋体" w:hAnsi="宋体" w:cs="Tahoma"/>
                <w:kern w:val="0"/>
                <w:szCs w:val="21"/>
              </w:rPr>
            </w:pPr>
            <w:r>
              <w:rPr>
                <w:rFonts w:hint="eastAsia" w:ascii="宋体" w:hAnsi="宋体" w:cs="Tahoma"/>
                <w:kern w:val="0"/>
                <w:szCs w:val="21"/>
              </w:rPr>
              <w:t>7分</w:t>
            </w:r>
          </w:p>
        </w:tc>
      </w:tr>
      <w:tr w14:paraId="6D24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noWrap w:val="0"/>
            <w:vAlign w:val="center"/>
          </w:tcPr>
          <w:p w14:paraId="561B2FDD">
            <w:pPr>
              <w:adjustRightInd w:val="0"/>
              <w:spacing w:line="360" w:lineRule="auto"/>
              <w:ind w:left="-105" w:leftChars="-50" w:right="-105" w:rightChars="-50"/>
              <w:jc w:val="center"/>
              <w:textAlignment w:val="baseline"/>
              <w:rPr>
                <w:rFonts w:hint="eastAsia" w:ascii="宋体" w:hAnsi="宋体"/>
                <w:bCs/>
                <w:kern w:val="0"/>
                <w:szCs w:val="21"/>
              </w:rPr>
            </w:pPr>
          </w:p>
        </w:tc>
        <w:tc>
          <w:tcPr>
            <w:tcW w:w="1337" w:type="dxa"/>
            <w:vMerge w:val="continue"/>
            <w:noWrap w:val="0"/>
            <w:vAlign w:val="center"/>
          </w:tcPr>
          <w:p w14:paraId="787F7B94">
            <w:pPr>
              <w:adjustRightInd w:val="0"/>
              <w:spacing w:line="360" w:lineRule="auto"/>
              <w:jc w:val="center"/>
              <w:textAlignment w:val="baseline"/>
              <w:rPr>
                <w:rFonts w:hint="eastAsia" w:ascii="宋体" w:hAnsi="宋体"/>
                <w:bCs/>
                <w:kern w:val="0"/>
                <w:szCs w:val="21"/>
              </w:rPr>
            </w:pPr>
          </w:p>
        </w:tc>
        <w:tc>
          <w:tcPr>
            <w:tcW w:w="6288" w:type="dxa"/>
            <w:noWrap w:val="0"/>
            <w:vAlign w:val="center"/>
          </w:tcPr>
          <w:p w14:paraId="11E8C017">
            <w:pPr>
              <w:pStyle w:val="8"/>
              <w:rPr>
                <w:rFonts w:hint="eastAsia" w:ascii="宋体" w:hAnsi="宋体" w:cs="宋体"/>
                <w:sz w:val="21"/>
                <w:szCs w:val="21"/>
                <w:lang w:bidi="ar"/>
              </w:rPr>
            </w:pPr>
            <w:r>
              <w:rPr>
                <w:rFonts w:hint="eastAsia" w:ascii="宋体" w:hAnsi="宋体" w:cs="宋体"/>
                <w:sz w:val="21"/>
                <w:szCs w:val="21"/>
                <w:lang w:bidi="ar"/>
              </w:rPr>
              <w:t>（6）确保工期的技术组织措施（满分7分）</w:t>
            </w:r>
          </w:p>
          <w:p w14:paraId="1C2EA311">
            <w:pPr>
              <w:pStyle w:val="8"/>
              <w:rPr>
                <w:rFonts w:hint="eastAsia" w:ascii="宋体" w:hAnsi="宋体" w:cs="宋体"/>
                <w:b w:val="0"/>
                <w:sz w:val="21"/>
                <w:szCs w:val="21"/>
              </w:rPr>
            </w:pPr>
            <w:r>
              <w:rPr>
                <w:rFonts w:hint="eastAsia" w:ascii="宋体" w:hAnsi="宋体" w:cs="宋体"/>
                <w:b w:val="0"/>
                <w:sz w:val="21"/>
                <w:szCs w:val="21"/>
              </w:rPr>
              <w:t>一档（7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30BC63B9">
            <w:pPr>
              <w:pStyle w:val="8"/>
              <w:rPr>
                <w:rFonts w:hint="eastAsia" w:ascii="宋体" w:hAnsi="宋体" w:cs="宋体"/>
                <w:b w:val="0"/>
                <w:sz w:val="21"/>
                <w:szCs w:val="21"/>
              </w:rPr>
            </w:pPr>
            <w:r>
              <w:rPr>
                <w:rFonts w:hint="eastAsia" w:ascii="宋体" w:hAnsi="宋体" w:cs="宋体"/>
                <w:b w:val="0"/>
                <w:sz w:val="21"/>
                <w:szCs w:val="21"/>
              </w:rPr>
              <w:t>二档（6分）：在施工工艺、施工方法、材料选用、劳动力安排、技术等方面有基本保证工期的具体措施且措施可行。有控制工期的施工进度计划。有施工总进度表或施工网络图，各项计划图表编制比较完善，安排科学合理，符合本项目施工实际要求。</w:t>
            </w:r>
          </w:p>
          <w:p w14:paraId="36ED35C5">
            <w:pPr>
              <w:pStyle w:val="8"/>
              <w:rPr>
                <w:rFonts w:hint="eastAsia" w:ascii="宋体" w:hAnsi="宋体" w:cs="宋体"/>
                <w:b w:val="0"/>
                <w:sz w:val="21"/>
                <w:szCs w:val="21"/>
              </w:rPr>
            </w:pPr>
            <w:r>
              <w:rPr>
                <w:rFonts w:hint="eastAsia" w:ascii="宋体" w:hAnsi="宋体" w:cs="宋体"/>
                <w:b w:val="0"/>
                <w:sz w:val="21"/>
                <w:szCs w:val="21"/>
              </w:rPr>
              <w:t>三档（5分）：在施工工艺、施工方法、材料选用、劳动力安排、技术等方面有基本保证工期的措施，措施基本可行。有控制工期的施工进度计划。有施工总进度表或施工网络图，各项计划图表编制基本完善，安排科学基本合理，基本符合本项目施工要求。</w:t>
            </w:r>
          </w:p>
          <w:p w14:paraId="3F8F99EB">
            <w:pPr>
              <w:pStyle w:val="8"/>
              <w:rPr>
                <w:rFonts w:hint="eastAsia"/>
              </w:rPr>
            </w:pPr>
            <w:r>
              <w:rPr>
                <w:rFonts w:hint="eastAsia" w:ascii="宋体" w:hAnsi="宋体" w:cs="宋体"/>
                <w:b w:val="0"/>
                <w:sz w:val="21"/>
                <w:szCs w:val="21"/>
              </w:rPr>
              <w:t>四档（0分）：在施工工艺、施工方法、材料选用、劳动力安排、技术等方面没有保证工期的具体措施。没有控制工期的施工进度计划。没有施工总进度表或施工网络图，各项计划图表编制不完善，安排科学不合理，不符合本项目施工实际要求。</w:t>
            </w:r>
          </w:p>
        </w:tc>
        <w:tc>
          <w:tcPr>
            <w:tcW w:w="851" w:type="dxa"/>
            <w:noWrap w:val="0"/>
            <w:vAlign w:val="center"/>
          </w:tcPr>
          <w:p w14:paraId="77F71D81">
            <w:pPr>
              <w:spacing w:line="360" w:lineRule="auto"/>
              <w:jc w:val="center"/>
              <w:rPr>
                <w:rFonts w:ascii="宋体" w:hAnsi="宋体" w:cs="Tahoma"/>
                <w:kern w:val="0"/>
                <w:szCs w:val="21"/>
              </w:rPr>
            </w:pPr>
            <w:r>
              <w:rPr>
                <w:rFonts w:hint="eastAsia" w:ascii="宋体" w:hAnsi="宋体" w:cs="Tahoma"/>
                <w:kern w:val="0"/>
                <w:szCs w:val="21"/>
              </w:rPr>
              <w:t>7分</w:t>
            </w:r>
          </w:p>
        </w:tc>
      </w:tr>
      <w:tr w14:paraId="1E63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noWrap w:val="0"/>
            <w:vAlign w:val="center"/>
          </w:tcPr>
          <w:p w14:paraId="02666083">
            <w:pPr>
              <w:adjustRightInd w:val="0"/>
              <w:spacing w:line="360" w:lineRule="auto"/>
              <w:ind w:left="-105" w:leftChars="-50" w:right="-105" w:rightChars="-50"/>
              <w:jc w:val="center"/>
              <w:textAlignment w:val="baseline"/>
              <w:rPr>
                <w:rFonts w:hint="eastAsia" w:ascii="宋体" w:hAnsi="宋体"/>
                <w:bCs/>
                <w:kern w:val="0"/>
                <w:szCs w:val="21"/>
              </w:rPr>
            </w:pPr>
          </w:p>
        </w:tc>
        <w:tc>
          <w:tcPr>
            <w:tcW w:w="1337" w:type="dxa"/>
            <w:vMerge w:val="continue"/>
            <w:noWrap w:val="0"/>
            <w:vAlign w:val="center"/>
          </w:tcPr>
          <w:p w14:paraId="4F8B7F6B">
            <w:pPr>
              <w:adjustRightInd w:val="0"/>
              <w:spacing w:line="360" w:lineRule="auto"/>
              <w:jc w:val="center"/>
              <w:textAlignment w:val="baseline"/>
              <w:rPr>
                <w:rFonts w:hint="eastAsia" w:ascii="宋体" w:hAnsi="宋体"/>
                <w:bCs/>
                <w:kern w:val="0"/>
                <w:szCs w:val="21"/>
              </w:rPr>
            </w:pPr>
          </w:p>
        </w:tc>
        <w:tc>
          <w:tcPr>
            <w:tcW w:w="6288" w:type="dxa"/>
            <w:noWrap w:val="0"/>
            <w:vAlign w:val="center"/>
          </w:tcPr>
          <w:p w14:paraId="147A3438">
            <w:pPr>
              <w:pStyle w:val="8"/>
              <w:rPr>
                <w:rFonts w:hint="eastAsia" w:ascii="宋体" w:hAnsi="宋体" w:cs="宋体"/>
                <w:sz w:val="21"/>
                <w:szCs w:val="21"/>
                <w:lang w:bidi="ar"/>
              </w:rPr>
            </w:pPr>
            <w:r>
              <w:rPr>
                <w:rFonts w:hint="eastAsia" w:ascii="宋体" w:hAnsi="宋体" w:cs="宋体"/>
                <w:sz w:val="21"/>
                <w:szCs w:val="21"/>
                <w:lang w:bidi="ar"/>
              </w:rPr>
              <w:t>（7）确保文明施工的技术组织措施（满分7分）</w:t>
            </w:r>
          </w:p>
          <w:p w14:paraId="406C1721">
            <w:pPr>
              <w:pStyle w:val="8"/>
              <w:rPr>
                <w:rFonts w:hint="eastAsia" w:ascii="宋体" w:hAnsi="宋体" w:cs="宋体"/>
                <w:b w:val="0"/>
                <w:sz w:val="21"/>
                <w:szCs w:val="21"/>
              </w:rPr>
            </w:pPr>
            <w:r>
              <w:rPr>
                <w:rFonts w:hint="eastAsia" w:ascii="宋体" w:hAnsi="宋体" w:cs="宋体"/>
                <w:b w:val="0"/>
                <w:sz w:val="21"/>
                <w:szCs w:val="21"/>
              </w:rPr>
              <w:t>一档（7分）：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3062F567">
            <w:pPr>
              <w:pStyle w:val="8"/>
              <w:rPr>
                <w:rFonts w:hint="eastAsia" w:ascii="宋体" w:hAnsi="宋体" w:cs="宋体"/>
                <w:b w:val="0"/>
                <w:sz w:val="21"/>
                <w:szCs w:val="21"/>
              </w:rPr>
            </w:pPr>
            <w:r>
              <w:rPr>
                <w:rFonts w:hint="eastAsia" w:ascii="宋体" w:hAnsi="宋体" w:cs="宋体"/>
                <w:b w:val="0"/>
                <w:sz w:val="21"/>
                <w:szCs w:val="21"/>
              </w:rPr>
              <w:t>二档（6分）：针对本工程项目特点，应有现场文明施工、环境保护措施，且措施内容应达到《建筑施工安全生产检查标准》（JGJ59-2011）合格标准并符合《广西壮族自治区建筑工程文明施工导则》要求。各项措施比较具体。有实现现场文明施工目标的承诺。</w:t>
            </w:r>
          </w:p>
          <w:p w14:paraId="25FBC467">
            <w:pPr>
              <w:pStyle w:val="8"/>
              <w:rPr>
                <w:rFonts w:hint="eastAsia" w:ascii="宋体" w:hAnsi="宋体" w:cs="宋体"/>
                <w:b w:val="0"/>
                <w:sz w:val="21"/>
                <w:szCs w:val="21"/>
              </w:rPr>
            </w:pPr>
            <w:r>
              <w:rPr>
                <w:rFonts w:hint="eastAsia" w:ascii="宋体" w:hAnsi="宋体" w:cs="宋体"/>
                <w:b w:val="0"/>
                <w:sz w:val="21"/>
                <w:szCs w:val="21"/>
              </w:rPr>
              <w:t>三档（5分）：有基本合理的措施，采用规范正确。</w:t>
            </w:r>
          </w:p>
          <w:p w14:paraId="62E379EA">
            <w:pPr>
              <w:pStyle w:val="8"/>
              <w:rPr>
                <w:rFonts w:hint="eastAsia"/>
              </w:rPr>
            </w:pPr>
            <w:r>
              <w:rPr>
                <w:rFonts w:hint="eastAsia" w:ascii="宋体" w:hAnsi="宋体" w:cs="宋体"/>
                <w:b w:val="0"/>
                <w:sz w:val="21"/>
                <w:szCs w:val="21"/>
              </w:rPr>
              <w:t>四档（0分）：安全文明措施不得力，采用规范不正确。</w:t>
            </w:r>
          </w:p>
        </w:tc>
        <w:tc>
          <w:tcPr>
            <w:tcW w:w="851" w:type="dxa"/>
            <w:noWrap w:val="0"/>
            <w:vAlign w:val="center"/>
          </w:tcPr>
          <w:p w14:paraId="4A679E84">
            <w:pPr>
              <w:spacing w:line="360" w:lineRule="auto"/>
              <w:jc w:val="center"/>
              <w:rPr>
                <w:rFonts w:hint="eastAsia" w:ascii="宋体" w:hAnsi="宋体" w:cs="Tahoma"/>
                <w:kern w:val="0"/>
                <w:szCs w:val="21"/>
              </w:rPr>
            </w:pPr>
            <w:r>
              <w:rPr>
                <w:rFonts w:hint="eastAsia" w:ascii="宋体" w:hAnsi="宋体" w:cs="Tahoma"/>
                <w:kern w:val="0"/>
                <w:szCs w:val="21"/>
              </w:rPr>
              <w:t>7分</w:t>
            </w:r>
          </w:p>
        </w:tc>
      </w:tr>
      <w:tr w14:paraId="08BB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noWrap w:val="0"/>
            <w:vAlign w:val="center"/>
          </w:tcPr>
          <w:p w14:paraId="0BBF07FD">
            <w:pPr>
              <w:adjustRightInd w:val="0"/>
              <w:spacing w:line="360" w:lineRule="auto"/>
              <w:ind w:left="-105" w:leftChars="-50" w:right="-105" w:rightChars="-50"/>
              <w:jc w:val="center"/>
              <w:textAlignment w:val="baseline"/>
              <w:rPr>
                <w:rFonts w:hint="eastAsia" w:ascii="宋体" w:hAnsi="宋体"/>
                <w:bCs/>
                <w:kern w:val="0"/>
                <w:szCs w:val="21"/>
              </w:rPr>
            </w:pPr>
          </w:p>
        </w:tc>
        <w:tc>
          <w:tcPr>
            <w:tcW w:w="1337" w:type="dxa"/>
            <w:vMerge w:val="continue"/>
            <w:noWrap w:val="0"/>
            <w:vAlign w:val="center"/>
          </w:tcPr>
          <w:p w14:paraId="20C0C9D0">
            <w:pPr>
              <w:adjustRightInd w:val="0"/>
              <w:spacing w:line="360" w:lineRule="auto"/>
              <w:jc w:val="center"/>
              <w:textAlignment w:val="baseline"/>
              <w:rPr>
                <w:rFonts w:hint="eastAsia" w:ascii="宋体" w:hAnsi="宋体"/>
                <w:bCs/>
                <w:kern w:val="0"/>
                <w:szCs w:val="21"/>
              </w:rPr>
            </w:pPr>
          </w:p>
        </w:tc>
        <w:tc>
          <w:tcPr>
            <w:tcW w:w="6288" w:type="dxa"/>
            <w:noWrap w:val="0"/>
            <w:vAlign w:val="center"/>
          </w:tcPr>
          <w:p w14:paraId="73DD9E69">
            <w:pPr>
              <w:pStyle w:val="8"/>
              <w:rPr>
                <w:rFonts w:hint="eastAsia" w:ascii="宋体" w:hAnsi="宋体" w:cs="宋体"/>
                <w:sz w:val="21"/>
                <w:szCs w:val="21"/>
                <w:lang w:bidi="ar"/>
              </w:rPr>
            </w:pPr>
            <w:r>
              <w:rPr>
                <w:rFonts w:hint="eastAsia" w:ascii="宋体" w:hAnsi="宋体" w:cs="宋体"/>
                <w:sz w:val="21"/>
                <w:szCs w:val="21"/>
                <w:lang w:bidi="ar"/>
              </w:rPr>
              <w:t>（8）工程施工的重点和难点及保证措施（满分5分）</w:t>
            </w:r>
          </w:p>
          <w:p w14:paraId="7D93BA4A">
            <w:pPr>
              <w:pStyle w:val="8"/>
              <w:rPr>
                <w:rFonts w:hint="eastAsia" w:ascii="宋体" w:hAnsi="宋体" w:cs="宋体"/>
                <w:b w:val="0"/>
                <w:sz w:val="21"/>
                <w:szCs w:val="21"/>
              </w:rPr>
            </w:pPr>
            <w:r>
              <w:rPr>
                <w:rFonts w:hint="eastAsia" w:ascii="宋体" w:hAnsi="宋体" w:cs="宋体"/>
                <w:b w:val="0"/>
                <w:sz w:val="21"/>
                <w:szCs w:val="21"/>
              </w:rPr>
              <w:t>一档（5分）：针对本工程各主要分部关键施工技术、工艺流程的特点，阐述本工程的重点和难点，提出解决重点和难点问题的保证措施，阐述和保证措施完整详实、优劣性突出、可行性高和合理性完善，切实满足施工需要。</w:t>
            </w:r>
          </w:p>
          <w:p w14:paraId="4CDF6F31">
            <w:pPr>
              <w:pStyle w:val="8"/>
              <w:rPr>
                <w:rFonts w:hint="eastAsia" w:ascii="宋体" w:hAnsi="宋体" w:cs="宋体"/>
                <w:b w:val="0"/>
                <w:sz w:val="21"/>
                <w:szCs w:val="21"/>
              </w:rPr>
            </w:pPr>
            <w:r>
              <w:rPr>
                <w:rFonts w:hint="eastAsia" w:ascii="宋体" w:hAnsi="宋体" w:cs="宋体"/>
                <w:b w:val="0"/>
                <w:sz w:val="21"/>
                <w:szCs w:val="21"/>
              </w:rPr>
              <w:t>二档（4分）：针对本工程各主要分部关键施工技术、工艺流程的特点，阐述本工程的重点和难点，提出解决重点和难点问题的保证措施，阐述和保证措施可行性高和合理性完善，满足施工需要。</w:t>
            </w:r>
          </w:p>
          <w:p w14:paraId="43E6DA2D">
            <w:pPr>
              <w:pStyle w:val="8"/>
              <w:rPr>
                <w:rFonts w:hint="eastAsia" w:ascii="宋体" w:hAnsi="宋体" w:cs="宋体"/>
                <w:b w:val="0"/>
                <w:sz w:val="21"/>
                <w:szCs w:val="21"/>
              </w:rPr>
            </w:pPr>
            <w:r>
              <w:rPr>
                <w:rFonts w:hint="eastAsia" w:ascii="宋体" w:hAnsi="宋体" w:cs="宋体"/>
                <w:b w:val="0"/>
                <w:sz w:val="21"/>
                <w:szCs w:val="21"/>
              </w:rPr>
              <w:t>三</w:t>
            </w:r>
            <w:r>
              <w:rPr>
                <w:rFonts w:hint="eastAsia" w:ascii="宋体" w:hAnsi="宋体" w:cs="宋体"/>
                <w:b w:val="0"/>
                <w:sz w:val="21"/>
                <w:szCs w:val="21"/>
                <w:lang w:val="en-US" w:eastAsia="zh-CN"/>
              </w:rPr>
              <w:t>档</w:t>
            </w:r>
            <w:r>
              <w:rPr>
                <w:rFonts w:hint="eastAsia" w:ascii="宋体" w:hAnsi="宋体" w:cs="宋体"/>
                <w:b w:val="0"/>
                <w:sz w:val="21"/>
                <w:szCs w:val="21"/>
              </w:rPr>
              <w:t>（3分）：针对本工程特点，阐述本工程的重点和难点，提出解决重点和难点问题的保证措施，阐述和保证措施基本合理，基本满足施工需要。</w:t>
            </w:r>
          </w:p>
          <w:p w14:paraId="35FC78DD">
            <w:pPr>
              <w:pStyle w:val="8"/>
              <w:rPr>
                <w:rFonts w:hint="eastAsia"/>
              </w:rPr>
            </w:pPr>
            <w:r>
              <w:rPr>
                <w:rFonts w:hint="eastAsia" w:ascii="宋体" w:hAnsi="宋体" w:cs="宋体"/>
                <w:b w:val="0"/>
                <w:sz w:val="21"/>
                <w:szCs w:val="21"/>
              </w:rPr>
              <w:t>四档（0分）：针对本工程特点，阐述本工程的重点和难点，提出解决重点和难点问题的保证措施，阐述和保证措施不切合实际，科学合理性差，不能满足施工需要。</w:t>
            </w:r>
          </w:p>
        </w:tc>
        <w:tc>
          <w:tcPr>
            <w:tcW w:w="851" w:type="dxa"/>
            <w:noWrap w:val="0"/>
            <w:vAlign w:val="center"/>
          </w:tcPr>
          <w:p w14:paraId="001C49BF">
            <w:pPr>
              <w:spacing w:line="360" w:lineRule="auto"/>
              <w:jc w:val="center"/>
              <w:rPr>
                <w:rFonts w:ascii="宋体" w:hAnsi="宋体" w:cs="Tahoma"/>
                <w:kern w:val="0"/>
                <w:szCs w:val="21"/>
              </w:rPr>
            </w:pPr>
            <w:r>
              <w:rPr>
                <w:rFonts w:hint="eastAsia" w:ascii="宋体" w:hAnsi="宋体" w:cs="Tahoma"/>
                <w:kern w:val="0"/>
                <w:szCs w:val="21"/>
              </w:rPr>
              <w:t>5分</w:t>
            </w:r>
          </w:p>
        </w:tc>
      </w:tr>
      <w:tr w14:paraId="61B8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noWrap w:val="0"/>
            <w:vAlign w:val="center"/>
          </w:tcPr>
          <w:p w14:paraId="5FE88AEF">
            <w:pPr>
              <w:widowControl/>
              <w:spacing w:line="360" w:lineRule="auto"/>
              <w:jc w:val="center"/>
              <w:rPr>
                <w:rFonts w:ascii="宋体" w:hAnsi="宋体" w:cs="Tahoma"/>
                <w:kern w:val="0"/>
                <w:szCs w:val="21"/>
              </w:rPr>
            </w:pPr>
            <w:r>
              <w:rPr>
                <w:rFonts w:hint="eastAsia" w:ascii="宋体" w:hAnsi="宋体" w:cs="Tahoma"/>
                <w:kern w:val="0"/>
                <w:szCs w:val="21"/>
              </w:rPr>
              <w:t>3</w:t>
            </w:r>
          </w:p>
        </w:tc>
        <w:tc>
          <w:tcPr>
            <w:tcW w:w="1337" w:type="dxa"/>
            <w:noWrap w:val="0"/>
            <w:vAlign w:val="center"/>
          </w:tcPr>
          <w:p w14:paraId="1EB44E66">
            <w:pPr>
              <w:widowControl/>
              <w:spacing w:line="360" w:lineRule="auto"/>
              <w:jc w:val="center"/>
              <w:rPr>
                <w:rFonts w:hint="eastAsia" w:ascii="宋体" w:hAnsi="宋体" w:cs="Courier New"/>
                <w:bCs/>
                <w:szCs w:val="21"/>
              </w:rPr>
            </w:pPr>
            <w:r>
              <w:rPr>
                <w:rFonts w:hint="eastAsia" w:ascii="宋体" w:hAnsi="宋体" w:cs="Courier New"/>
                <w:bCs/>
                <w:szCs w:val="21"/>
              </w:rPr>
              <w:t>商务分</w:t>
            </w:r>
          </w:p>
        </w:tc>
        <w:tc>
          <w:tcPr>
            <w:tcW w:w="7139" w:type="dxa"/>
            <w:gridSpan w:val="2"/>
            <w:noWrap w:val="0"/>
            <w:vAlign w:val="center"/>
          </w:tcPr>
          <w:p w14:paraId="15240E16">
            <w:pPr>
              <w:widowControl/>
              <w:spacing w:line="360" w:lineRule="auto"/>
              <w:jc w:val="center"/>
              <w:rPr>
                <w:rFonts w:hint="eastAsia" w:ascii="宋体" w:hAnsi="宋体" w:cs="Tahoma"/>
                <w:kern w:val="0"/>
                <w:szCs w:val="21"/>
              </w:rPr>
            </w:pPr>
            <w:r>
              <w:rPr>
                <w:rFonts w:hint="eastAsia" w:ascii="宋体" w:hAnsi="宋体" w:cs="Tahoma"/>
                <w:kern w:val="0"/>
                <w:szCs w:val="21"/>
              </w:rPr>
              <w:t>评审标准</w:t>
            </w:r>
          </w:p>
        </w:tc>
      </w:tr>
      <w:tr w14:paraId="14BA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restart"/>
            <w:noWrap w:val="0"/>
            <w:vAlign w:val="center"/>
          </w:tcPr>
          <w:p w14:paraId="62BCE10F">
            <w:pPr>
              <w:widowControl/>
              <w:spacing w:line="360" w:lineRule="auto"/>
              <w:jc w:val="center"/>
              <w:rPr>
                <w:rFonts w:ascii="宋体" w:hAnsi="宋体" w:cs="Tahoma"/>
                <w:b/>
                <w:bCs/>
                <w:kern w:val="0"/>
                <w:szCs w:val="21"/>
              </w:rPr>
            </w:pPr>
            <w:r>
              <w:rPr>
                <w:rFonts w:hint="eastAsia" w:ascii="宋体" w:hAnsi="宋体" w:cs="Tahoma"/>
                <w:b/>
                <w:bCs/>
                <w:kern w:val="0"/>
                <w:szCs w:val="21"/>
              </w:rPr>
              <w:t>3.1</w:t>
            </w:r>
          </w:p>
        </w:tc>
        <w:tc>
          <w:tcPr>
            <w:tcW w:w="1337" w:type="dxa"/>
            <w:vMerge w:val="restart"/>
            <w:noWrap w:val="0"/>
            <w:vAlign w:val="center"/>
          </w:tcPr>
          <w:p w14:paraId="419ABEFB">
            <w:pPr>
              <w:spacing w:line="360" w:lineRule="auto"/>
              <w:jc w:val="center"/>
              <w:rPr>
                <w:rFonts w:ascii="宋体" w:hAnsi="宋体" w:cs="Tahoma"/>
                <w:b/>
                <w:bCs/>
                <w:kern w:val="0"/>
                <w:szCs w:val="21"/>
              </w:rPr>
            </w:pPr>
            <w:r>
              <w:rPr>
                <w:rFonts w:hint="eastAsia" w:ascii="宋体" w:hAnsi="宋体"/>
                <w:b/>
                <w:bCs/>
                <w:kern w:val="0"/>
                <w:szCs w:val="21"/>
              </w:rPr>
              <w:t>商务分（满分11分）</w:t>
            </w:r>
          </w:p>
        </w:tc>
        <w:tc>
          <w:tcPr>
            <w:tcW w:w="6288" w:type="dxa"/>
            <w:noWrap w:val="0"/>
            <w:vAlign w:val="center"/>
          </w:tcPr>
          <w:p w14:paraId="59331196">
            <w:pPr>
              <w:pStyle w:val="8"/>
              <w:rPr>
                <w:rFonts w:hint="eastAsia" w:ascii="宋体" w:hAnsi="宋体" w:cs="宋体"/>
                <w:bCs w:val="0"/>
                <w:sz w:val="21"/>
                <w:szCs w:val="21"/>
              </w:rPr>
            </w:pPr>
            <w:r>
              <w:rPr>
                <w:rFonts w:hint="eastAsia" w:ascii="宋体" w:hAnsi="宋体" w:cs="宋体"/>
                <w:bCs w:val="0"/>
                <w:sz w:val="21"/>
                <w:szCs w:val="21"/>
              </w:rPr>
              <w:t>（1）拟投入本项目人员情况分（满分6分）</w:t>
            </w:r>
          </w:p>
          <w:p w14:paraId="481AF71D">
            <w:pPr>
              <w:pStyle w:val="8"/>
              <w:rPr>
                <w:rFonts w:hint="eastAsia" w:ascii="宋体" w:hAnsi="宋体" w:cs="宋体"/>
                <w:b w:val="0"/>
                <w:sz w:val="21"/>
                <w:szCs w:val="21"/>
              </w:rPr>
            </w:pPr>
            <w:r>
              <w:rPr>
                <w:rFonts w:hint="eastAsia" w:ascii="宋体" w:hAnsi="宋体" w:cs="宋体"/>
                <w:b w:val="0"/>
                <w:sz w:val="21"/>
                <w:szCs w:val="21"/>
              </w:rPr>
              <w:t>1.项目经理任职业绩（满分2分）</w:t>
            </w:r>
          </w:p>
          <w:p w14:paraId="6FB3BEB9">
            <w:pPr>
              <w:pStyle w:val="8"/>
              <w:rPr>
                <w:rFonts w:hint="eastAsia" w:ascii="宋体" w:hAnsi="宋体" w:eastAsia="宋体" w:cs="宋体"/>
                <w:b w:val="0"/>
                <w:sz w:val="21"/>
                <w:szCs w:val="21"/>
                <w:lang w:eastAsia="zh-CN"/>
              </w:rPr>
            </w:pPr>
            <w:r>
              <w:rPr>
                <w:rFonts w:hint="eastAsia" w:ascii="宋体" w:hAnsi="宋体" w:cs="宋体"/>
                <w:b w:val="0"/>
                <w:sz w:val="21"/>
                <w:szCs w:val="21"/>
              </w:rPr>
              <w:t>自2021年1月1日起每承接过一个类似工程施工项目的项目经理或副经理的得2分，满分2分。</w:t>
            </w:r>
            <w:r>
              <w:rPr>
                <w:rFonts w:hint="eastAsia" w:ascii="宋体" w:hAnsi="宋体" w:cs="宋体"/>
                <w:b w:val="0"/>
                <w:sz w:val="21"/>
                <w:szCs w:val="21"/>
                <w:lang w:eastAsia="zh-CN"/>
              </w:rPr>
              <w:t>【</w:t>
            </w:r>
            <w:r>
              <w:rPr>
                <w:rFonts w:hint="eastAsia" w:ascii="宋体" w:hAnsi="宋体" w:cs="宋体"/>
                <w:b w:val="0"/>
                <w:sz w:val="21"/>
                <w:szCs w:val="21"/>
              </w:rPr>
              <w:t>注：需在响应文件中提供中标（成交）通知书复印件或合同复印件、中标（成交）公告网页截图等能体现对应人员业绩的材料，如以上材料不能载明本项目所需施工业绩，可附上业主相关证明文件并加盖业主公章。</w:t>
            </w:r>
            <w:r>
              <w:rPr>
                <w:rFonts w:hint="eastAsia" w:ascii="宋体" w:hAnsi="宋体" w:cs="宋体"/>
                <w:b w:val="0"/>
                <w:sz w:val="21"/>
                <w:szCs w:val="21"/>
                <w:lang w:eastAsia="zh-CN"/>
              </w:rPr>
              <w:t>】</w:t>
            </w:r>
          </w:p>
          <w:p w14:paraId="571C836C">
            <w:pPr>
              <w:pStyle w:val="8"/>
              <w:rPr>
                <w:rFonts w:hint="eastAsia" w:ascii="宋体" w:hAnsi="宋体" w:cs="宋体"/>
                <w:b w:val="0"/>
                <w:sz w:val="21"/>
                <w:szCs w:val="21"/>
              </w:rPr>
            </w:pPr>
            <w:r>
              <w:rPr>
                <w:rFonts w:hint="eastAsia" w:ascii="宋体" w:hAnsi="宋体" w:cs="宋体"/>
                <w:b w:val="0"/>
                <w:sz w:val="21"/>
                <w:szCs w:val="21"/>
              </w:rPr>
              <w:t>2.项目技术负责人具有建筑工程相关专业中级职称及以上的，得1分；</w:t>
            </w:r>
          </w:p>
          <w:p w14:paraId="4D660410">
            <w:pPr>
              <w:pStyle w:val="8"/>
              <w:rPr>
                <w:rFonts w:hAnsi="宋体" w:cs="Courier New"/>
                <w:sz w:val="21"/>
              </w:rPr>
            </w:pPr>
            <w:r>
              <w:rPr>
                <w:rFonts w:hint="eastAsia" w:ascii="宋体" w:hAnsi="宋体" w:cs="宋体"/>
                <w:b w:val="0"/>
                <w:sz w:val="21"/>
                <w:szCs w:val="21"/>
              </w:rPr>
              <w:t xml:space="preserve">3.拟派驻本项目的施工员、质量员、材料员具有相应施工现场专业人员职业培训合格证书，且拟投入的项目管理人员符合国家及广西壮族自治区的规定，每个人员得1分，满分3分（在响应文件提供相关人员证件复印件，并加盖供应商公章）。     </w:t>
            </w:r>
          </w:p>
        </w:tc>
        <w:tc>
          <w:tcPr>
            <w:tcW w:w="851" w:type="dxa"/>
            <w:vMerge w:val="restart"/>
            <w:noWrap w:val="0"/>
            <w:vAlign w:val="center"/>
          </w:tcPr>
          <w:p w14:paraId="3CA27523">
            <w:pPr>
              <w:widowControl/>
              <w:spacing w:line="360" w:lineRule="auto"/>
              <w:jc w:val="center"/>
              <w:rPr>
                <w:rFonts w:hint="eastAsia" w:ascii="宋体" w:hAnsi="宋体" w:cs="Tahoma"/>
                <w:kern w:val="0"/>
                <w:szCs w:val="21"/>
              </w:rPr>
            </w:pPr>
            <w:r>
              <w:rPr>
                <w:rFonts w:hint="eastAsia" w:ascii="宋体" w:hAnsi="宋体" w:cs="Tahoma"/>
                <w:kern w:val="0"/>
                <w:szCs w:val="21"/>
              </w:rPr>
              <w:t>11分</w:t>
            </w:r>
          </w:p>
        </w:tc>
      </w:tr>
      <w:tr w14:paraId="256F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noWrap w:val="0"/>
            <w:vAlign w:val="center"/>
          </w:tcPr>
          <w:p w14:paraId="770E5C2C">
            <w:pPr>
              <w:widowControl/>
              <w:spacing w:line="360" w:lineRule="auto"/>
              <w:jc w:val="center"/>
              <w:rPr>
                <w:rFonts w:hint="eastAsia" w:ascii="宋体" w:hAnsi="宋体" w:cs="Tahoma"/>
                <w:b/>
                <w:bCs/>
                <w:kern w:val="0"/>
                <w:szCs w:val="21"/>
              </w:rPr>
            </w:pPr>
          </w:p>
        </w:tc>
        <w:tc>
          <w:tcPr>
            <w:tcW w:w="1337" w:type="dxa"/>
            <w:vMerge w:val="continue"/>
            <w:noWrap w:val="0"/>
            <w:vAlign w:val="center"/>
          </w:tcPr>
          <w:p w14:paraId="326FA737">
            <w:pPr>
              <w:spacing w:line="360" w:lineRule="auto"/>
              <w:jc w:val="center"/>
              <w:rPr>
                <w:rFonts w:hint="eastAsia" w:ascii="宋体" w:hAnsi="宋体"/>
                <w:b/>
                <w:bCs/>
                <w:kern w:val="0"/>
                <w:szCs w:val="21"/>
              </w:rPr>
            </w:pPr>
          </w:p>
        </w:tc>
        <w:tc>
          <w:tcPr>
            <w:tcW w:w="6288" w:type="dxa"/>
            <w:noWrap w:val="0"/>
            <w:vAlign w:val="center"/>
          </w:tcPr>
          <w:p w14:paraId="6C82C486">
            <w:pPr>
              <w:pStyle w:val="8"/>
              <w:rPr>
                <w:rFonts w:hint="eastAsia" w:ascii="宋体" w:hAnsi="宋体" w:cs="宋体"/>
                <w:bCs w:val="0"/>
                <w:sz w:val="21"/>
                <w:szCs w:val="21"/>
              </w:rPr>
            </w:pPr>
            <w:r>
              <w:rPr>
                <w:rFonts w:hint="eastAsia" w:ascii="宋体" w:hAnsi="宋体" w:cs="宋体"/>
                <w:bCs w:val="0"/>
                <w:sz w:val="21"/>
                <w:szCs w:val="21"/>
              </w:rPr>
              <w:t>（2）业绩分（满分5分）</w:t>
            </w:r>
          </w:p>
          <w:p w14:paraId="55A6D7BA">
            <w:pPr>
              <w:pStyle w:val="8"/>
              <w:rPr>
                <w:rFonts w:hint="eastAsia" w:ascii="宋体" w:hAnsi="宋体" w:cs="Tahoma"/>
                <w:kern w:val="0"/>
                <w:szCs w:val="21"/>
              </w:rPr>
            </w:pPr>
            <w:r>
              <w:rPr>
                <w:rFonts w:hint="eastAsia" w:ascii="宋体" w:hAnsi="宋体" w:cs="宋体"/>
                <w:b w:val="0"/>
                <w:sz w:val="21"/>
                <w:szCs w:val="21"/>
              </w:rPr>
              <w:t>供应商从2020年1月1日至响应截止时间止承接过房屋建筑工程项目业绩，每个得2.5分，满分5分。【需在响应文件中提供中标（成交）通知书复印件或合同复印件】。</w:t>
            </w:r>
          </w:p>
        </w:tc>
        <w:tc>
          <w:tcPr>
            <w:tcW w:w="851" w:type="dxa"/>
            <w:vMerge w:val="continue"/>
            <w:noWrap w:val="0"/>
            <w:vAlign w:val="center"/>
          </w:tcPr>
          <w:p w14:paraId="7B473F73">
            <w:pPr>
              <w:widowControl/>
              <w:spacing w:line="360" w:lineRule="auto"/>
              <w:jc w:val="center"/>
              <w:rPr>
                <w:rFonts w:hint="eastAsia" w:ascii="宋体" w:hAnsi="宋体" w:cs="Tahoma"/>
                <w:kern w:val="0"/>
                <w:szCs w:val="21"/>
              </w:rPr>
            </w:pPr>
          </w:p>
        </w:tc>
      </w:tr>
      <w:tr w14:paraId="579A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39" w:type="dxa"/>
            <w:gridSpan w:val="3"/>
            <w:noWrap w:val="0"/>
            <w:vAlign w:val="center"/>
          </w:tcPr>
          <w:p w14:paraId="72ADDF71">
            <w:pPr>
              <w:pStyle w:val="27"/>
              <w:spacing w:line="360" w:lineRule="auto"/>
              <w:ind w:firstLine="422" w:firstLineChars="200"/>
              <w:jc w:val="center"/>
              <w:rPr>
                <w:rFonts w:hint="eastAsia" w:hAnsi="宋体" w:cs="Courier New"/>
                <w:bCs/>
                <w:kern w:val="2"/>
                <w:sz w:val="21"/>
              </w:rPr>
            </w:pPr>
            <w:r>
              <w:rPr>
                <w:rFonts w:hint="eastAsia" w:hAnsi="宋体" w:cs="Courier New"/>
                <w:b/>
                <w:kern w:val="2"/>
                <w:sz w:val="21"/>
              </w:rPr>
              <w:t>总得分为以上各项评审因素合计</w:t>
            </w:r>
          </w:p>
        </w:tc>
        <w:tc>
          <w:tcPr>
            <w:tcW w:w="851" w:type="dxa"/>
            <w:noWrap w:val="0"/>
            <w:vAlign w:val="center"/>
          </w:tcPr>
          <w:p w14:paraId="5D2DC042">
            <w:pPr>
              <w:widowControl/>
              <w:spacing w:line="360" w:lineRule="auto"/>
              <w:jc w:val="center"/>
              <w:rPr>
                <w:rFonts w:ascii="宋体" w:hAnsi="宋体" w:cs="Tahoma"/>
                <w:kern w:val="0"/>
                <w:szCs w:val="21"/>
              </w:rPr>
            </w:pPr>
            <w:r>
              <w:rPr>
                <w:rFonts w:hint="eastAsia" w:ascii="宋体" w:hAnsi="宋体" w:cs="Tahoma"/>
                <w:kern w:val="0"/>
                <w:szCs w:val="21"/>
              </w:rPr>
              <w:t>100分</w:t>
            </w:r>
          </w:p>
        </w:tc>
      </w:tr>
    </w:tbl>
    <w:p w14:paraId="65398876">
      <w:pPr>
        <w:pStyle w:val="5"/>
        <w:jc w:val="both"/>
        <w:rPr>
          <w:rFonts w:hint="eastAsia"/>
          <w:color w:val="auto"/>
        </w:rPr>
      </w:pPr>
    </w:p>
    <w:p w14:paraId="6EF1F18C">
      <w:pPr>
        <w:pStyle w:val="5"/>
        <w:jc w:val="center"/>
        <w:rPr>
          <w:rFonts w:hint="eastAsia"/>
          <w:color w:val="auto"/>
        </w:rPr>
      </w:pPr>
    </w:p>
    <w:p w14:paraId="44010318">
      <w:pPr>
        <w:pStyle w:val="5"/>
        <w:jc w:val="center"/>
        <w:rPr>
          <w:rFonts w:hint="eastAsia"/>
          <w:color w:val="auto"/>
        </w:rPr>
      </w:pPr>
    </w:p>
    <w:p w14:paraId="43C44776">
      <w:pPr>
        <w:pStyle w:val="5"/>
        <w:jc w:val="center"/>
        <w:rPr>
          <w:rFonts w:hint="eastAsia"/>
          <w:color w:val="auto"/>
        </w:rPr>
      </w:pPr>
    </w:p>
    <w:p w14:paraId="6B1FF9F1">
      <w:pPr>
        <w:pStyle w:val="5"/>
        <w:jc w:val="center"/>
        <w:rPr>
          <w:rFonts w:hint="eastAsia"/>
          <w:color w:val="auto"/>
        </w:rPr>
      </w:pPr>
    </w:p>
    <w:p w14:paraId="1E368169">
      <w:pPr>
        <w:pStyle w:val="5"/>
        <w:jc w:val="center"/>
        <w:rPr>
          <w:rFonts w:hint="eastAsia"/>
          <w:color w:val="auto"/>
        </w:rPr>
      </w:pPr>
      <w:r>
        <w:rPr>
          <w:rFonts w:hint="eastAsia"/>
          <w:color w:val="auto"/>
        </w:rPr>
        <w:t xml:space="preserve">第五章 </w:t>
      </w:r>
      <w:bookmarkEnd w:id="81"/>
      <w:r>
        <w:rPr>
          <w:rFonts w:hint="eastAsia"/>
          <w:color w:val="auto"/>
        </w:rPr>
        <w:t>工程量清单及图纸（另附）</w:t>
      </w:r>
    </w:p>
    <w:p w14:paraId="15F33B88">
      <w:pPr>
        <w:pStyle w:val="5"/>
        <w:jc w:val="center"/>
        <w:rPr>
          <w:rFonts w:hint="eastAsia"/>
          <w:color w:val="auto"/>
        </w:rPr>
      </w:pPr>
    </w:p>
    <w:p w14:paraId="5D811E12">
      <w:pPr>
        <w:pStyle w:val="5"/>
        <w:spacing w:before="0" w:after="0" w:line="360" w:lineRule="auto"/>
        <w:jc w:val="center"/>
        <w:rPr>
          <w:color w:val="auto"/>
        </w:rPr>
      </w:pPr>
      <w:r>
        <w:rPr>
          <w:color w:val="auto"/>
        </w:rPr>
        <w:br w:type="page"/>
      </w:r>
      <w:bookmarkStart w:id="82" w:name="_Toc122424250"/>
      <w:bookmarkStart w:id="83" w:name="_Toc78449869"/>
      <w:bookmarkStart w:id="84" w:name="_Toc122424001"/>
      <w:bookmarkStart w:id="85" w:name="_Toc1392571603"/>
      <w:bookmarkStart w:id="86" w:name="_Toc1386396751"/>
      <w:bookmarkStart w:id="87" w:name="_Toc407135284"/>
      <w:r>
        <w:rPr>
          <w:color w:val="auto"/>
        </w:rPr>
        <w:t>1</w:t>
      </w:r>
      <w:r>
        <w:rPr>
          <w:rFonts w:hint="eastAsia"/>
          <w:color w:val="auto"/>
        </w:rPr>
        <w:t>.</w:t>
      </w:r>
      <w:r>
        <w:rPr>
          <w:rFonts w:hint="eastAsia" w:cs="黑体"/>
          <w:color w:val="auto"/>
        </w:rPr>
        <w:t>工程量清单编制说明</w:t>
      </w:r>
      <w:bookmarkEnd w:id="82"/>
      <w:bookmarkEnd w:id="83"/>
      <w:bookmarkEnd w:id="84"/>
      <w:bookmarkEnd w:id="85"/>
      <w:bookmarkEnd w:id="86"/>
      <w:bookmarkEnd w:id="87"/>
    </w:p>
    <w:p w14:paraId="4871DB48">
      <w:pPr>
        <w:spacing w:line="360" w:lineRule="auto"/>
        <w:ind w:firstLine="420" w:firstLineChars="200"/>
        <w:rPr>
          <w:color w:val="auto"/>
        </w:rPr>
      </w:pPr>
      <w:r>
        <w:rPr>
          <w:color w:val="auto"/>
        </w:rPr>
        <w:t>1.1</w:t>
      </w:r>
      <w:r>
        <w:rPr>
          <w:rFonts w:hint="eastAsia" w:hAnsi="宋体" w:cs="宋体"/>
          <w:color w:val="auto"/>
        </w:rPr>
        <w:t>本工程量清单依据《建设工程工程量清单计价规范</w:t>
      </w:r>
      <w:r>
        <w:rPr>
          <w:rFonts w:hint="eastAsia" w:cs="宋体"/>
          <w:color w:val="auto"/>
        </w:rPr>
        <w:t>（</w:t>
      </w:r>
      <w:r>
        <w:rPr>
          <w:color w:val="auto"/>
        </w:rPr>
        <w:t>GB50500-2013</w:t>
      </w:r>
      <w:r>
        <w:rPr>
          <w:rFonts w:hint="eastAsia" w:cs="宋体"/>
          <w:color w:val="auto"/>
        </w:rPr>
        <w:t>）</w:t>
      </w:r>
      <w:r>
        <w:rPr>
          <w:rFonts w:hint="eastAsia" w:hAnsi="宋体" w:cs="宋体"/>
          <w:color w:val="auto"/>
        </w:rPr>
        <w:t>广西实施细则》（以下简称</w:t>
      </w:r>
      <w:r>
        <w:rPr>
          <w:color w:val="auto"/>
        </w:rPr>
        <w:t>“</w:t>
      </w:r>
      <w:r>
        <w:rPr>
          <w:rFonts w:hint="eastAsia" w:hAnsi="宋体" w:cs="宋体"/>
          <w:color w:val="auto"/>
        </w:rPr>
        <w:t>《计价规范》</w:t>
      </w:r>
      <w:r>
        <w:rPr>
          <w:color w:val="auto"/>
        </w:rPr>
        <w:t>”</w:t>
      </w:r>
      <w:r>
        <w:rPr>
          <w:rFonts w:hint="eastAsia" w:cs="宋体"/>
          <w:color w:val="auto"/>
        </w:rPr>
        <w:t>）</w:t>
      </w:r>
      <w:r>
        <w:rPr>
          <w:rFonts w:hint="eastAsia" w:hAnsi="宋体" w:cs="宋体"/>
          <w:color w:val="auto"/>
        </w:rPr>
        <w:t>、《工程量清单计算规范（</w:t>
      </w:r>
      <w:r>
        <w:rPr>
          <w:color w:val="auto"/>
        </w:rPr>
        <w:t>GB50854~50862-2013</w:t>
      </w:r>
      <w:r>
        <w:rPr>
          <w:rFonts w:hint="eastAsia" w:hAnsi="宋体" w:cs="宋体"/>
          <w:color w:val="auto"/>
        </w:rPr>
        <w:t>）》及广西实施细则（修订本）（以下简称</w:t>
      </w:r>
      <w:r>
        <w:rPr>
          <w:color w:val="auto"/>
        </w:rPr>
        <w:t>“</w:t>
      </w:r>
      <w:r>
        <w:rPr>
          <w:rFonts w:hint="eastAsia" w:hAnsi="宋体" w:cs="宋体"/>
          <w:color w:val="auto"/>
        </w:rPr>
        <w:t>《计算规范》</w:t>
      </w:r>
      <w:r>
        <w:rPr>
          <w:color w:val="auto"/>
        </w:rPr>
        <w:t>”</w:t>
      </w:r>
      <w:r>
        <w:rPr>
          <w:rFonts w:hint="eastAsia" w:hAnsi="宋体" w:cs="宋体"/>
          <w:color w:val="auto"/>
        </w:rPr>
        <w:t>）、</w:t>
      </w:r>
      <w:r>
        <w:rPr>
          <w:rFonts w:hint="eastAsia" w:hAnsi="宋体" w:cs="宋体"/>
          <w:color w:val="auto"/>
          <w:kern w:val="0"/>
        </w:rPr>
        <w:t>《关于建筑业实施营业税改征增值税后广西壮族自治区建设工程计价依据调整的通知》（桂建标〔</w:t>
      </w:r>
      <w:r>
        <w:rPr>
          <w:rFonts w:hAnsi="宋体"/>
          <w:color w:val="auto"/>
          <w:kern w:val="0"/>
        </w:rPr>
        <w:t>2016</w:t>
      </w:r>
      <w:r>
        <w:rPr>
          <w:rFonts w:hint="eastAsia" w:hAnsi="宋体" w:cs="宋体"/>
          <w:color w:val="auto"/>
          <w:kern w:val="0"/>
        </w:rPr>
        <w:t>〕</w:t>
      </w:r>
      <w:r>
        <w:rPr>
          <w:rFonts w:hAnsi="宋体"/>
          <w:color w:val="auto"/>
          <w:kern w:val="0"/>
        </w:rPr>
        <w:t>17</w:t>
      </w:r>
      <w:r>
        <w:rPr>
          <w:rFonts w:hint="eastAsia" w:hAnsi="宋体" w:cs="宋体"/>
          <w:color w:val="auto"/>
          <w:kern w:val="0"/>
        </w:rPr>
        <w:t>号）、磋商文件</w:t>
      </w:r>
      <w:r>
        <w:rPr>
          <w:rFonts w:hint="eastAsia" w:hAnsi="宋体" w:cs="宋体"/>
          <w:color w:val="auto"/>
        </w:rPr>
        <w:t>、施工图等编制。计算规范中没有的清单项目，应在本章第</w:t>
      </w:r>
      <w:r>
        <w:rPr>
          <w:color w:val="auto"/>
        </w:rPr>
        <w:t>1.4</w:t>
      </w:r>
      <w:r>
        <w:rPr>
          <w:rFonts w:hint="eastAsia" w:hAnsi="宋体" w:cs="宋体"/>
          <w:color w:val="auto"/>
        </w:rPr>
        <w:t>款约定。</w:t>
      </w:r>
    </w:p>
    <w:p w14:paraId="497B8C3F">
      <w:pPr>
        <w:spacing w:line="360" w:lineRule="auto"/>
        <w:ind w:firstLine="420" w:firstLineChars="200"/>
        <w:rPr>
          <w:color w:val="auto"/>
        </w:rPr>
      </w:pPr>
      <w:r>
        <w:rPr>
          <w:color w:val="auto"/>
        </w:rPr>
        <w:t xml:space="preserve">1.2 </w:t>
      </w:r>
      <w:r>
        <w:rPr>
          <w:rFonts w:hint="eastAsia"/>
          <w:color w:val="auto"/>
        </w:rPr>
        <w:t>工程量清单应与供应商须知、合同协议条款、合同的通用条款、合同专用条款、技术规范及图纸等文件一起结合使用。</w:t>
      </w:r>
    </w:p>
    <w:p w14:paraId="778A8C80">
      <w:pPr>
        <w:spacing w:line="360" w:lineRule="auto"/>
        <w:ind w:firstLine="420" w:firstLineChars="200"/>
        <w:rPr>
          <w:color w:val="auto"/>
        </w:rPr>
      </w:pPr>
      <w:r>
        <w:rPr>
          <w:color w:val="auto"/>
        </w:rPr>
        <w:t xml:space="preserve">1.3 </w:t>
      </w:r>
      <w:r>
        <w:rPr>
          <w:rFonts w:hint="eastAsia" w:cs="宋体"/>
          <w:color w:val="auto"/>
        </w:rPr>
        <w:t>工程量清单是磋商文件的组成部分，是工程量清单计价的基础，作为编制招标控制价、竞标报价、计算或调整工程量、索赔等的依据之一。</w:t>
      </w:r>
    </w:p>
    <w:p w14:paraId="47A97E8B">
      <w:pPr>
        <w:spacing w:line="360" w:lineRule="auto"/>
        <w:ind w:left="2" w:firstLine="420" w:firstLineChars="200"/>
        <w:rPr>
          <w:color w:val="auto"/>
        </w:rPr>
      </w:pPr>
      <w:r>
        <w:rPr>
          <w:color w:val="auto"/>
        </w:rPr>
        <w:t xml:space="preserve">1.4 </w:t>
      </w:r>
      <w:r>
        <w:rPr>
          <w:rFonts w:hint="eastAsia" w:cs="宋体"/>
          <w:color w:val="auto"/>
        </w:rPr>
        <w:t>补充清单项目的特征、计量单位、工程量计算规则及工作内容说明如下：</w:t>
      </w:r>
      <w:r>
        <w:rPr>
          <w:color w:val="auto"/>
          <w:u w:val="single"/>
        </w:rPr>
        <w:t xml:space="preserve">  </w:t>
      </w:r>
      <w:r>
        <w:rPr>
          <w:rFonts w:hint="eastAsia"/>
          <w:color w:val="auto"/>
          <w:u w:val="single"/>
        </w:rPr>
        <w:t>/</w:t>
      </w:r>
      <w:r>
        <w:rPr>
          <w:color w:val="auto"/>
          <w:u w:val="single"/>
        </w:rPr>
        <w:t xml:space="preserve"> </w:t>
      </w:r>
      <w:r>
        <w:rPr>
          <w:rFonts w:hint="eastAsia" w:hAnsi="宋体" w:cs="宋体"/>
          <w:color w:val="auto"/>
        </w:rPr>
        <w:t>。</w:t>
      </w:r>
    </w:p>
    <w:p w14:paraId="7DB3F846">
      <w:pPr>
        <w:pStyle w:val="27"/>
        <w:spacing w:line="360" w:lineRule="auto"/>
        <w:ind w:firstLine="420" w:firstLineChars="200"/>
        <w:rPr>
          <w:rFonts w:ascii="Times New Roman" w:hAnsi="Times New Roman"/>
          <w:color w:val="auto"/>
          <w:sz w:val="21"/>
        </w:rPr>
      </w:pPr>
      <w:r>
        <w:rPr>
          <w:rFonts w:ascii="Times New Roman" w:hAnsi="Times New Roman"/>
          <w:color w:val="auto"/>
          <w:sz w:val="21"/>
        </w:rPr>
        <w:t xml:space="preserve">1.5 </w:t>
      </w:r>
      <w:r>
        <w:rPr>
          <w:rFonts w:hint="eastAsia" w:ascii="Times New Roman" w:hAnsi="Times New Roman"/>
          <w:color w:val="auto"/>
          <w:sz w:val="21"/>
        </w:rPr>
        <w:t>《允许调整主要材料和工程设备一览表》（表</w:t>
      </w:r>
      <w:r>
        <w:rPr>
          <w:rFonts w:ascii="Times New Roman" w:hAnsi="Times New Roman"/>
          <w:color w:val="auto"/>
          <w:sz w:val="21"/>
        </w:rPr>
        <w:t>-22</w:t>
      </w:r>
      <w:r>
        <w:rPr>
          <w:rFonts w:hint="eastAsia" w:ascii="Times New Roman" w:hAnsi="Times New Roman"/>
          <w:color w:val="auto"/>
          <w:sz w:val="21"/>
        </w:rPr>
        <w:t>，表格编号为计价规范相应表格编号，下同）作为项目实施过程中材料和设备价格风险调整依据。</w:t>
      </w:r>
    </w:p>
    <w:p w14:paraId="0B0B802B">
      <w:pPr>
        <w:pStyle w:val="27"/>
        <w:spacing w:line="360" w:lineRule="auto"/>
        <w:ind w:firstLine="420" w:firstLineChars="200"/>
        <w:rPr>
          <w:rFonts w:ascii="Times New Roman" w:hAnsi="Times New Roman"/>
          <w:color w:val="auto"/>
          <w:sz w:val="21"/>
        </w:rPr>
      </w:pPr>
      <w:r>
        <w:rPr>
          <w:rFonts w:ascii="Times New Roman" w:hAnsi="Times New Roman"/>
          <w:color w:val="auto"/>
          <w:sz w:val="21"/>
        </w:rPr>
        <w:t xml:space="preserve">1.6 </w:t>
      </w:r>
      <w:r>
        <w:rPr>
          <w:rFonts w:hint="eastAsia" w:ascii="Times New Roman" w:hAnsi="Times New Roman"/>
          <w:color w:val="auto"/>
          <w:sz w:val="21"/>
        </w:rPr>
        <w:t>本工程暂列金额（约按合同造价</w:t>
      </w:r>
      <w:r>
        <w:rPr>
          <w:rFonts w:ascii="Times New Roman" w:hAnsi="Times New Roman"/>
          <w:color w:val="auto"/>
          <w:sz w:val="21"/>
          <w:u w:val="single"/>
        </w:rPr>
        <w:t xml:space="preserve"> </w:t>
      </w:r>
      <w:r>
        <w:rPr>
          <w:rFonts w:hint="eastAsia" w:ascii="Times New Roman" w:hAnsi="Times New Roman"/>
          <w:color w:val="auto"/>
          <w:sz w:val="21"/>
          <w:u w:val="single"/>
        </w:rPr>
        <w:t>/</w:t>
      </w:r>
      <w:r>
        <w:rPr>
          <w:rFonts w:ascii="Times New Roman" w:hAnsi="Times New Roman"/>
          <w:color w:val="auto"/>
          <w:sz w:val="21"/>
          <w:u w:val="single"/>
        </w:rPr>
        <w:t xml:space="preserve"> </w:t>
      </w:r>
      <w:r>
        <w:rPr>
          <w:rFonts w:ascii="Times New Roman" w:hAnsi="Times New Roman"/>
          <w:color w:val="auto"/>
          <w:sz w:val="21"/>
        </w:rPr>
        <w:t>%</w:t>
      </w:r>
      <w:r>
        <w:rPr>
          <w:rFonts w:hint="eastAsia" w:ascii="Times New Roman" w:hAnsi="Times New Roman"/>
          <w:color w:val="auto"/>
          <w:sz w:val="21"/>
        </w:rPr>
        <w:t>计算），共</w:t>
      </w:r>
      <w:r>
        <w:rPr>
          <w:rFonts w:ascii="Times New Roman" w:hAnsi="Times New Roman"/>
          <w:color w:val="auto"/>
          <w:sz w:val="21"/>
          <w:u w:val="single"/>
        </w:rPr>
        <w:t xml:space="preserve">  </w:t>
      </w:r>
      <w:r>
        <w:rPr>
          <w:rFonts w:hint="eastAsia" w:ascii="Times New Roman" w:hAnsi="Times New Roman"/>
          <w:color w:val="auto"/>
          <w:sz w:val="21"/>
          <w:u w:val="single"/>
        </w:rPr>
        <w:t>/</w:t>
      </w:r>
      <w:r>
        <w:rPr>
          <w:rFonts w:hint="eastAsia" w:ascii="Times New Roman" w:hAnsi="Times New Roman"/>
          <w:color w:val="auto"/>
          <w:sz w:val="21"/>
        </w:rPr>
        <w:t>元，作为合同签订时尚未确定或者不可预见但施工中可能发生的费用。</w:t>
      </w:r>
    </w:p>
    <w:p w14:paraId="730FDC63">
      <w:pPr>
        <w:pStyle w:val="27"/>
        <w:spacing w:line="360" w:lineRule="auto"/>
        <w:ind w:firstLine="420" w:firstLineChars="200"/>
        <w:rPr>
          <w:rFonts w:ascii="Times New Roman" w:hAnsi="Times New Roman"/>
          <w:color w:val="auto"/>
          <w:sz w:val="21"/>
        </w:rPr>
      </w:pPr>
      <w:r>
        <w:rPr>
          <w:rFonts w:ascii="Times New Roman" w:hAnsi="Times New Roman"/>
          <w:color w:val="auto"/>
          <w:sz w:val="21"/>
        </w:rPr>
        <w:t xml:space="preserve">1.7 </w:t>
      </w:r>
      <w:r>
        <w:rPr>
          <w:rFonts w:hint="eastAsia" w:ascii="Times New Roman" w:hAnsi="Times New Roman"/>
          <w:color w:val="auto"/>
          <w:sz w:val="21"/>
        </w:rPr>
        <w:t>本工程发包人提供的材料和设备详见《发包人提供的主要材料和工程设备一览表》（表</w:t>
      </w:r>
      <w:r>
        <w:rPr>
          <w:rFonts w:ascii="Times New Roman" w:hAnsi="Times New Roman"/>
          <w:color w:val="auto"/>
          <w:sz w:val="21"/>
        </w:rPr>
        <w:t>-21</w:t>
      </w:r>
      <w:r>
        <w:rPr>
          <w:rFonts w:hint="eastAsia" w:ascii="Times New Roman" w:hAnsi="Times New Roman"/>
          <w:color w:val="auto"/>
          <w:sz w:val="21"/>
        </w:rPr>
        <w:t>）。</w:t>
      </w:r>
    </w:p>
    <w:p w14:paraId="1F39BB53">
      <w:pPr>
        <w:spacing w:line="360" w:lineRule="auto"/>
        <w:ind w:firstLine="420" w:firstLineChars="200"/>
        <w:rPr>
          <w:color w:val="auto"/>
        </w:rPr>
      </w:pPr>
      <w:r>
        <w:rPr>
          <w:color w:val="auto"/>
        </w:rPr>
        <w:t xml:space="preserve">1.8 </w:t>
      </w:r>
      <w:r>
        <w:rPr>
          <w:rFonts w:hint="eastAsia" w:cs="宋体"/>
          <w:color w:val="auto"/>
        </w:rPr>
        <w:t>本工程部分材料和设备在招标时作为暂估价计列，结算按实调整，具体内容详见《材料（工程设备）暂估单价及调整表》（表</w:t>
      </w:r>
      <w:r>
        <w:rPr>
          <w:color w:val="auto"/>
        </w:rPr>
        <w:t>12-2</w:t>
      </w:r>
      <w:r>
        <w:rPr>
          <w:rFonts w:hint="eastAsia" w:cs="宋体"/>
          <w:color w:val="auto"/>
        </w:rPr>
        <w:t>）。</w:t>
      </w:r>
    </w:p>
    <w:p w14:paraId="42D4185A">
      <w:pPr>
        <w:spacing w:line="360" w:lineRule="auto"/>
        <w:ind w:firstLine="420" w:firstLineChars="200"/>
        <w:rPr>
          <w:color w:val="auto"/>
        </w:rPr>
      </w:pPr>
      <w:r>
        <w:rPr>
          <w:color w:val="auto"/>
        </w:rPr>
        <w:t xml:space="preserve">1.9 </w:t>
      </w:r>
      <w:r>
        <w:rPr>
          <w:rFonts w:hint="eastAsia"/>
          <w:color w:val="auto"/>
        </w:rPr>
        <w:t>采购</w:t>
      </w:r>
      <w:r>
        <w:rPr>
          <w:rFonts w:hint="eastAsia" w:cs="宋体"/>
          <w:color w:val="auto"/>
        </w:rPr>
        <w:t>时暂估专业工程的价款属于暂估价，结算按实调整，具体内容详见《专业工程暂估价及结算价表》（表</w:t>
      </w:r>
      <w:r>
        <w:rPr>
          <w:color w:val="auto"/>
        </w:rPr>
        <w:t>12-3</w:t>
      </w:r>
      <w:r>
        <w:rPr>
          <w:rFonts w:hint="eastAsia" w:cs="宋体"/>
          <w:color w:val="auto"/>
        </w:rPr>
        <w:t>）。</w:t>
      </w:r>
    </w:p>
    <w:p w14:paraId="2E9B0823">
      <w:pPr>
        <w:spacing w:line="360" w:lineRule="auto"/>
        <w:ind w:firstLine="420" w:firstLineChars="200"/>
        <w:rPr>
          <w:color w:val="auto"/>
        </w:rPr>
      </w:pPr>
      <w:r>
        <w:rPr>
          <w:color w:val="auto"/>
        </w:rPr>
        <w:t xml:space="preserve">1.10 </w:t>
      </w:r>
      <w:r>
        <w:rPr>
          <w:rFonts w:hint="eastAsia" w:cs="宋体"/>
          <w:color w:val="auto"/>
        </w:rPr>
        <w:t>本工程量清单编码处标注</w:t>
      </w:r>
      <w:r>
        <w:rPr>
          <w:color w:val="auto"/>
        </w:rPr>
        <w:t>“*”</w:t>
      </w:r>
      <w:r>
        <w:rPr>
          <w:rFonts w:hint="eastAsia" w:cs="宋体"/>
          <w:color w:val="auto"/>
        </w:rPr>
        <w:t>号的清单项目作为主要清单项目，需要供应商提供</w:t>
      </w:r>
      <w:r>
        <w:rPr>
          <w:rFonts w:hint="eastAsia" w:hAnsi="宋体" w:cs="宋体"/>
          <w:color w:val="auto"/>
        </w:rPr>
        <w:t>《主要清单项目工料机分析表》（表</w:t>
      </w:r>
      <w:r>
        <w:rPr>
          <w:color w:val="auto"/>
        </w:rPr>
        <w:t>-10</w:t>
      </w:r>
      <w:r>
        <w:rPr>
          <w:rFonts w:hint="eastAsia" w:hAnsi="宋体" w:cs="宋体"/>
          <w:color w:val="auto"/>
        </w:rPr>
        <w:t>）</w:t>
      </w:r>
      <w:r>
        <w:rPr>
          <w:rFonts w:hint="eastAsia" w:cs="宋体"/>
          <w:color w:val="auto"/>
        </w:rPr>
        <w:t>。</w:t>
      </w:r>
    </w:p>
    <w:p w14:paraId="0C0A7825">
      <w:pPr>
        <w:spacing w:line="360" w:lineRule="auto"/>
        <w:ind w:firstLine="420" w:firstLineChars="200"/>
        <w:rPr>
          <w:color w:val="auto"/>
        </w:rPr>
      </w:pPr>
      <w:r>
        <w:rPr>
          <w:color w:val="auto"/>
        </w:rPr>
        <w:t xml:space="preserve">1.11 </w:t>
      </w:r>
      <w:r>
        <w:rPr>
          <w:rFonts w:hint="eastAsia" w:cs="宋体"/>
          <w:color w:val="auto"/>
        </w:rPr>
        <w:t>其它需要说明的问题：</w:t>
      </w:r>
      <w:r>
        <w:rPr>
          <w:rFonts w:hint="eastAsia"/>
          <w:color w:val="auto"/>
          <w:u w:val="single"/>
        </w:rPr>
        <w:t>/</w:t>
      </w:r>
      <w:r>
        <w:rPr>
          <w:rFonts w:hint="eastAsia" w:cs="宋体"/>
          <w:color w:val="auto"/>
        </w:rPr>
        <w:t>。</w:t>
      </w:r>
    </w:p>
    <w:p w14:paraId="786D98BA">
      <w:pPr>
        <w:spacing w:line="360" w:lineRule="auto"/>
        <w:ind w:firstLine="420" w:firstLineChars="200"/>
        <w:rPr>
          <w:rFonts w:hint="eastAsia"/>
          <w:color w:val="auto"/>
        </w:rPr>
      </w:pPr>
      <w:r>
        <w:rPr>
          <w:color w:val="auto"/>
        </w:rPr>
        <w:t xml:space="preserve">1.12 </w:t>
      </w:r>
      <w:r>
        <w:rPr>
          <w:rFonts w:hint="eastAsia" w:cs="宋体"/>
          <w:color w:val="auto"/>
        </w:rPr>
        <w:t>工程量清单与磋商文件同时发布。</w:t>
      </w:r>
      <w:r>
        <w:rPr>
          <w:color w:val="auto"/>
        </w:rPr>
        <w:t xml:space="preserve"> </w:t>
      </w:r>
      <w:r>
        <w:rPr>
          <w:rFonts w:hint="eastAsia" w:cs="宋体"/>
          <w:color w:val="auto"/>
        </w:rPr>
        <w:t>一般计税法建设工程的工程量清单表格按</w:t>
      </w:r>
      <w:r>
        <w:rPr>
          <w:rFonts w:hint="eastAsia" w:hAnsi="宋体" w:cs="宋体"/>
          <w:color w:val="auto"/>
          <w:kern w:val="0"/>
        </w:rPr>
        <w:t>《关于建筑业实施营业税改征增值税后广西壮族自治区建设工程计价依据调整的通知》（桂建标〔</w:t>
      </w:r>
      <w:r>
        <w:rPr>
          <w:rFonts w:hAnsi="宋体"/>
          <w:color w:val="auto"/>
          <w:kern w:val="0"/>
        </w:rPr>
        <w:t>2016</w:t>
      </w:r>
      <w:r>
        <w:rPr>
          <w:rFonts w:hint="eastAsia" w:hAnsi="宋体" w:cs="宋体"/>
          <w:color w:val="auto"/>
          <w:kern w:val="0"/>
        </w:rPr>
        <w:t>〕</w:t>
      </w:r>
      <w:r>
        <w:rPr>
          <w:rFonts w:hAnsi="宋体"/>
          <w:color w:val="auto"/>
          <w:kern w:val="0"/>
        </w:rPr>
        <w:t>17</w:t>
      </w:r>
      <w:r>
        <w:rPr>
          <w:rFonts w:hint="eastAsia" w:hAnsi="宋体" w:cs="宋体"/>
          <w:color w:val="auto"/>
          <w:kern w:val="0"/>
        </w:rPr>
        <w:t>号）</w:t>
      </w:r>
      <w:r>
        <w:rPr>
          <w:rFonts w:hint="eastAsia" w:ascii="宋体" w:hAnsi="宋体" w:cs="宋体"/>
          <w:color w:val="auto"/>
        </w:rPr>
        <w:t>附件“增值税一般计税方法工程计价表”要求提供；简易计税法建设工程按照《计价规范》要求的</w:t>
      </w:r>
      <w:r>
        <w:rPr>
          <w:rFonts w:hint="eastAsia" w:cs="宋体"/>
          <w:color w:val="auto"/>
        </w:rPr>
        <w:t>表格提供，但规费和税费要按照《关于建筑业实施营业税改征增值税后广西壮族自治区建设工程计价依据调整的通知》（桂建标〔</w:t>
      </w:r>
      <w:r>
        <w:rPr>
          <w:color w:val="auto"/>
        </w:rPr>
        <w:t>2016</w:t>
      </w:r>
      <w:r>
        <w:rPr>
          <w:rFonts w:hint="eastAsia" w:cs="宋体"/>
          <w:color w:val="auto"/>
        </w:rPr>
        <w:t>〕</w:t>
      </w:r>
      <w:r>
        <w:rPr>
          <w:color w:val="auto"/>
        </w:rPr>
        <w:t>17</w:t>
      </w:r>
      <w:r>
        <w:rPr>
          <w:rFonts w:hint="eastAsia" w:cs="宋体"/>
          <w:color w:val="auto"/>
        </w:rPr>
        <w:t>号）</w:t>
      </w:r>
      <w:r>
        <w:rPr>
          <w:rFonts w:hint="eastAsia" w:ascii="宋体" w:hAnsi="宋体" w:cs="宋体"/>
          <w:color w:val="auto"/>
        </w:rPr>
        <w:t>要求调整。</w:t>
      </w:r>
    </w:p>
    <w:p w14:paraId="2D6A4A01">
      <w:pPr>
        <w:pStyle w:val="5"/>
        <w:spacing w:before="0" w:after="0" w:line="360" w:lineRule="auto"/>
        <w:jc w:val="center"/>
        <w:rPr>
          <w:rFonts w:hint="eastAsia" w:cs="黑体"/>
          <w:color w:val="auto"/>
        </w:rPr>
      </w:pPr>
      <w:bookmarkStart w:id="88" w:name="_Toc78449870"/>
      <w:bookmarkStart w:id="89" w:name="_Toc122424002"/>
      <w:bookmarkStart w:id="90" w:name="_Toc407135285"/>
      <w:bookmarkStart w:id="91" w:name="_Toc347872619"/>
      <w:bookmarkStart w:id="92" w:name="_Toc990933621"/>
      <w:bookmarkStart w:id="93" w:name="_Toc122424251"/>
      <w:r>
        <w:rPr>
          <w:rFonts w:hint="eastAsia" w:cs="黑体"/>
          <w:color w:val="auto"/>
        </w:rPr>
        <w:t>2.招标控制价编制说明</w:t>
      </w:r>
      <w:bookmarkEnd w:id="88"/>
      <w:bookmarkEnd w:id="89"/>
      <w:bookmarkEnd w:id="90"/>
      <w:bookmarkEnd w:id="91"/>
      <w:bookmarkEnd w:id="92"/>
      <w:bookmarkEnd w:id="93"/>
    </w:p>
    <w:p w14:paraId="6B67164F">
      <w:pPr>
        <w:spacing w:line="360" w:lineRule="auto"/>
        <w:ind w:firstLine="420" w:firstLineChars="200"/>
        <w:rPr>
          <w:color w:val="auto"/>
        </w:rPr>
      </w:pPr>
      <w:r>
        <w:rPr>
          <w:color w:val="auto"/>
        </w:rPr>
        <w:t xml:space="preserve">2.1 </w:t>
      </w:r>
      <w:r>
        <w:rPr>
          <w:rFonts w:hint="eastAsia" w:hAnsi="宋体" w:cs="宋体"/>
          <w:color w:val="auto"/>
        </w:rPr>
        <w:t>招标控制价编制依据：</w:t>
      </w:r>
    </w:p>
    <w:p w14:paraId="4BB9D9C9">
      <w:pPr>
        <w:spacing w:line="360" w:lineRule="auto"/>
        <w:ind w:firstLine="420" w:firstLineChars="200"/>
        <w:rPr>
          <w:rFonts w:hAnsi="宋体"/>
          <w:color w:val="auto"/>
        </w:rPr>
      </w:pPr>
      <w:r>
        <w:rPr>
          <w:rFonts w:hint="eastAsia" w:cs="宋体"/>
          <w:color w:val="auto"/>
        </w:rPr>
        <w:t>（</w:t>
      </w:r>
      <w:r>
        <w:rPr>
          <w:color w:val="auto"/>
        </w:rPr>
        <w:t>1</w:t>
      </w:r>
      <w:r>
        <w:rPr>
          <w:rFonts w:hint="eastAsia" w:cs="宋体"/>
          <w:color w:val="auto"/>
        </w:rPr>
        <w:t>）</w:t>
      </w:r>
      <w:r>
        <w:rPr>
          <w:rFonts w:hint="eastAsia" w:hAnsi="宋体" w:cs="宋体"/>
          <w:color w:val="auto"/>
        </w:rPr>
        <w:t>《计价规范》及《计算规范》、</w:t>
      </w:r>
      <w:r>
        <w:rPr>
          <w:rFonts w:hint="eastAsia" w:hAnsi="宋体" w:cs="宋体"/>
          <w:color w:val="auto"/>
          <w:kern w:val="0"/>
        </w:rPr>
        <w:t>《关于建筑业实施营业税改征增值税后广西壮族自治区建设工程计价依据调整的通知》（桂建标〔</w:t>
      </w:r>
      <w:r>
        <w:rPr>
          <w:rFonts w:hAnsi="宋体"/>
          <w:color w:val="auto"/>
          <w:kern w:val="0"/>
        </w:rPr>
        <w:t>2016</w:t>
      </w:r>
      <w:r>
        <w:rPr>
          <w:rFonts w:hint="eastAsia" w:hAnsi="宋体" w:cs="宋体"/>
          <w:color w:val="auto"/>
          <w:kern w:val="0"/>
        </w:rPr>
        <w:t>〕</w:t>
      </w:r>
      <w:r>
        <w:rPr>
          <w:rFonts w:hAnsi="宋体"/>
          <w:color w:val="auto"/>
          <w:kern w:val="0"/>
        </w:rPr>
        <w:t>17</w:t>
      </w:r>
      <w:r>
        <w:rPr>
          <w:rFonts w:hint="eastAsia" w:hAnsi="宋体" w:cs="宋体"/>
          <w:color w:val="auto"/>
          <w:kern w:val="0"/>
        </w:rPr>
        <w:t>号）等</w:t>
      </w:r>
      <w:r>
        <w:rPr>
          <w:rFonts w:hint="eastAsia" w:hAnsi="宋体" w:cs="宋体"/>
          <w:color w:val="auto"/>
        </w:rPr>
        <w:t>；</w:t>
      </w:r>
    </w:p>
    <w:p w14:paraId="5CE319B4">
      <w:pPr>
        <w:spacing w:line="360" w:lineRule="auto"/>
        <w:ind w:firstLine="420" w:firstLineChars="200"/>
        <w:rPr>
          <w:rFonts w:hint="eastAsia" w:cs="宋体"/>
          <w:color w:val="auto"/>
        </w:rPr>
      </w:pPr>
      <w:r>
        <w:rPr>
          <w:rFonts w:hint="eastAsia" w:cs="宋体"/>
          <w:color w:val="auto"/>
        </w:rPr>
        <w:t>（</w:t>
      </w:r>
      <w:r>
        <w:rPr>
          <w:color w:val="auto"/>
        </w:rPr>
        <w:t>2</w:t>
      </w:r>
      <w:r>
        <w:rPr>
          <w:rFonts w:hint="eastAsia" w:cs="宋体"/>
          <w:color w:val="auto"/>
        </w:rPr>
        <w:t>）自治区住房城乡建设行政主管部门颁发的计价定额及有关规定：</w:t>
      </w:r>
    </w:p>
    <w:p w14:paraId="260E0F1A">
      <w:pPr>
        <w:spacing w:line="360" w:lineRule="auto"/>
        <w:ind w:firstLine="420" w:firstLineChars="200"/>
        <w:rPr>
          <w:rFonts w:hint="eastAsia" w:cs="宋体"/>
          <w:color w:val="auto"/>
          <w:u w:val="single"/>
        </w:rPr>
      </w:pPr>
      <w:r>
        <w:rPr>
          <w:rFonts w:hint="eastAsia" w:cs="宋体"/>
          <w:color w:val="auto"/>
          <w:u w:val="single"/>
        </w:rPr>
        <w:t>《广西壮族自治区20</w:t>
      </w:r>
      <w:r>
        <w:rPr>
          <w:rFonts w:hint="eastAsia" w:cs="宋体"/>
          <w:color w:val="auto"/>
          <w:u w:val="single"/>
          <w:lang w:val="en-US" w:eastAsia="zh-CN"/>
        </w:rPr>
        <w:t>13</w:t>
      </w:r>
      <w:r>
        <w:rPr>
          <w:rFonts w:hint="eastAsia" w:cs="宋体"/>
          <w:color w:val="auto"/>
          <w:u w:val="single"/>
        </w:rPr>
        <w:t>年建筑装饰装修消耗量定额》（20</w:t>
      </w:r>
      <w:r>
        <w:rPr>
          <w:rFonts w:hint="eastAsia" w:cs="宋体"/>
          <w:color w:val="auto"/>
          <w:u w:val="single"/>
          <w:lang w:val="en-US" w:eastAsia="zh-CN"/>
        </w:rPr>
        <w:t>13</w:t>
      </w:r>
      <w:r>
        <w:rPr>
          <w:rFonts w:hint="eastAsia" w:cs="宋体"/>
          <w:color w:val="auto"/>
          <w:u w:val="single"/>
        </w:rPr>
        <w:t>年版）；</w:t>
      </w:r>
    </w:p>
    <w:p w14:paraId="1B0F5035">
      <w:pPr>
        <w:spacing w:line="360" w:lineRule="auto"/>
        <w:ind w:firstLine="420" w:firstLineChars="200"/>
        <w:rPr>
          <w:rFonts w:hint="eastAsia" w:cs="宋体"/>
          <w:color w:val="auto"/>
          <w:u w:val="single"/>
        </w:rPr>
      </w:pPr>
      <w:r>
        <w:rPr>
          <w:rFonts w:hint="eastAsia" w:cs="宋体"/>
          <w:color w:val="auto"/>
          <w:u w:val="single"/>
        </w:rPr>
        <w:t>《广西壮族自治区20</w:t>
      </w:r>
      <w:r>
        <w:rPr>
          <w:rFonts w:hint="eastAsia" w:cs="宋体"/>
          <w:color w:val="auto"/>
          <w:u w:val="single"/>
          <w:lang w:val="en-US" w:eastAsia="zh-CN"/>
        </w:rPr>
        <w:t>15</w:t>
      </w:r>
      <w:r>
        <w:rPr>
          <w:rFonts w:hint="eastAsia" w:cs="宋体"/>
          <w:color w:val="auto"/>
          <w:u w:val="single"/>
        </w:rPr>
        <w:t>年安装工程消耗量定额》（20</w:t>
      </w:r>
      <w:r>
        <w:rPr>
          <w:rFonts w:hint="eastAsia" w:cs="宋体"/>
          <w:color w:val="auto"/>
          <w:u w:val="single"/>
          <w:lang w:val="en-US" w:eastAsia="zh-CN"/>
        </w:rPr>
        <w:t>15</w:t>
      </w:r>
      <w:r>
        <w:rPr>
          <w:rFonts w:hint="eastAsia" w:cs="宋体"/>
          <w:color w:val="auto"/>
          <w:u w:val="single"/>
        </w:rPr>
        <w:t>年版）；</w:t>
      </w:r>
    </w:p>
    <w:p w14:paraId="6A2EB366">
      <w:pPr>
        <w:spacing w:line="360" w:lineRule="auto"/>
        <w:ind w:firstLine="420" w:firstLineChars="200"/>
        <w:rPr>
          <w:rFonts w:hint="eastAsia"/>
          <w:color w:val="auto"/>
          <w:u w:val="single"/>
        </w:rPr>
      </w:pPr>
      <w:r>
        <w:rPr>
          <w:rFonts w:hint="eastAsia"/>
          <w:color w:val="auto"/>
          <w:u w:val="single"/>
        </w:rPr>
        <w:t>安全防护、文明施工措施费：按广西壮族自治区建设厅《关于印发＜广西壮族自治区建筑工程安全防护、文明施工措施费及使用管理细则＞的通知》（桂建质〔2015〕16号）；</w:t>
      </w:r>
    </w:p>
    <w:p w14:paraId="42D82824">
      <w:pPr>
        <w:spacing w:line="360" w:lineRule="auto"/>
        <w:ind w:firstLine="420" w:firstLineChars="200"/>
        <w:rPr>
          <w:rFonts w:hint="eastAsia"/>
          <w:color w:val="auto"/>
          <w:u w:val="single"/>
        </w:rPr>
      </w:pPr>
      <w:r>
        <w:rPr>
          <w:rFonts w:hint="eastAsia"/>
          <w:color w:val="auto"/>
          <w:u w:val="single"/>
        </w:rPr>
        <w:t>人工预算单价：按《关于调整建设工程定额人工费及有关费率的通知》（桂建标〔2023〕7号）；</w:t>
      </w:r>
    </w:p>
    <w:p w14:paraId="4C342976">
      <w:pPr>
        <w:spacing w:line="360" w:lineRule="auto"/>
        <w:ind w:firstLine="420" w:firstLineChars="200"/>
        <w:rPr>
          <w:rFonts w:hint="eastAsia" w:cs="宋体"/>
          <w:color w:val="auto"/>
          <w:u w:val="single"/>
        </w:rPr>
      </w:pPr>
      <w:r>
        <w:rPr>
          <w:rFonts w:hint="eastAsia" w:cs="宋体"/>
          <w:color w:val="auto"/>
          <w:u w:val="single"/>
        </w:rPr>
        <w:t>广西壮族自治区建设工程造价管理总站《关于调整除税价计算适用增值税税率的通知》（桂造价〔2019〕10号）；</w:t>
      </w:r>
    </w:p>
    <w:p w14:paraId="7C381E5A">
      <w:pPr>
        <w:spacing w:line="360" w:lineRule="auto"/>
        <w:ind w:firstLine="420" w:firstLineChars="200"/>
        <w:rPr>
          <w:rFonts w:hint="eastAsia" w:cs="宋体"/>
          <w:color w:val="auto"/>
          <w:u w:val="single"/>
        </w:rPr>
      </w:pPr>
      <w:r>
        <w:rPr>
          <w:rFonts w:hint="eastAsia" w:cs="宋体"/>
          <w:color w:val="auto"/>
          <w:u w:val="single"/>
          <w:lang w:val="en-US" w:eastAsia="zh-CN"/>
        </w:rPr>
        <w:t>广西华信工程设计股份有限公司</w:t>
      </w:r>
      <w:r>
        <w:rPr>
          <w:rFonts w:hint="eastAsia" w:cs="宋体"/>
          <w:color w:val="auto"/>
          <w:u w:val="single"/>
        </w:rPr>
        <w:t>出具的设计图纸：</w:t>
      </w:r>
    </w:p>
    <w:p w14:paraId="6D07E16A">
      <w:pPr>
        <w:spacing w:line="360" w:lineRule="auto"/>
        <w:ind w:firstLine="420" w:firstLineChars="200"/>
        <w:rPr>
          <w:rFonts w:hint="eastAsia" w:cs="宋体"/>
          <w:color w:val="auto"/>
          <w:u w:val="single"/>
        </w:rPr>
      </w:pPr>
      <w:r>
        <w:rPr>
          <w:rFonts w:hint="eastAsia" w:cs="宋体"/>
          <w:color w:val="auto"/>
          <w:u w:val="single"/>
        </w:rPr>
        <w:t>中远智信设计有限公司编制的工程预算书。</w:t>
      </w:r>
    </w:p>
    <w:p w14:paraId="0F5C6C81">
      <w:pPr>
        <w:spacing w:line="360" w:lineRule="auto"/>
        <w:ind w:firstLine="420" w:firstLineChars="200"/>
        <w:rPr>
          <w:color w:val="auto"/>
        </w:rPr>
      </w:pPr>
      <w:r>
        <w:rPr>
          <w:rFonts w:hint="eastAsia" w:cs="宋体"/>
          <w:color w:val="auto"/>
        </w:rPr>
        <w:t>（</w:t>
      </w:r>
      <w:r>
        <w:rPr>
          <w:color w:val="auto"/>
        </w:rPr>
        <w:t>3</w:t>
      </w:r>
      <w:r>
        <w:rPr>
          <w:rFonts w:hint="eastAsia" w:cs="宋体"/>
          <w:color w:val="auto"/>
        </w:rPr>
        <w:t>）建设工程设计文件及相关资料：</w:t>
      </w:r>
      <w:r>
        <w:rPr>
          <w:rFonts w:hint="eastAsia" w:cs="宋体"/>
          <w:color w:val="auto"/>
          <w:u w:val="single"/>
        </w:rPr>
        <w:t>图纸。</w:t>
      </w:r>
      <w:r>
        <w:rPr>
          <w:color w:val="auto"/>
        </w:rPr>
        <w:t xml:space="preserve"> </w:t>
      </w:r>
    </w:p>
    <w:p w14:paraId="68B2A1DB">
      <w:pPr>
        <w:spacing w:line="360" w:lineRule="auto"/>
        <w:ind w:firstLine="420" w:firstLineChars="200"/>
        <w:rPr>
          <w:color w:val="auto"/>
        </w:rPr>
      </w:pPr>
      <w:r>
        <w:rPr>
          <w:rFonts w:hint="eastAsia" w:cs="宋体"/>
          <w:color w:val="auto"/>
        </w:rPr>
        <w:t>（</w:t>
      </w:r>
      <w:r>
        <w:rPr>
          <w:color w:val="auto"/>
        </w:rPr>
        <w:t>4</w:t>
      </w:r>
      <w:r>
        <w:rPr>
          <w:rFonts w:hint="eastAsia" w:cs="宋体"/>
          <w:color w:val="auto"/>
        </w:rPr>
        <w:t>）本工程磋商文件及工程量清单；</w:t>
      </w:r>
    </w:p>
    <w:p w14:paraId="5C74E138">
      <w:pPr>
        <w:spacing w:line="360" w:lineRule="auto"/>
        <w:ind w:firstLine="420" w:firstLineChars="200"/>
        <w:rPr>
          <w:color w:val="auto"/>
        </w:rPr>
      </w:pPr>
      <w:r>
        <w:rPr>
          <w:rFonts w:hint="eastAsia" w:cs="宋体"/>
          <w:color w:val="auto"/>
        </w:rPr>
        <w:t>（</w:t>
      </w:r>
      <w:r>
        <w:rPr>
          <w:color w:val="auto"/>
        </w:rPr>
        <w:t>5</w:t>
      </w:r>
      <w:r>
        <w:rPr>
          <w:rFonts w:hint="eastAsia" w:cs="宋体"/>
          <w:color w:val="auto"/>
        </w:rPr>
        <w:t>）与建设项目相关的标准、规范、技术资料；</w:t>
      </w:r>
    </w:p>
    <w:p w14:paraId="256C1F84">
      <w:pPr>
        <w:spacing w:line="360" w:lineRule="auto"/>
        <w:ind w:firstLine="420" w:firstLineChars="200"/>
        <w:rPr>
          <w:color w:val="auto"/>
        </w:rPr>
      </w:pPr>
      <w:r>
        <w:rPr>
          <w:rFonts w:hint="eastAsia" w:cs="宋体"/>
          <w:color w:val="auto"/>
        </w:rPr>
        <w:t>（</w:t>
      </w:r>
      <w:r>
        <w:rPr>
          <w:color w:val="auto"/>
        </w:rPr>
        <w:t>6</w:t>
      </w:r>
      <w:r>
        <w:rPr>
          <w:rFonts w:hint="eastAsia" w:cs="宋体"/>
          <w:color w:val="auto"/>
        </w:rPr>
        <w:t>）施工现场情况、工程特点及常规施工方案；</w:t>
      </w:r>
    </w:p>
    <w:p w14:paraId="7F586DC7">
      <w:pPr>
        <w:spacing w:line="360" w:lineRule="auto"/>
        <w:ind w:firstLine="420" w:firstLineChars="200"/>
        <w:rPr>
          <w:rFonts w:hAnsi="宋体"/>
          <w:color w:val="auto"/>
        </w:rPr>
      </w:pPr>
      <w:r>
        <w:rPr>
          <w:rFonts w:hint="eastAsia" w:cs="宋体"/>
          <w:color w:val="auto"/>
        </w:rPr>
        <w:t>（</w:t>
      </w:r>
      <w:r>
        <w:rPr>
          <w:color w:val="auto"/>
        </w:rPr>
        <w:t>7</w:t>
      </w:r>
      <w:r>
        <w:rPr>
          <w:rFonts w:hint="eastAsia" w:cs="宋体"/>
          <w:color w:val="auto"/>
        </w:rPr>
        <w:t>）材料价格信息</w:t>
      </w:r>
      <w:r>
        <w:rPr>
          <w:rFonts w:hint="eastAsia" w:hAnsi="宋体" w:cs="宋体"/>
          <w:color w:val="auto"/>
        </w:rPr>
        <w:t>：材料价格主要按照</w:t>
      </w:r>
      <w:r>
        <w:rPr>
          <w:rFonts w:hint="eastAsia"/>
          <w:color w:val="auto"/>
          <w:u w:val="single"/>
        </w:rPr>
        <w:t>岑溪</w:t>
      </w:r>
      <w:r>
        <w:rPr>
          <w:rFonts w:hint="eastAsia" w:cs="宋体"/>
          <w:color w:val="auto"/>
          <w:u w:val="single"/>
        </w:rPr>
        <w:t>市</w:t>
      </w:r>
      <w:r>
        <w:rPr>
          <w:rFonts w:hint="eastAsia" w:cs="宋体"/>
          <w:color w:val="auto"/>
        </w:rPr>
        <w:t>建设工程造价管理机构发布的工程造价信息</w:t>
      </w:r>
      <w:r>
        <w:rPr>
          <w:rFonts w:hint="eastAsia"/>
          <w:color w:val="auto"/>
          <w:u w:val="single"/>
        </w:rPr>
        <w:t>2025</w:t>
      </w:r>
      <w:r>
        <w:rPr>
          <w:rFonts w:hint="eastAsia" w:cs="宋体"/>
          <w:color w:val="auto"/>
          <w:u w:val="single"/>
        </w:rPr>
        <w:t>年</w:t>
      </w:r>
      <w:r>
        <w:rPr>
          <w:rFonts w:hint="eastAsia" w:cs="宋体"/>
          <w:color w:val="auto"/>
          <w:u w:val="single"/>
          <w:lang w:val="en-US" w:eastAsia="zh-CN"/>
        </w:rPr>
        <w:t>11</w:t>
      </w:r>
      <w:r>
        <w:rPr>
          <w:rFonts w:hint="eastAsia" w:cs="宋体"/>
          <w:color w:val="auto"/>
          <w:u w:val="single"/>
        </w:rPr>
        <w:t>月份</w:t>
      </w:r>
      <w:r>
        <w:rPr>
          <w:rFonts w:hint="eastAsia" w:cs="宋体"/>
          <w:color w:val="auto"/>
        </w:rPr>
        <w:t>，不足部分参考市场定价</w:t>
      </w:r>
      <w:r>
        <w:rPr>
          <w:rFonts w:hint="eastAsia" w:hAnsi="宋体" w:cs="宋体"/>
          <w:color w:val="auto"/>
        </w:rPr>
        <w:t>。</w:t>
      </w:r>
    </w:p>
    <w:p w14:paraId="02D8F99C">
      <w:pPr>
        <w:spacing w:line="360" w:lineRule="auto"/>
        <w:ind w:firstLine="420" w:firstLineChars="200"/>
        <w:rPr>
          <w:color w:val="auto"/>
        </w:rPr>
      </w:pPr>
      <w:r>
        <w:rPr>
          <w:color w:val="auto"/>
        </w:rPr>
        <w:t xml:space="preserve">2.2 </w:t>
      </w:r>
      <w:r>
        <w:rPr>
          <w:rFonts w:hint="eastAsia" w:hAnsi="宋体" w:cs="宋体"/>
          <w:color w:val="auto"/>
        </w:rPr>
        <w:t>分部分项及单价措施项目综合单价应包括磋商文件中采购人要求供应商所承担的风险内容及其范围（幅度）产生的风险费用。</w:t>
      </w:r>
    </w:p>
    <w:p w14:paraId="1F5FB970">
      <w:pPr>
        <w:spacing w:line="360" w:lineRule="auto"/>
        <w:ind w:firstLine="420"/>
        <w:rPr>
          <w:color w:val="auto"/>
        </w:rPr>
      </w:pPr>
      <w:r>
        <w:rPr>
          <w:color w:val="auto"/>
        </w:rPr>
        <w:t xml:space="preserve">2.3 </w:t>
      </w:r>
      <w:r>
        <w:rPr>
          <w:rFonts w:hint="eastAsia" w:hAnsi="宋体" w:cs="宋体"/>
          <w:color w:val="auto"/>
        </w:rPr>
        <w:t>总价措施项目应根据拟定的磋商文件和常规施工方案按《计价规范》和《计算规范》规定编制。</w:t>
      </w:r>
    </w:p>
    <w:p w14:paraId="64825B77">
      <w:pPr>
        <w:spacing w:line="360" w:lineRule="auto"/>
        <w:ind w:firstLine="420" w:firstLineChars="200"/>
        <w:rPr>
          <w:color w:val="auto"/>
        </w:rPr>
      </w:pPr>
      <w:r>
        <w:rPr>
          <w:color w:val="auto"/>
        </w:rPr>
        <w:t xml:space="preserve">2.4 </w:t>
      </w:r>
      <w:r>
        <w:rPr>
          <w:rFonts w:hint="eastAsia" w:cs="宋体"/>
          <w:color w:val="auto"/>
        </w:rPr>
        <w:t>其他项目费应按下列规定报价：</w:t>
      </w:r>
    </w:p>
    <w:p w14:paraId="1BAE59BE">
      <w:pPr>
        <w:spacing w:line="360" w:lineRule="auto"/>
        <w:ind w:firstLine="420" w:firstLineChars="200"/>
        <w:rPr>
          <w:color w:val="auto"/>
        </w:rPr>
      </w:pPr>
      <w:r>
        <w:rPr>
          <w:rFonts w:hint="eastAsia" w:cs="宋体"/>
          <w:color w:val="auto"/>
        </w:rPr>
        <w:t>（</w:t>
      </w:r>
      <w:r>
        <w:rPr>
          <w:color w:val="auto"/>
        </w:rPr>
        <w:t>1</w:t>
      </w:r>
      <w:r>
        <w:rPr>
          <w:rFonts w:hint="eastAsia" w:cs="宋体"/>
          <w:color w:val="auto"/>
        </w:rPr>
        <w:t>）暂列金额应按工程量清单中列出的金额填写；</w:t>
      </w:r>
    </w:p>
    <w:p w14:paraId="36A1C05B">
      <w:pPr>
        <w:pStyle w:val="193"/>
        <w:spacing w:line="360" w:lineRule="auto"/>
        <w:ind w:firstLine="420" w:firstLineChars="200"/>
        <w:rPr>
          <w:color w:val="auto"/>
        </w:rPr>
      </w:pPr>
      <w:r>
        <w:rPr>
          <w:rFonts w:hint="eastAsia" w:cs="宋体"/>
          <w:color w:val="auto"/>
        </w:rPr>
        <w:t>（</w:t>
      </w:r>
      <w:r>
        <w:rPr>
          <w:color w:val="auto"/>
        </w:rPr>
        <w:t>2</w:t>
      </w:r>
      <w:r>
        <w:rPr>
          <w:rFonts w:hint="eastAsia" w:cs="宋体"/>
          <w:color w:val="auto"/>
        </w:rPr>
        <w:t>）材料、工程设备暂估价应按工程量清单中列出的单价计入综合单价；</w:t>
      </w:r>
    </w:p>
    <w:p w14:paraId="13FAA1E8">
      <w:pPr>
        <w:spacing w:line="360" w:lineRule="auto"/>
        <w:ind w:firstLine="420" w:firstLineChars="200"/>
        <w:rPr>
          <w:color w:val="auto"/>
        </w:rPr>
      </w:pPr>
      <w:r>
        <w:rPr>
          <w:rFonts w:hint="eastAsia" w:cs="宋体"/>
          <w:color w:val="auto"/>
        </w:rPr>
        <w:t>（</w:t>
      </w:r>
      <w:r>
        <w:rPr>
          <w:color w:val="auto"/>
        </w:rPr>
        <w:t>3</w:t>
      </w:r>
      <w:r>
        <w:rPr>
          <w:rFonts w:hint="eastAsia" w:cs="宋体"/>
          <w:color w:val="auto"/>
        </w:rPr>
        <w:t>）专业工程暂估价应按工程量清单中列出的金额填写；</w:t>
      </w:r>
    </w:p>
    <w:p w14:paraId="2D477450">
      <w:pPr>
        <w:spacing w:line="360" w:lineRule="auto"/>
        <w:ind w:firstLine="420" w:firstLineChars="200"/>
        <w:rPr>
          <w:color w:val="auto"/>
        </w:rPr>
      </w:pPr>
      <w:r>
        <w:rPr>
          <w:rFonts w:hint="eastAsia" w:cs="宋体"/>
          <w:color w:val="auto"/>
        </w:rPr>
        <w:t>（</w:t>
      </w:r>
      <w:r>
        <w:rPr>
          <w:color w:val="auto"/>
        </w:rPr>
        <w:t>4</w:t>
      </w:r>
      <w:r>
        <w:rPr>
          <w:rFonts w:hint="eastAsia" w:cs="宋体"/>
          <w:color w:val="auto"/>
        </w:rPr>
        <w:t>）计日工应按工程量清单中列出的项目和数量，根据工程特点和有关计价依据确定的综合单价计算；</w:t>
      </w:r>
    </w:p>
    <w:p w14:paraId="44700A09">
      <w:pPr>
        <w:spacing w:line="360" w:lineRule="auto"/>
        <w:ind w:firstLine="420" w:firstLineChars="200"/>
        <w:rPr>
          <w:rFonts w:cs="宋体"/>
          <w:color w:val="auto"/>
        </w:rPr>
      </w:pPr>
      <w:r>
        <w:rPr>
          <w:rFonts w:hint="eastAsia" w:cs="宋体"/>
          <w:color w:val="auto"/>
        </w:rPr>
        <w:t>（</w:t>
      </w:r>
      <w:r>
        <w:rPr>
          <w:color w:val="auto"/>
        </w:rPr>
        <w:t>5</w:t>
      </w:r>
      <w:r>
        <w:rPr>
          <w:rFonts w:hint="eastAsia" w:cs="宋体"/>
          <w:color w:val="auto"/>
        </w:rPr>
        <w:t>）总承包服务费应根据工程量清单列出的内容</w:t>
      </w:r>
      <w:r>
        <w:rPr>
          <w:rFonts w:hint="eastAsia" w:hAnsi="宋体" w:cs="宋体"/>
          <w:color w:val="auto"/>
        </w:rPr>
        <w:t>和要求，按自治区住房城乡建设行政主管部门颁发的计价定额及有关规定计算</w:t>
      </w:r>
      <w:r>
        <w:rPr>
          <w:rFonts w:hint="eastAsia" w:cs="宋体"/>
          <w:color w:val="auto"/>
        </w:rPr>
        <w:t>。</w:t>
      </w:r>
    </w:p>
    <w:p w14:paraId="3438A6F4">
      <w:pPr>
        <w:spacing w:line="360" w:lineRule="auto"/>
        <w:ind w:firstLine="420" w:firstLineChars="200"/>
        <w:rPr>
          <w:rFonts w:hint="eastAsia"/>
          <w:color w:val="auto"/>
        </w:rPr>
      </w:pPr>
      <w:r>
        <w:rPr>
          <w:rFonts w:hint="eastAsia"/>
          <w:color w:val="auto"/>
        </w:rPr>
        <w:t>（6）对建设单位创建优质工程的，鼓励在招标控制价和预算中按广西区工程建设定额规定计列工程优质费，并明确工程优质费不可竞争。</w:t>
      </w:r>
    </w:p>
    <w:p w14:paraId="6CB3A0C4">
      <w:pPr>
        <w:spacing w:line="360" w:lineRule="auto"/>
        <w:ind w:firstLine="420" w:firstLineChars="200"/>
        <w:rPr>
          <w:color w:val="auto"/>
        </w:rPr>
      </w:pPr>
      <w:r>
        <w:rPr>
          <w:color w:val="auto"/>
        </w:rPr>
        <w:t xml:space="preserve">2.5 </w:t>
      </w:r>
      <w:r>
        <w:rPr>
          <w:rFonts w:hint="eastAsia" w:cs="宋体"/>
          <w:color w:val="auto"/>
        </w:rPr>
        <w:t>规费和增值税应按规定确定，作为不可竞争费用。</w:t>
      </w:r>
    </w:p>
    <w:p w14:paraId="7F71254F">
      <w:pPr>
        <w:spacing w:line="360" w:lineRule="auto"/>
        <w:ind w:firstLine="420" w:firstLineChars="200"/>
        <w:rPr>
          <w:rFonts w:hAnsi="宋体"/>
          <w:color w:val="auto"/>
        </w:rPr>
      </w:pPr>
      <w:r>
        <w:rPr>
          <w:color w:val="auto"/>
        </w:rPr>
        <w:t xml:space="preserve">2.6 </w:t>
      </w:r>
      <w:r>
        <w:rPr>
          <w:rFonts w:hint="eastAsia" w:hAnsi="宋体" w:cs="宋体"/>
          <w:color w:val="auto"/>
        </w:rPr>
        <w:t>其它需要说明的问题：</w:t>
      </w:r>
      <w:r>
        <w:rPr>
          <w:rFonts w:hint="eastAsia" w:hAnsi="宋体" w:cs="宋体"/>
          <w:color w:val="auto"/>
          <w:u w:val="single"/>
        </w:rPr>
        <w:t>工程实施过程中变更增加预算按岑溪市人民政府办公室《关于规范我市财政投资评审项目变更增加预算工作的通知》文件执行。</w:t>
      </w:r>
    </w:p>
    <w:p w14:paraId="14FD34D9">
      <w:pPr>
        <w:pStyle w:val="5"/>
        <w:spacing w:before="0" w:after="0" w:line="360" w:lineRule="auto"/>
        <w:jc w:val="center"/>
        <w:rPr>
          <w:rFonts w:hint="eastAsia" w:cs="黑体"/>
          <w:color w:val="auto"/>
        </w:rPr>
      </w:pPr>
      <w:bookmarkStart w:id="94" w:name="_Toc122424003"/>
      <w:bookmarkStart w:id="95" w:name="_Toc378483916"/>
      <w:bookmarkStart w:id="96" w:name="_Toc407135286"/>
      <w:bookmarkStart w:id="97" w:name="_Toc879821176"/>
      <w:bookmarkStart w:id="98" w:name="_Toc78449871"/>
      <w:bookmarkStart w:id="99" w:name="_Toc122424252"/>
      <w:r>
        <w:rPr>
          <w:rFonts w:hint="eastAsia" w:cs="黑体"/>
          <w:color w:val="auto"/>
        </w:rPr>
        <w:t>3.竞标报价（已标价工程量清单）编制说明</w:t>
      </w:r>
      <w:bookmarkEnd w:id="94"/>
      <w:bookmarkEnd w:id="95"/>
      <w:bookmarkEnd w:id="96"/>
      <w:bookmarkEnd w:id="97"/>
      <w:bookmarkEnd w:id="98"/>
      <w:bookmarkEnd w:id="99"/>
    </w:p>
    <w:p w14:paraId="6AFEFEE5">
      <w:pPr>
        <w:spacing w:line="360" w:lineRule="auto"/>
        <w:ind w:firstLine="420" w:firstLineChars="200"/>
        <w:rPr>
          <w:color w:val="auto"/>
        </w:rPr>
      </w:pPr>
      <w:r>
        <w:rPr>
          <w:color w:val="auto"/>
        </w:rPr>
        <w:t xml:space="preserve">3.1 </w:t>
      </w:r>
      <w:r>
        <w:rPr>
          <w:rFonts w:hint="eastAsia" w:cs="宋体"/>
          <w:color w:val="auto"/>
        </w:rPr>
        <w:t>供应商应依据磋商文件、工程量清单以及《计价规范》《计算规范》自主报价，自主报价</w:t>
      </w:r>
      <w:r>
        <w:rPr>
          <w:rFonts w:hint="eastAsia" w:hAnsi="宋体" w:cs="宋体"/>
          <w:color w:val="auto"/>
        </w:rPr>
        <w:t>不得违反计价规范强制性条文规定。</w:t>
      </w:r>
      <w:r>
        <w:rPr>
          <w:rFonts w:hint="eastAsia" w:cs="宋体"/>
          <w:color w:val="auto"/>
        </w:rPr>
        <w:t>供应商不得采用总价让利或以百分比让利等形式进行报价，任何优惠（或降价、让利）均应反映在相应清单项目的综合单价中。同时，不得出现任意一项单价重大让利，</w:t>
      </w:r>
      <w:r>
        <w:rPr>
          <w:rFonts w:hint="eastAsia" w:hAnsi="宋体" w:cs="宋体"/>
          <w:color w:val="auto"/>
        </w:rPr>
        <w:t>不得以自有机械闲置、自有材料等不计成本为由</w:t>
      </w:r>
      <w:r>
        <w:rPr>
          <w:rFonts w:hint="eastAsia" w:cs="宋体"/>
          <w:color w:val="auto"/>
        </w:rPr>
        <w:t>低于工程成本报价。</w:t>
      </w:r>
    </w:p>
    <w:p w14:paraId="786AA748">
      <w:pPr>
        <w:spacing w:line="360" w:lineRule="auto"/>
        <w:ind w:firstLine="420" w:firstLineChars="200"/>
        <w:rPr>
          <w:rFonts w:hAnsi="宋体"/>
          <w:color w:val="auto"/>
        </w:rPr>
      </w:pPr>
      <w:r>
        <w:rPr>
          <w:color w:val="auto"/>
        </w:rPr>
        <w:t xml:space="preserve">3.2 </w:t>
      </w:r>
      <w:r>
        <w:rPr>
          <w:rFonts w:hint="eastAsia" w:cs="宋体"/>
          <w:color w:val="auto"/>
        </w:rPr>
        <w:t>供应商应按工程量清单填报价格。项目编码、项目名称、项目特征、计量单位、工程量必须与工程量清单一致，</w:t>
      </w:r>
      <w:r>
        <w:rPr>
          <w:rFonts w:hint="eastAsia" w:hAnsi="宋体" w:cs="宋体"/>
          <w:color w:val="auto"/>
        </w:rPr>
        <w:t>供应商不得对工程量清单项目进行增减调整。</w:t>
      </w:r>
    </w:p>
    <w:p w14:paraId="3B23F41F">
      <w:pPr>
        <w:spacing w:line="360" w:lineRule="auto"/>
        <w:ind w:firstLine="420" w:firstLineChars="200"/>
        <w:rPr>
          <w:color w:val="auto"/>
        </w:rPr>
      </w:pPr>
      <w:r>
        <w:rPr>
          <w:color w:val="auto"/>
        </w:rPr>
        <w:t xml:space="preserve">3.3 </w:t>
      </w:r>
      <w:r>
        <w:rPr>
          <w:rFonts w:hint="eastAsia" w:cs="宋体"/>
          <w:color w:val="auto"/>
        </w:rPr>
        <w:t>综合单价中应包含磋商文件中划分的应由供应商承担的风险范围及其费用。</w:t>
      </w:r>
    </w:p>
    <w:p w14:paraId="359EBF46">
      <w:pPr>
        <w:spacing w:line="360" w:lineRule="auto"/>
        <w:ind w:firstLine="420" w:firstLineChars="200"/>
        <w:rPr>
          <w:rFonts w:hAnsi="宋体"/>
          <w:color w:val="auto"/>
        </w:rPr>
      </w:pPr>
      <w:r>
        <w:rPr>
          <w:color w:val="auto"/>
        </w:rPr>
        <w:t xml:space="preserve">3.4 </w:t>
      </w:r>
      <w:r>
        <w:rPr>
          <w:rFonts w:hint="eastAsia" w:hAnsi="宋体" w:cs="宋体"/>
          <w:color w:val="auto"/>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375CCA0C">
      <w:pPr>
        <w:spacing w:line="360" w:lineRule="auto"/>
        <w:ind w:firstLine="420" w:firstLineChars="200"/>
        <w:rPr>
          <w:color w:val="auto"/>
        </w:rPr>
      </w:pPr>
      <w:r>
        <w:rPr>
          <w:color w:val="auto"/>
        </w:rPr>
        <w:t xml:space="preserve">3.5 </w:t>
      </w:r>
      <w:r>
        <w:rPr>
          <w:rFonts w:hint="eastAsia" w:hAnsi="宋体" w:cs="宋体"/>
          <w:color w:val="auto"/>
        </w:rPr>
        <w:t>总价措施项目的金额应根据磋商文件及竞标时拟定的施工组织设计或施工方案，按计价规范的规定自主确定。但</w:t>
      </w:r>
      <w:r>
        <w:rPr>
          <w:rFonts w:hint="eastAsia" w:cs="宋体"/>
          <w:color w:val="auto"/>
        </w:rPr>
        <w:t>安全文明施工费按国家、省级或行业建设主管部门的有关规定执行，作为不竞争费用单列。</w:t>
      </w:r>
    </w:p>
    <w:p w14:paraId="78687722">
      <w:pPr>
        <w:spacing w:line="360" w:lineRule="auto"/>
        <w:ind w:firstLine="420" w:firstLineChars="200"/>
        <w:rPr>
          <w:color w:val="auto"/>
        </w:rPr>
      </w:pPr>
      <w:r>
        <w:rPr>
          <w:color w:val="auto"/>
        </w:rPr>
        <w:t xml:space="preserve">3.6 </w:t>
      </w:r>
      <w:r>
        <w:rPr>
          <w:rFonts w:hint="eastAsia" w:cs="宋体"/>
          <w:color w:val="auto"/>
        </w:rPr>
        <w:t>其他项目费应按下列规定报价：</w:t>
      </w:r>
    </w:p>
    <w:p w14:paraId="3A84C79D">
      <w:pPr>
        <w:spacing w:line="360" w:lineRule="auto"/>
        <w:ind w:firstLine="420" w:firstLineChars="200"/>
        <w:rPr>
          <w:color w:val="auto"/>
        </w:rPr>
      </w:pPr>
      <w:r>
        <w:rPr>
          <w:rFonts w:hint="eastAsia" w:cs="宋体"/>
          <w:color w:val="auto"/>
        </w:rPr>
        <w:t>（</w:t>
      </w:r>
      <w:r>
        <w:rPr>
          <w:color w:val="auto"/>
        </w:rPr>
        <w:t>1</w:t>
      </w:r>
      <w:r>
        <w:rPr>
          <w:rFonts w:hint="eastAsia" w:cs="宋体"/>
          <w:color w:val="auto"/>
        </w:rPr>
        <w:t>）暂列金额应按工程量清单中列出的金额填写；</w:t>
      </w:r>
    </w:p>
    <w:p w14:paraId="7A495AD8">
      <w:pPr>
        <w:pStyle w:val="193"/>
        <w:spacing w:line="360" w:lineRule="auto"/>
        <w:ind w:firstLine="420" w:firstLineChars="200"/>
        <w:rPr>
          <w:color w:val="auto"/>
        </w:rPr>
      </w:pPr>
      <w:r>
        <w:rPr>
          <w:rFonts w:hint="eastAsia" w:cs="宋体"/>
          <w:color w:val="auto"/>
        </w:rPr>
        <w:t>（</w:t>
      </w:r>
      <w:r>
        <w:rPr>
          <w:color w:val="auto"/>
        </w:rPr>
        <w:t>2</w:t>
      </w:r>
      <w:r>
        <w:rPr>
          <w:rFonts w:hint="eastAsia" w:cs="宋体"/>
          <w:color w:val="auto"/>
        </w:rPr>
        <w:t>）材料、工程设备暂估价应按工程量清单中列出的单价计入综合单价；</w:t>
      </w:r>
    </w:p>
    <w:p w14:paraId="6243F7CB">
      <w:pPr>
        <w:spacing w:line="360" w:lineRule="auto"/>
        <w:ind w:firstLine="420" w:firstLineChars="200"/>
        <w:rPr>
          <w:color w:val="auto"/>
        </w:rPr>
      </w:pPr>
      <w:r>
        <w:rPr>
          <w:rFonts w:hint="eastAsia" w:cs="宋体"/>
          <w:color w:val="auto"/>
        </w:rPr>
        <w:t>（</w:t>
      </w:r>
      <w:r>
        <w:rPr>
          <w:color w:val="auto"/>
        </w:rPr>
        <w:t>3</w:t>
      </w:r>
      <w:r>
        <w:rPr>
          <w:rFonts w:hint="eastAsia" w:cs="宋体"/>
          <w:color w:val="auto"/>
        </w:rPr>
        <w:t>）专业工程暂估价应按工程量清单中列出的金额填写；</w:t>
      </w:r>
    </w:p>
    <w:p w14:paraId="1CA01E7C">
      <w:pPr>
        <w:spacing w:line="360" w:lineRule="auto"/>
        <w:ind w:firstLine="420" w:firstLineChars="200"/>
        <w:rPr>
          <w:color w:val="auto"/>
        </w:rPr>
      </w:pPr>
      <w:r>
        <w:rPr>
          <w:rFonts w:hint="eastAsia" w:cs="宋体"/>
          <w:color w:val="auto"/>
        </w:rPr>
        <w:t>（</w:t>
      </w:r>
      <w:r>
        <w:rPr>
          <w:color w:val="auto"/>
        </w:rPr>
        <w:t>4</w:t>
      </w:r>
      <w:r>
        <w:rPr>
          <w:rFonts w:hint="eastAsia" w:cs="宋体"/>
          <w:color w:val="auto"/>
        </w:rPr>
        <w:t>）计日工应按工程量清单中列出的项目和估算数量，自主确定综合单价并计算计日工总额；计日工单价均不含规费和税金；</w:t>
      </w:r>
    </w:p>
    <w:p w14:paraId="4AFAD0C8">
      <w:pPr>
        <w:spacing w:line="360" w:lineRule="auto"/>
        <w:ind w:firstLine="420" w:firstLineChars="200"/>
        <w:rPr>
          <w:rFonts w:cs="宋体"/>
          <w:color w:val="auto"/>
        </w:rPr>
      </w:pPr>
      <w:r>
        <w:rPr>
          <w:rFonts w:hint="eastAsia" w:cs="宋体"/>
          <w:color w:val="auto"/>
        </w:rPr>
        <w:t>（</w:t>
      </w:r>
      <w:r>
        <w:rPr>
          <w:color w:val="auto"/>
        </w:rPr>
        <w:t>5</w:t>
      </w:r>
      <w:r>
        <w:rPr>
          <w:rFonts w:hint="eastAsia" w:cs="宋体"/>
          <w:color w:val="auto"/>
        </w:rPr>
        <w:t>）总承包服务费应根据工程量清单中列出的内容</w:t>
      </w:r>
      <w:r>
        <w:rPr>
          <w:rFonts w:hint="eastAsia" w:hAnsi="宋体" w:cs="宋体"/>
          <w:color w:val="auto"/>
        </w:rPr>
        <w:t>和供应材料、设备情况，按照采购人提出的协调、配合与服务要求和施工现场管理需要</w:t>
      </w:r>
      <w:r>
        <w:rPr>
          <w:rFonts w:hint="eastAsia" w:cs="宋体"/>
          <w:color w:val="auto"/>
        </w:rPr>
        <w:t>自主确定。</w:t>
      </w:r>
    </w:p>
    <w:p w14:paraId="1EA24391">
      <w:pPr>
        <w:spacing w:line="360" w:lineRule="auto"/>
        <w:ind w:firstLine="420" w:firstLineChars="200"/>
        <w:rPr>
          <w:rFonts w:hint="eastAsia"/>
          <w:color w:val="auto"/>
        </w:rPr>
      </w:pPr>
      <w:r>
        <w:rPr>
          <w:rFonts w:hint="eastAsia"/>
          <w:color w:val="auto"/>
        </w:rPr>
        <w:t>（6）对建设单位创建优质工程的，鼓励在招标控制价和预算中按我区工程建设定额规定计列工程优质费，并明确工程优质费不可竞争。</w:t>
      </w:r>
    </w:p>
    <w:p w14:paraId="619B6114">
      <w:pPr>
        <w:spacing w:line="360" w:lineRule="auto"/>
        <w:ind w:firstLine="420" w:firstLineChars="200"/>
        <w:rPr>
          <w:color w:val="auto"/>
        </w:rPr>
      </w:pPr>
      <w:r>
        <w:rPr>
          <w:color w:val="auto"/>
        </w:rPr>
        <w:t xml:space="preserve">3.7 </w:t>
      </w:r>
      <w:r>
        <w:rPr>
          <w:rFonts w:hint="eastAsia" w:cs="宋体"/>
          <w:color w:val="auto"/>
        </w:rPr>
        <w:t>规费和增值税应按规定确定，作为不可竞争费用。</w:t>
      </w:r>
    </w:p>
    <w:p w14:paraId="333BB787">
      <w:pPr>
        <w:spacing w:line="360" w:lineRule="auto"/>
        <w:ind w:firstLine="420" w:firstLineChars="200"/>
        <w:rPr>
          <w:color w:val="auto"/>
        </w:rPr>
      </w:pPr>
      <w:r>
        <w:rPr>
          <w:color w:val="auto"/>
        </w:rPr>
        <w:t xml:space="preserve">3.8 </w:t>
      </w:r>
      <w:r>
        <w:rPr>
          <w:rFonts w:hint="eastAsia" w:cs="宋体"/>
          <w:color w:val="auto"/>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444C8844">
      <w:pPr>
        <w:spacing w:line="360" w:lineRule="auto"/>
        <w:ind w:firstLine="420" w:firstLineChars="200"/>
        <w:rPr>
          <w:color w:val="auto"/>
        </w:rPr>
      </w:pPr>
      <w:r>
        <w:rPr>
          <w:color w:val="auto"/>
        </w:rPr>
        <w:t xml:space="preserve">3.9 </w:t>
      </w:r>
      <w:r>
        <w:rPr>
          <w:rFonts w:hint="eastAsia"/>
          <w:color w:val="auto"/>
        </w:rPr>
        <w:t>竞标</w:t>
      </w:r>
      <w:r>
        <w:rPr>
          <w:rFonts w:hint="eastAsia" w:cs="宋体"/>
          <w:color w:val="auto"/>
        </w:rPr>
        <w:t>总价应当与分部分项工程费、措施项目费、其他项目费和规费、增值税的合计金额一致。</w:t>
      </w:r>
    </w:p>
    <w:p w14:paraId="09AC8A90">
      <w:pPr>
        <w:spacing w:line="360" w:lineRule="auto"/>
        <w:ind w:firstLine="420" w:firstLineChars="200"/>
        <w:rPr>
          <w:color w:val="auto"/>
        </w:rPr>
      </w:pPr>
      <w:r>
        <w:rPr>
          <w:color w:val="auto"/>
        </w:rPr>
        <w:t>3.1</w:t>
      </w:r>
      <w:r>
        <w:rPr>
          <w:rFonts w:hint="eastAsia"/>
          <w:color w:val="auto"/>
        </w:rPr>
        <w:t>0</w:t>
      </w:r>
      <w:r>
        <w:rPr>
          <w:color w:val="auto"/>
        </w:rPr>
        <w:t xml:space="preserve"> </w:t>
      </w:r>
      <w:r>
        <w:rPr>
          <w:rFonts w:hint="eastAsia" w:cs="宋体"/>
          <w:color w:val="auto"/>
        </w:rPr>
        <w:t>供应商应按《允许调整主要材料和工程设备一览表》的内容填报，不得擅自调整材料和设备名称型号规格、单位、风险系数、基准单价。</w:t>
      </w:r>
    </w:p>
    <w:p w14:paraId="68DFD370">
      <w:pPr>
        <w:spacing w:line="360" w:lineRule="auto"/>
        <w:ind w:firstLine="420" w:firstLineChars="200"/>
        <w:rPr>
          <w:rFonts w:hAnsi="宋体"/>
          <w:color w:val="auto"/>
        </w:rPr>
      </w:pPr>
      <w:r>
        <w:rPr>
          <w:color w:val="auto"/>
        </w:rPr>
        <w:t>3.1</w:t>
      </w:r>
      <w:r>
        <w:rPr>
          <w:rFonts w:hint="eastAsia"/>
          <w:color w:val="auto"/>
        </w:rPr>
        <w:t>1</w:t>
      </w:r>
      <w:r>
        <w:rPr>
          <w:rFonts w:hint="eastAsia" w:hAnsi="宋体" w:cs="宋体"/>
          <w:color w:val="auto"/>
        </w:rPr>
        <w:t>竞标报价</w:t>
      </w:r>
      <w:r>
        <w:rPr>
          <w:rFonts w:hint="eastAsia" w:cs="宋体"/>
          <w:color w:val="auto"/>
        </w:rPr>
        <w:t>表格按本工程工程量清单表格要求填写，并</w:t>
      </w:r>
      <w:r>
        <w:rPr>
          <w:rFonts w:hint="eastAsia" w:hAnsi="宋体" w:cs="宋体"/>
          <w:color w:val="auto"/>
        </w:rPr>
        <w:t>应按磋商文件的要求，附上《工程量清单综合单价分析表》（表</w:t>
      </w:r>
      <w:r>
        <w:rPr>
          <w:color w:val="auto"/>
        </w:rPr>
        <w:t>-09</w:t>
      </w:r>
      <w:r>
        <w:rPr>
          <w:rFonts w:hint="eastAsia" w:hAnsi="宋体" w:cs="宋体"/>
          <w:color w:val="auto"/>
        </w:rPr>
        <w:t>）和《主要清单项目工料机分析表》（表</w:t>
      </w:r>
      <w:r>
        <w:rPr>
          <w:color w:val="auto"/>
        </w:rPr>
        <w:t>-10</w:t>
      </w:r>
      <w:r>
        <w:rPr>
          <w:rFonts w:hint="eastAsia" w:hAnsi="宋体" w:cs="宋体"/>
          <w:color w:val="auto"/>
        </w:rPr>
        <w:t>）。</w:t>
      </w:r>
    </w:p>
    <w:p w14:paraId="27054E52">
      <w:pPr>
        <w:spacing w:line="360" w:lineRule="auto"/>
        <w:ind w:firstLine="420" w:firstLineChars="200"/>
        <w:rPr>
          <w:color w:val="auto"/>
          <w:u w:val="single"/>
        </w:rPr>
      </w:pPr>
      <w:r>
        <w:rPr>
          <w:rFonts w:hint="eastAsia" w:cs="宋体"/>
          <w:color w:val="auto"/>
        </w:rPr>
        <w:t>未尽事宜详见本工程工程量清单、招标控制价编制说明以及现行《计价规范》等有关规定执行。</w:t>
      </w:r>
    </w:p>
    <w:p w14:paraId="3A497278">
      <w:pPr>
        <w:spacing w:line="360" w:lineRule="auto"/>
        <w:ind w:firstLine="420" w:firstLineChars="200"/>
        <w:rPr>
          <w:rFonts w:hint="eastAsia" w:cs="宋体"/>
          <w:color w:val="auto"/>
        </w:rPr>
      </w:pPr>
      <w:r>
        <w:rPr>
          <w:rFonts w:hint="eastAsia" w:cs="宋体"/>
          <w:color w:val="auto"/>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76D1E229">
      <w:pPr>
        <w:pStyle w:val="5"/>
        <w:spacing w:before="0" w:after="0" w:line="360" w:lineRule="auto"/>
        <w:jc w:val="left"/>
        <w:rPr>
          <w:rFonts w:hint="eastAsia" w:cs="黑体"/>
          <w:color w:val="auto"/>
          <w:sz w:val="40"/>
          <w:szCs w:val="40"/>
        </w:rPr>
      </w:pPr>
      <w:bookmarkStart w:id="100" w:name="_Toc122424253"/>
      <w:bookmarkStart w:id="101" w:name="_Toc122424004"/>
      <w:r>
        <w:rPr>
          <w:rFonts w:hint="eastAsia" w:cs="黑体"/>
          <w:color w:val="auto"/>
          <w:sz w:val="40"/>
          <w:szCs w:val="40"/>
        </w:rPr>
        <w:t>4.图纸（另附）</w:t>
      </w:r>
      <w:bookmarkEnd w:id="100"/>
      <w:bookmarkEnd w:id="101"/>
    </w:p>
    <w:p w14:paraId="156F754F">
      <w:pPr>
        <w:pStyle w:val="7"/>
        <w:spacing w:before="0" w:after="0" w:line="360" w:lineRule="auto"/>
        <w:rPr>
          <w:rFonts w:hint="eastAsia"/>
          <w:color w:val="auto"/>
        </w:rPr>
      </w:pPr>
      <w:r>
        <w:rPr>
          <w:rFonts w:cs="黑体"/>
          <w:color w:val="auto"/>
        </w:rPr>
        <w:br w:type="page"/>
      </w:r>
    </w:p>
    <w:p w14:paraId="1C12A2F3">
      <w:pPr>
        <w:rPr>
          <w:rFonts w:hint="eastAsia"/>
          <w:color w:val="auto"/>
        </w:rPr>
      </w:pPr>
    </w:p>
    <w:p w14:paraId="1AED957A">
      <w:pPr>
        <w:rPr>
          <w:rFonts w:hint="eastAsia"/>
          <w:color w:val="auto"/>
        </w:rPr>
      </w:pPr>
    </w:p>
    <w:p w14:paraId="2F4D0BB2">
      <w:pPr>
        <w:rPr>
          <w:rFonts w:hint="eastAsia"/>
          <w:color w:val="auto"/>
        </w:rPr>
      </w:pPr>
    </w:p>
    <w:p w14:paraId="66F650BA">
      <w:pPr>
        <w:rPr>
          <w:rFonts w:hint="eastAsia"/>
          <w:color w:val="auto"/>
        </w:rPr>
      </w:pPr>
    </w:p>
    <w:p w14:paraId="51AD299C">
      <w:pPr>
        <w:rPr>
          <w:rFonts w:hint="eastAsia"/>
          <w:color w:val="auto"/>
        </w:rPr>
      </w:pPr>
    </w:p>
    <w:p w14:paraId="61FB7405">
      <w:pPr>
        <w:rPr>
          <w:rFonts w:hint="eastAsia"/>
          <w:color w:val="auto"/>
        </w:rPr>
      </w:pPr>
    </w:p>
    <w:p w14:paraId="4069C345">
      <w:pPr>
        <w:rPr>
          <w:rFonts w:hint="eastAsia"/>
          <w:color w:val="auto"/>
        </w:rPr>
      </w:pPr>
    </w:p>
    <w:p w14:paraId="6B44F6A1">
      <w:pPr>
        <w:rPr>
          <w:rFonts w:hint="eastAsia"/>
          <w:color w:val="auto"/>
        </w:rPr>
      </w:pPr>
    </w:p>
    <w:p w14:paraId="71D92F27">
      <w:pPr>
        <w:rPr>
          <w:rFonts w:hint="eastAsia"/>
          <w:color w:val="auto"/>
        </w:rPr>
      </w:pPr>
    </w:p>
    <w:p w14:paraId="45DA9C82">
      <w:pPr>
        <w:rPr>
          <w:rFonts w:hint="eastAsia"/>
          <w:color w:val="auto"/>
        </w:rPr>
      </w:pPr>
    </w:p>
    <w:p w14:paraId="1DC3EC13">
      <w:pPr>
        <w:rPr>
          <w:rFonts w:hint="eastAsia"/>
          <w:color w:val="auto"/>
        </w:rPr>
      </w:pPr>
    </w:p>
    <w:p w14:paraId="59464A77">
      <w:pPr>
        <w:rPr>
          <w:rFonts w:hint="eastAsia"/>
          <w:color w:val="auto"/>
        </w:rPr>
      </w:pPr>
    </w:p>
    <w:p w14:paraId="2E447D38">
      <w:pPr>
        <w:rPr>
          <w:rFonts w:hint="eastAsia"/>
          <w:color w:val="auto"/>
        </w:rPr>
      </w:pPr>
    </w:p>
    <w:p w14:paraId="6F563D37">
      <w:pPr>
        <w:rPr>
          <w:rFonts w:hint="eastAsia"/>
          <w:color w:val="auto"/>
        </w:rPr>
      </w:pPr>
    </w:p>
    <w:p w14:paraId="2664C993">
      <w:pPr>
        <w:rPr>
          <w:rFonts w:hint="eastAsia"/>
          <w:color w:val="auto"/>
        </w:rPr>
      </w:pPr>
    </w:p>
    <w:p w14:paraId="17DCE332">
      <w:pPr>
        <w:rPr>
          <w:rFonts w:hint="eastAsia"/>
          <w:color w:val="auto"/>
        </w:rPr>
      </w:pPr>
    </w:p>
    <w:p w14:paraId="41E08CF8">
      <w:pPr>
        <w:rPr>
          <w:rFonts w:hint="eastAsia"/>
          <w:color w:val="auto"/>
        </w:rPr>
      </w:pPr>
    </w:p>
    <w:p w14:paraId="54B82360">
      <w:pPr>
        <w:pStyle w:val="5"/>
        <w:jc w:val="center"/>
        <w:rPr>
          <w:rFonts w:hint="eastAsia"/>
          <w:color w:val="auto"/>
        </w:rPr>
      </w:pPr>
      <w:bookmarkStart w:id="102" w:name="_Toc122424265"/>
      <w:r>
        <w:rPr>
          <w:rFonts w:hint="eastAsia"/>
          <w:color w:val="auto"/>
        </w:rPr>
        <w:t>第六章 响应文件格式</w:t>
      </w:r>
      <w:bookmarkEnd w:id="102"/>
    </w:p>
    <w:p w14:paraId="5C756244">
      <w:pPr>
        <w:spacing w:line="240" w:lineRule="atLeast"/>
        <w:rPr>
          <w:rFonts w:hint="eastAsia" w:ascii="宋体" w:hAnsi="宋体"/>
          <w:b/>
          <w:color w:val="auto"/>
          <w:sz w:val="32"/>
          <w:szCs w:val="32"/>
        </w:rPr>
      </w:pPr>
    </w:p>
    <w:p w14:paraId="4963A9C7">
      <w:pPr>
        <w:spacing w:line="240" w:lineRule="atLeast"/>
        <w:rPr>
          <w:rFonts w:hint="eastAsia" w:ascii="宋体" w:hAnsi="宋体"/>
          <w:b/>
          <w:color w:val="auto"/>
          <w:sz w:val="32"/>
          <w:szCs w:val="32"/>
        </w:rPr>
      </w:pPr>
    </w:p>
    <w:p w14:paraId="75F2536E">
      <w:pPr>
        <w:spacing w:line="240" w:lineRule="atLeast"/>
        <w:rPr>
          <w:rFonts w:hint="eastAsia" w:ascii="宋体" w:hAnsi="宋体"/>
          <w:b/>
          <w:color w:val="auto"/>
          <w:sz w:val="32"/>
          <w:szCs w:val="32"/>
        </w:rPr>
      </w:pPr>
    </w:p>
    <w:p w14:paraId="3990E32E">
      <w:pPr>
        <w:spacing w:line="240" w:lineRule="atLeast"/>
        <w:rPr>
          <w:rFonts w:hint="eastAsia" w:ascii="宋体" w:hAnsi="宋体"/>
          <w:b/>
          <w:color w:val="auto"/>
          <w:sz w:val="32"/>
          <w:szCs w:val="32"/>
        </w:rPr>
      </w:pPr>
    </w:p>
    <w:p w14:paraId="575915C8">
      <w:pPr>
        <w:spacing w:line="240" w:lineRule="atLeast"/>
        <w:rPr>
          <w:rFonts w:hint="eastAsia" w:ascii="宋体" w:hAnsi="宋体"/>
          <w:b/>
          <w:color w:val="auto"/>
          <w:sz w:val="32"/>
          <w:szCs w:val="32"/>
        </w:rPr>
      </w:pPr>
    </w:p>
    <w:p w14:paraId="2DA80947">
      <w:pPr>
        <w:spacing w:line="240" w:lineRule="atLeast"/>
        <w:rPr>
          <w:rFonts w:hint="eastAsia" w:ascii="宋体" w:hAnsi="宋体"/>
          <w:b/>
          <w:color w:val="auto"/>
          <w:sz w:val="32"/>
          <w:szCs w:val="32"/>
        </w:rPr>
      </w:pPr>
    </w:p>
    <w:p w14:paraId="1420B96C">
      <w:pPr>
        <w:spacing w:line="240" w:lineRule="atLeast"/>
        <w:rPr>
          <w:rFonts w:hint="eastAsia" w:ascii="宋体" w:hAnsi="宋体"/>
          <w:b/>
          <w:color w:val="auto"/>
          <w:sz w:val="32"/>
          <w:szCs w:val="32"/>
        </w:rPr>
      </w:pPr>
    </w:p>
    <w:p w14:paraId="08A2E359">
      <w:pPr>
        <w:spacing w:line="240" w:lineRule="atLeast"/>
        <w:rPr>
          <w:rFonts w:hint="eastAsia" w:ascii="宋体" w:hAnsi="宋体"/>
          <w:b/>
          <w:color w:val="auto"/>
          <w:sz w:val="32"/>
          <w:szCs w:val="32"/>
        </w:rPr>
      </w:pPr>
    </w:p>
    <w:p w14:paraId="018526F7">
      <w:pPr>
        <w:spacing w:line="240" w:lineRule="atLeast"/>
        <w:rPr>
          <w:rFonts w:hint="eastAsia" w:ascii="宋体" w:hAnsi="宋体"/>
          <w:b/>
          <w:color w:val="auto"/>
          <w:sz w:val="32"/>
          <w:szCs w:val="32"/>
        </w:rPr>
      </w:pPr>
    </w:p>
    <w:p w14:paraId="79A386F4">
      <w:pPr>
        <w:spacing w:line="240" w:lineRule="atLeast"/>
        <w:rPr>
          <w:rFonts w:hint="eastAsia" w:ascii="宋体" w:hAnsi="宋体"/>
          <w:b/>
          <w:color w:val="auto"/>
          <w:sz w:val="32"/>
          <w:szCs w:val="32"/>
        </w:rPr>
      </w:pPr>
    </w:p>
    <w:p w14:paraId="3796FE44">
      <w:pPr>
        <w:spacing w:line="240" w:lineRule="atLeast"/>
        <w:rPr>
          <w:rFonts w:hint="eastAsia" w:ascii="宋体" w:hAnsi="宋体"/>
          <w:b/>
          <w:color w:val="auto"/>
          <w:sz w:val="32"/>
          <w:szCs w:val="32"/>
        </w:rPr>
      </w:pPr>
    </w:p>
    <w:p w14:paraId="36D077CC">
      <w:pPr>
        <w:snapToGrid w:val="0"/>
        <w:spacing w:before="50" w:after="50"/>
        <w:outlineLvl w:val="1"/>
        <w:rPr>
          <w:rFonts w:hint="eastAsia" w:ascii="宋体" w:hAnsi="宋体"/>
          <w:b/>
          <w:bCs/>
          <w:color w:val="auto"/>
          <w:sz w:val="24"/>
        </w:rPr>
      </w:pPr>
    </w:p>
    <w:p w14:paraId="77B28146">
      <w:pPr>
        <w:snapToGrid w:val="0"/>
        <w:spacing w:before="120" w:beforeLines="50" w:after="50"/>
        <w:jc w:val="center"/>
        <w:rPr>
          <w:rFonts w:hint="eastAsia" w:ascii="仿宋_GB2312" w:hAnsi="仿宋_GB2312" w:eastAsia="仿宋_GB2312" w:cs="仿宋_GB2312"/>
          <w:bCs/>
          <w:color w:val="auto"/>
          <w:sz w:val="32"/>
          <w:szCs w:val="32"/>
        </w:rPr>
      </w:pPr>
    </w:p>
    <w:p w14:paraId="65D823DD">
      <w:pPr>
        <w:rPr>
          <w:rFonts w:hint="eastAsia"/>
          <w:b/>
          <w:color w:val="auto"/>
          <w:sz w:val="32"/>
          <w:szCs w:val="32"/>
        </w:rPr>
      </w:pPr>
      <w:bookmarkStart w:id="103" w:name="_Toc44229899"/>
      <w:bookmarkStart w:id="104" w:name="_Toc35611438"/>
      <w:bookmarkStart w:id="105" w:name="_Toc31723070"/>
      <w:bookmarkStart w:id="106" w:name="_Toc31728084"/>
      <w:bookmarkStart w:id="107" w:name="_Toc35611516"/>
      <w:bookmarkStart w:id="108" w:name="_Toc71366186"/>
      <w:r>
        <w:rPr>
          <w:b/>
          <w:color w:val="auto"/>
          <w:sz w:val="32"/>
          <w:szCs w:val="32"/>
        </w:rPr>
        <w:br w:type="page"/>
      </w:r>
      <w:r>
        <w:rPr>
          <w:rFonts w:hint="eastAsia"/>
          <w:b/>
          <w:color w:val="auto"/>
          <w:sz w:val="32"/>
          <w:szCs w:val="32"/>
        </w:rPr>
        <w:t>一、资格证明文件格式</w:t>
      </w:r>
      <w:bookmarkEnd w:id="103"/>
      <w:bookmarkEnd w:id="104"/>
      <w:bookmarkEnd w:id="105"/>
      <w:bookmarkEnd w:id="106"/>
      <w:bookmarkEnd w:id="107"/>
      <w:bookmarkEnd w:id="108"/>
    </w:p>
    <w:p w14:paraId="3E2CBEAD">
      <w:pPr>
        <w:snapToGrid w:val="0"/>
        <w:spacing w:before="120" w:beforeLines="50" w:after="50" w:line="360" w:lineRule="auto"/>
        <w:jc w:val="left"/>
        <w:rPr>
          <w:rFonts w:hint="eastAsia" w:ascii="宋体" w:hAnsi="宋体"/>
          <w:b/>
          <w:color w:val="auto"/>
          <w:sz w:val="24"/>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691D1292">
      <w:pPr>
        <w:snapToGrid w:val="0"/>
        <w:spacing w:before="120" w:beforeLines="50" w:after="50"/>
        <w:jc w:val="center"/>
        <w:rPr>
          <w:rFonts w:ascii="宋体" w:hAnsi="宋体"/>
          <w:color w:val="auto"/>
          <w:sz w:val="44"/>
          <w:szCs w:val="44"/>
        </w:rPr>
      </w:pPr>
    </w:p>
    <w:p w14:paraId="44106A06">
      <w:pPr>
        <w:snapToGrid w:val="0"/>
        <w:spacing w:before="120" w:beforeLines="50" w:after="50"/>
        <w:jc w:val="center"/>
        <w:rPr>
          <w:rFonts w:ascii="宋体" w:hAnsi="宋体"/>
          <w:color w:val="auto"/>
          <w:sz w:val="44"/>
          <w:szCs w:val="44"/>
        </w:rPr>
      </w:pPr>
      <w:r>
        <w:rPr>
          <w:rFonts w:hint="eastAsia" w:ascii="宋体" w:hAnsi="宋体"/>
          <w:color w:val="auto"/>
          <w:sz w:val="44"/>
          <w:szCs w:val="44"/>
        </w:rPr>
        <w:t>电 子 响 应 文 件</w:t>
      </w:r>
    </w:p>
    <w:p w14:paraId="67CDB1AA">
      <w:pPr>
        <w:snapToGrid w:val="0"/>
        <w:spacing w:before="120" w:beforeLines="50" w:after="50"/>
        <w:rPr>
          <w:rFonts w:hint="eastAsia" w:ascii="宋体" w:hAnsi="宋体"/>
          <w:color w:val="auto"/>
          <w:sz w:val="24"/>
          <w:szCs w:val="20"/>
        </w:rPr>
      </w:pPr>
    </w:p>
    <w:p w14:paraId="569646EA">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w:t>
      </w:r>
    </w:p>
    <w:p w14:paraId="3C016C69">
      <w:pPr>
        <w:snapToGrid w:val="0"/>
        <w:spacing w:before="120" w:beforeLines="50" w:after="50"/>
        <w:rPr>
          <w:rFonts w:hint="eastAsia" w:ascii="宋体" w:hAnsi="宋体"/>
          <w:bCs/>
          <w:color w:val="auto"/>
          <w:sz w:val="24"/>
          <w:szCs w:val="20"/>
        </w:rPr>
      </w:pPr>
    </w:p>
    <w:p w14:paraId="4978FB55">
      <w:pPr>
        <w:snapToGrid w:val="0"/>
        <w:spacing w:before="120" w:beforeLines="50" w:after="50"/>
        <w:rPr>
          <w:rFonts w:hint="eastAsia" w:ascii="宋体" w:hAnsi="宋体"/>
          <w:bCs/>
          <w:color w:val="auto"/>
          <w:sz w:val="24"/>
          <w:szCs w:val="20"/>
        </w:rPr>
      </w:pPr>
    </w:p>
    <w:p w14:paraId="171CAF03">
      <w:pPr>
        <w:snapToGrid w:val="0"/>
        <w:spacing w:before="120" w:beforeLines="50" w:after="50"/>
        <w:rPr>
          <w:rFonts w:hint="eastAsia" w:ascii="宋体" w:hAnsi="宋体"/>
          <w:bCs/>
          <w:color w:val="auto"/>
          <w:sz w:val="24"/>
          <w:szCs w:val="20"/>
        </w:rPr>
      </w:pPr>
    </w:p>
    <w:p w14:paraId="64B3C752">
      <w:pPr>
        <w:snapToGrid w:val="0"/>
        <w:spacing w:before="120" w:beforeLines="50" w:after="50"/>
        <w:rPr>
          <w:rFonts w:hint="eastAsia" w:ascii="宋体" w:hAnsi="宋体"/>
          <w:bCs/>
          <w:color w:val="auto"/>
          <w:sz w:val="24"/>
          <w:szCs w:val="20"/>
        </w:rPr>
      </w:pPr>
    </w:p>
    <w:p w14:paraId="4C36C6BF">
      <w:pPr>
        <w:snapToGrid w:val="0"/>
        <w:spacing w:before="120" w:beforeLines="50" w:after="50"/>
        <w:rPr>
          <w:rFonts w:hint="eastAsia" w:ascii="宋体" w:hAnsi="宋体"/>
          <w:bCs/>
          <w:color w:val="auto"/>
          <w:sz w:val="24"/>
          <w:szCs w:val="20"/>
        </w:rPr>
      </w:pPr>
    </w:p>
    <w:p w14:paraId="29C7B68B">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0E63C899">
      <w:pPr>
        <w:snapToGrid w:val="0"/>
        <w:spacing w:before="120" w:beforeLines="50" w:after="50"/>
        <w:ind w:firstLine="720" w:firstLineChars="225"/>
        <w:rPr>
          <w:rFonts w:hint="eastAsia" w:ascii="宋体" w:hAnsi="宋体" w:cs="仿宋_GB2312"/>
          <w:bCs/>
          <w:color w:val="auto"/>
          <w:sz w:val="32"/>
          <w:szCs w:val="32"/>
        </w:rPr>
      </w:pPr>
    </w:p>
    <w:p w14:paraId="47A9F753">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085E5CD8">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6096F43B">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4501D5C6">
      <w:pPr>
        <w:snapToGrid w:val="0"/>
        <w:spacing w:before="120" w:beforeLines="50" w:after="50"/>
        <w:ind w:firstLine="720" w:firstLineChars="225"/>
        <w:rPr>
          <w:rFonts w:hint="eastAsia" w:ascii="宋体" w:hAnsi="宋体" w:cs="仿宋_GB2312"/>
          <w:bCs/>
          <w:color w:val="auto"/>
          <w:sz w:val="32"/>
          <w:szCs w:val="32"/>
        </w:rPr>
      </w:pPr>
    </w:p>
    <w:p w14:paraId="1FD6466B">
      <w:pPr>
        <w:pStyle w:val="10"/>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251A11D1">
      <w:pPr>
        <w:snapToGrid w:val="0"/>
        <w:spacing w:before="120" w:beforeLines="50" w:after="50"/>
        <w:ind w:firstLine="640" w:firstLineChars="200"/>
        <w:rPr>
          <w:rFonts w:hint="eastAsia" w:ascii="宋体" w:hAnsi="宋体" w:cs="仿宋_GB2312"/>
          <w:bCs/>
          <w:color w:val="auto"/>
          <w:sz w:val="32"/>
          <w:szCs w:val="32"/>
        </w:rPr>
      </w:pPr>
    </w:p>
    <w:p w14:paraId="1E94D480">
      <w:pPr>
        <w:pStyle w:val="10"/>
        <w:snapToGrid w:val="0"/>
        <w:spacing w:before="50" w:after="50"/>
        <w:ind w:firstLine="720" w:firstLineChars="225"/>
        <w:rPr>
          <w:rFonts w:hint="eastAsia" w:ascii="宋体" w:hAnsi="宋体" w:cs="仿宋_GB2312"/>
          <w:bCs/>
          <w:color w:val="auto"/>
          <w:sz w:val="32"/>
          <w:szCs w:val="32"/>
        </w:rPr>
      </w:pPr>
    </w:p>
    <w:p w14:paraId="3F92D8E8">
      <w:pPr>
        <w:pStyle w:val="10"/>
        <w:snapToGrid w:val="0"/>
        <w:spacing w:before="50" w:after="50"/>
        <w:ind w:firstLine="720" w:firstLineChars="225"/>
        <w:rPr>
          <w:rFonts w:hint="eastAsia" w:ascii="宋体" w:hAnsi="宋体" w:cs="仿宋_GB2312"/>
          <w:bCs/>
          <w:color w:val="auto"/>
          <w:sz w:val="32"/>
          <w:szCs w:val="32"/>
        </w:rPr>
      </w:pPr>
    </w:p>
    <w:p w14:paraId="2EBACDCE">
      <w:pPr>
        <w:pStyle w:val="10"/>
        <w:snapToGrid w:val="0"/>
        <w:spacing w:before="50" w:after="50"/>
        <w:ind w:firstLine="1280" w:firstLineChars="400"/>
        <w:rPr>
          <w:rFonts w:hint="eastAsia" w:ascii="宋体" w:hAnsi="宋体" w:cs="仿宋_GB2312"/>
          <w:bCs/>
          <w:color w:val="auto"/>
          <w:sz w:val="32"/>
          <w:szCs w:val="32"/>
        </w:rPr>
      </w:pPr>
    </w:p>
    <w:p w14:paraId="06FF5836">
      <w:pPr>
        <w:snapToGrid w:val="0"/>
        <w:spacing w:before="120"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7DF5B694">
      <w:pPr>
        <w:snapToGrid w:val="0"/>
        <w:spacing w:before="120" w:beforeLines="50" w:after="50" w:line="360" w:lineRule="auto"/>
        <w:ind w:left="142"/>
        <w:jc w:val="left"/>
        <w:rPr>
          <w:rFonts w:hint="eastAsia"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4BA7B7EE">
      <w:pPr>
        <w:snapToGrid w:val="0"/>
        <w:spacing w:before="120" w:beforeLines="50" w:after="50" w:line="360" w:lineRule="auto"/>
        <w:ind w:firstLine="645"/>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4CFFEAFD">
      <w:pPr>
        <w:snapToGrid w:val="0"/>
        <w:spacing w:before="120" w:beforeLines="50" w:after="50"/>
        <w:rPr>
          <w:rFonts w:ascii="宋体" w:hAnsi="宋体"/>
          <w:color w:val="auto"/>
          <w:sz w:val="24"/>
          <w:szCs w:val="20"/>
        </w:rPr>
      </w:pPr>
      <w:r>
        <w:rPr>
          <w:rFonts w:ascii="宋体" w:hAnsi="宋体"/>
          <w:color w:val="auto"/>
          <w:sz w:val="24"/>
          <w:szCs w:val="20"/>
        </w:rPr>
        <w:t xml:space="preserve"> </w:t>
      </w:r>
    </w:p>
    <w:p w14:paraId="32B74C11">
      <w:pPr>
        <w:spacing w:line="300" w:lineRule="auto"/>
        <w:rPr>
          <w:rFonts w:hint="eastAsia" w:ascii="宋体" w:hAnsi="宋体"/>
          <w:color w:val="auto"/>
          <w:szCs w:val="21"/>
        </w:rPr>
      </w:pPr>
    </w:p>
    <w:p w14:paraId="6BEB80EB">
      <w:pPr>
        <w:spacing w:line="300" w:lineRule="auto"/>
        <w:rPr>
          <w:rFonts w:hint="eastAsia" w:ascii="宋体" w:hAnsi="宋体"/>
          <w:color w:val="auto"/>
          <w:szCs w:val="21"/>
        </w:rPr>
      </w:pPr>
    </w:p>
    <w:p w14:paraId="5CD7E47E">
      <w:pPr>
        <w:spacing w:line="300" w:lineRule="auto"/>
        <w:rPr>
          <w:rFonts w:hint="eastAsia" w:ascii="宋体" w:hAnsi="宋体"/>
          <w:color w:val="auto"/>
          <w:szCs w:val="21"/>
        </w:rPr>
      </w:pPr>
    </w:p>
    <w:p w14:paraId="4D27201E">
      <w:pPr>
        <w:spacing w:line="300" w:lineRule="auto"/>
        <w:rPr>
          <w:rFonts w:hint="eastAsia" w:ascii="宋体" w:hAnsi="宋体"/>
          <w:color w:val="auto"/>
          <w:szCs w:val="21"/>
        </w:rPr>
      </w:pPr>
    </w:p>
    <w:p w14:paraId="4660B7AD">
      <w:pPr>
        <w:spacing w:line="300" w:lineRule="auto"/>
        <w:rPr>
          <w:rFonts w:hint="eastAsia" w:ascii="宋体" w:hAnsi="宋体"/>
          <w:color w:val="auto"/>
          <w:szCs w:val="21"/>
        </w:rPr>
      </w:pPr>
    </w:p>
    <w:p w14:paraId="04520D4F">
      <w:pPr>
        <w:spacing w:line="300" w:lineRule="auto"/>
        <w:rPr>
          <w:rFonts w:hint="eastAsia" w:ascii="宋体" w:hAnsi="宋体"/>
          <w:color w:val="auto"/>
          <w:szCs w:val="21"/>
        </w:rPr>
      </w:pPr>
    </w:p>
    <w:p w14:paraId="5350FAB2">
      <w:pPr>
        <w:spacing w:line="300" w:lineRule="auto"/>
        <w:rPr>
          <w:rFonts w:hint="eastAsia" w:ascii="宋体" w:hAnsi="宋体"/>
          <w:color w:val="auto"/>
          <w:szCs w:val="21"/>
        </w:rPr>
      </w:pPr>
    </w:p>
    <w:p w14:paraId="74BA1707">
      <w:pPr>
        <w:spacing w:line="300" w:lineRule="auto"/>
        <w:rPr>
          <w:rFonts w:hint="eastAsia" w:ascii="宋体" w:hAnsi="宋体"/>
          <w:color w:val="auto"/>
          <w:szCs w:val="21"/>
        </w:rPr>
      </w:pPr>
    </w:p>
    <w:p w14:paraId="37E9FB75">
      <w:pPr>
        <w:spacing w:line="300" w:lineRule="auto"/>
        <w:rPr>
          <w:rFonts w:hint="eastAsia" w:ascii="宋体" w:hAnsi="宋体"/>
          <w:color w:val="auto"/>
          <w:szCs w:val="21"/>
        </w:rPr>
      </w:pPr>
    </w:p>
    <w:p w14:paraId="2BA75E22">
      <w:pPr>
        <w:spacing w:line="300" w:lineRule="auto"/>
        <w:rPr>
          <w:rFonts w:hint="eastAsia" w:ascii="宋体" w:hAnsi="宋体"/>
          <w:color w:val="auto"/>
          <w:szCs w:val="21"/>
        </w:rPr>
      </w:pPr>
    </w:p>
    <w:p w14:paraId="46437700">
      <w:pPr>
        <w:spacing w:line="300" w:lineRule="auto"/>
        <w:rPr>
          <w:rFonts w:hint="eastAsia" w:ascii="宋体" w:hAnsi="宋体"/>
          <w:color w:val="auto"/>
          <w:szCs w:val="21"/>
        </w:rPr>
      </w:pPr>
    </w:p>
    <w:p w14:paraId="39DB1C3B">
      <w:pPr>
        <w:spacing w:line="300" w:lineRule="auto"/>
        <w:rPr>
          <w:rFonts w:hint="eastAsia" w:ascii="宋体" w:hAnsi="宋体"/>
          <w:color w:val="auto"/>
          <w:szCs w:val="21"/>
        </w:rPr>
      </w:pPr>
    </w:p>
    <w:p w14:paraId="4093DB32">
      <w:pPr>
        <w:spacing w:line="300" w:lineRule="auto"/>
        <w:rPr>
          <w:rFonts w:hint="eastAsia" w:ascii="宋体" w:hAnsi="宋体"/>
          <w:color w:val="auto"/>
          <w:szCs w:val="21"/>
        </w:rPr>
      </w:pPr>
    </w:p>
    <w:p w14:paraId="0771B5D3">
      <w:pPr>
        <w:spacing w:line="300" w:lineRule="auto"/>
        <w:rPr>
          <w:rFonts w:hint="eastAsia" w:ascii="宋体" w:hAnsi="宋体"/>
          <w:color w:val="auto"/>
          <w:szCs w:val="21"/>
        </w:rPr>
      </w:pPr>
    </w:p>
    <w:p w14:paraId="00DE807E">
      <w:pPr>
        <w:spacing w:line="300" w:lineRule="auto"/>
        <w:rPr>
          <w:rFonts w:hint="eastAsia" w:ascii="宋体" w:hAnsi="宋体"/>
          <w:color w:val="auto"/>
          <w:szCs w:val="21"/>
        </w:rPr>
      </w:pPr>
    </w:p>
    <w:p w14:paraId="1F760ED3">
      <w:pPr>
        <w:spacing w:line="320" w:lineRule="exact"/>
        <w:jc w:val="left"/>
        <w:rPr>
          <w:rFonts w:hint="eastAsia" w:ascii="宋体" w:hAnsi="宋体"/>
          <w:color w:val="auto"/>
          <w:szCs w:val="21"/>
        </w:rPr>
      </w:pPr>
      <w:r>
        <w:rPr>
          <w:rFonts w:ascii="宋体" w:hAnsi="宋体"/>
          <w:color w:val="auto"/>
          <w:szCs w:val="21"/>
        </w:rPr>
        <w:br w:type="page"/>
      </w:r>
      <w:r>
        <w:rPr>
          <w:rFonts w:hint="eastAsia" w:ascii="宋体" w:hAnsi="宋体"/>
          <w:color w:val="auto"/>
          <w:szCs w:val="21"/>
        </w:rPr>
        <w:t xml:space="preserve"> </w:t>
      </w:r>
    </w:p>
    <w:p w14:paraId="7EB35548">
      <w:pPr>
        <w:wordWrap w:val="0"/>
        <w:spacing w:before="120" w:beforeLines="50" w:after="50" w:line="320" w:lineRule="exact"/>
        <w:ind w:right="482" w:firstLine="210" w:firstLineChars="100"/>
        <w:contextualSpacing/>
        <w:jc w:val="center"/>
        <w:rPr>
          <w:rFonts w:hint="eastAsia" w:ascii="宋体" w:hAnsi="宋体"/>
          <w:color w:val="auto"/>
          <w:szCs w:val="21"/>
        </w:rPr>
      </w:pPr>
    </w:p>
    <w:p w14:paraId="2B29939B">
      <w:pPr>
        <w:spacing w:line="320" w:lineRule="exact"/>
        <w:jc w:val="center"/>
        <w:rPr>
          <w:rFonts w:hint="eastAsia" w:ascii="宋体" w:hAnsi="宋体"/>
          <w:b/>
          <w:color w:val="auto"/>
          <w:sz w:val="32"/>
          <w:szCs w:val="32"/>
        </w:rPr>
      </w:pPr>
      <w:r>
        <w:rPr>
          <w:rFonts w:hint="eastAsia" w:ascii="宋体" w:hAnsi="宋体"/>
          <w:b/>
          <w:color w:val="auto"/>
          <w:sz w:val="32"/>
          <w:szCs w:val="32"/>
        </w:rPr>
        <w:t>供应商直接控股、管理关系信息表</w:t>
      </w:r>
    </w:p>
    <w:p w14:paraId="15909D17">
      <w:pPr>
        <w:snapToGrid w:val="0"/>
        <w:spacing w:before="120" w:beforeLines="50" w:after="50" w:line="360" w:lineRule="auto"/>
        <w:jc w:val="center"/>
        <w:rPr>
          <w:rFonts w:hint="eastAsia" w:ascii="宋体" w:hAnsi="宋体"/>
          <w:b/>
          <w:color w:val="auto"/>
          <w:sz w:val="24"/>
        </w:rPr>
      </w:pPr>
    </w:p>
    <w:p w14:paraId="1E644438">
      <w:pPr>
        <w:spacing w:line="360" w:lineRule="auto"/>
        <w:contextualSpacing/>
        <w:jc w:val="center"/>
        <w:rPr>
          <w:rFonts w:hint="eastAsia" w:ascii="宋体" w:hAnsi="宋体"/>
          <w:b/>
          <w:color w:val="auto"/>
          <w:sz w:val="32"/>
          <w:szCs w:val="32"/>
        </w:rPr>
      </w:pPr>
      <w:r>
        <w:rPr>
          <w:rFonts w:hint="eastAsia" w:ascii="宋体" w:hAnsi="宋体"/>
          <w:b/>
          <w:color w:val="auto"/>
          <w:sz w:val="32"/>
          <w:szCs w:val="32"/>
        </w:rPr>
        <w:t>供应商直接控股股东信息表</w:t>
      </w:r>
    </w:p>
    <w:p w14:paraId="52AEE39E">
      <w:pPr>
        <w:spacing w:line="360" w:lineRule="auto"/>
        <w:contextualSpacing/>
        <w:jc w:val="center"/>
        <w:rPr>
          <w:rFonts w:hint="eastAsia" w:ascii="宋体" w:hAnsi="宋体"/>
          <w:b/>
          <w:color w:val="auto"/>
          <w:sz w:val="24"/>
        </w:rPr>
      </w:pPr>
    </w:p>
    <w:tbl>
      <w:tblPr>
        <w:tblStyle w:val="45"/>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955453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C1E37E">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B41C47">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FE16A1">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710FD8">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62D83E">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6AA18A8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5B17E2">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7A6510">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EA81A9">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E07787">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EA6173">
            <w:pPr>
              <w:widowControl/>
              <w:spacing w:line="360" w:lineRule="auto"/>
              <w:contextualSpacing/>
              <w:jc w:val="center"/>
              <w:rPr>
                <w:rFonts w:hint="eastAsia" w:ascii="宋体" w:hAnsi="宋体" w:cs="宋体"/>
                <w:color w:val="auto"/>
                <w:kern w:val="0"/>
                <w:sz w:val="24"/>
              </w:rPr>
            </w:pPr>
          </w:p>
        </w:tc>
      </w:tr>
      <w:tr w14:paraId="63FD686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4D0420">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DEF986">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59894D">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FF4B32">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6047F2">
            <w:pPr>
              <w:widowControl/>
              <w:spacing w:line="360" w:lineRule="auto"/>
              <w:contextualSpacing/>
              <w:jc w:val="center"/>
              <w:rPr>
                <w:rFonts w:hint="eastAsia" w:ascii="宋体" w:hAnsi="宋体" w:cs="宋体"/>
                <w:color w:val="auto"/>
                <w:kern w:val="0"/>
                <w:sz w:val="24"/>
              </w:rPr>
            </w:pPr>
          </w:p>
        </w:tc>
      </w:tr>
      <w:tr w14:paraId="5AFD60E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E2189E">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D70984">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866047">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126F32">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FC9C07">
            <w:pPr>
              <w:widowControl/>
              <w:spacing w:line="360" w:lineRule="auto"/>
              <w:contextualSpacing/>
              <w:jc w:val="center"/>
              <w:rPr>
                <w:rFonts w:hint="eastAsia" w:ascii="宋体" w:hAnsi="宋体" w:cs="宋体"/>
                <w:color w:val="auto"/>
                <w:kern w:val="0"/>
                <w:sz w:val="24"/>
              </w:rPr>
            </w:pPr>
          </w:p>
        </w:tc>
      </w:tr>
      <w:tr w14:paraId="1286775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8F6EDC">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95B24">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2054AA">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F824B8">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25B4AE">
            <w:pPr>
              <w:widowControl/>
              <w:spacing w:line="360" w:lineRule="auto"/>
              <w:contextualSpacing/>
              <w:jc w:val="center"/>
              <w:rPr>
                <w:rFonts w:hint="eastAsia" w:ascii="宋体" w:hAnsi="宋体" w:cs="宋体"/>
                <w:color w:val="auto"/>
                <w:kern w:val="0"/>
                <w:sz w:val="24"/>
              </w:rPr>
            </w:pPr>
          </w:p>
        </w:tc>
      </w:tr>
    </w:tbl>
    <w:p w14:paraId="71ED01BC">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14:paraId="3A22E6CF">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2FED53A">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309D4D67">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14:paraId="545D2D5F">
      <w:pPr>
        <w:spacing w:line="360" w:lineRule="auto"/>
        <w:ind w:firstLine="420" w:firstLineChars="200"/>
        <w:contextualSpacing/>
        <w:jc w:val="left"/>
        <w:rPr>
          <w:rFonts w:ascii="宋体" w:hAnsi="宋体" w:cs="宋体"/>
          <w:color w:val="auto"/>
          <w:szCs w:val="21"/>
        </w:rPr>
      </w:pPr>
    </w:p>
    <w:p w14:paraId="7B77B96D">
      <w:pPr>
        <w:spacing w:line="360" w:lineRule="auto"/>
        <w:ind w:firstLine="560" w:firstLineChars="200"/>
        <w:contextualSpacing/>
        <w:jc w:val="left"/>
        <w:rPr>
          <w:rFonts w:hint="eastAsia" w:ascii="宋体" w:hAnsi="宋体" w:cs="宋体"/>
          <w:color w:val="auto"/>
          <w:sz w:val="28"/>
          <w:szCs w:val="28"/>
        </w:rPr>
      </w:pPr>
    </w:p>
    <w:p w14:paraId="03E6867B">
      <w:pPr>
        <w:spacing w:line="360" w:lineRule="auto"/>
        <w:ind w:right="480"/>
        <w:contextualSpacing/>
        <w:jc w:val="center"/>
        <w:rPr>
          <w:rFonts w:hint="eastAsia" w:ascii="宋体" w:hAnsi="宋体" w:cs="宋体"/>
          <w:color w:val="auto"/>
          <w:sz w:val="24"/>
          <w:u w:val="single"/>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法定代表人或者委托代理人</w:t>
      </w:r>
      <w:r>
        <w:rPr>
          <w:rFonts w:hint="eastAsia" w:ascii="宋体" w:hAnsi="宋体"/>
          <w:color w:val="auto"/>
          <w:sz w:val="24"/>
        </w:rPr>
        <w:t>（签字或者电子签名）</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198C7F1B">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w:t>
      </w:r>
      <w:r>
        <w:rPr>
          <w:rFonts w:hint="eastAsia" w:ascii="宋体" w:hAnsi="宋体"/>
          <w:color w:val="auto"/>
          <w:sz w:val="24"/>
        </w:rPr>
        <w:t>（电子签章）</w:t>
      </w:r>
      <w:r>
        <w:rPr>
          <w:rFonts w:hint="eastAsia" w:ascii="宋体" w:hAnsi="宋体" w:cs="宋体"/>
          <w:color w:val="auto"/>
          <w:sz w:val="24"/>
        </w:rPr>
        <w:t xml:space="preserve">： </w:t>
      </w:r>
      <w:r>
        <w:rPr>
          <w:rFonts w:hint="eastAsia" w:ascii="宋体" w:hAnsi="宋体" w:cs="宋体"/>
          <w:color w:val="auto"/>
          <w:sz w:val="24"/>
          <w:u w:val="single"/>
        </w:rPr>
        <w:t xml:space="preserve">                              </w:t>
      </w:r>
    </w:p>
    <w:p w14:paraId="26CD0C97">
      <w:pPr>
        <w:spacing w:line="360" w:lineRule="auto"/>
        <w:ind w:firstLine="480" w:firstLineChars="200"/>
        <w:contextualSpacing/>
        <w:jc w:val="right"/>
        <w:rPr>
          <w:rFonts w:hint="eastAsia" w:ascii="宋体" w:hAnsi="宋体" w:cs="宋体"/>
          <w:color w:val="auto"/>
          <w:sz w:val="28"/>
          <w:szCs w:val="28"/>
        </w:rPr>
      </w:pPr>
      <w:r>
        <w:rPr>
          <w:rFonts w:hint="eastAsia" w:ascii="宋体" w:hAnsi="宋体" w:cs="宋体"/>
          <w:color w:val="auto"/>
          <w:sz w:val="24"/>
        </w:rPr>
        <w:t>年    月    日</w:t>
      </w:r>
    </w:p>
    <w:p w14:paraId="6F07F981">
      <w:pPr>
        <w:snapToGrid w:val="0"/>
        <w:jc w:val="center"/>
        <w:rPr>
          <w:rFonts w:hint="eastAsia" w:ascii="宋体" w:hAnsi="宋体"/>
          <w:b/>
          <w:color w:val="auto"/>
          <w:sz w:val="28"/>
          <w:szCs w:val="28"/>
        </w:rPr>
      </w:pPr>
      <w:r>
        <w:rPr>
          <w:rFonts w:ascii="宋体" w:hAnsi="宋体"/>
          <w:b/>
          <w:color w:val="auto"/>
          <w:sz w:val="28"/>
          <w:szCs w:val="28"/>
        </w:rPr>
        <w:br w:type="page"/>
      </w:r>
    </w:p>
    <w:p w14:paraId="44335774">
      <w:pPr>
        <w:spacing w:line="320" w:lineRule="exact"/>
        <w:jc w:val="center"/>
        <w:rPr>
          <w:rFonts w:hint="eastAsia" w:ascii="宋体" w:hAnsi="宋体"/>
          <w:b/>
          <w:color w:val="auto"/>
          <w:sz w:val="32"/>
          <w:szCs w:val="32"/>
        </w:rPr>
      </w:pPr>
      <w:r>
        <w:rPr>
          <w:rFonts w:hint="eastAsia" w:ascii="宋体" w:hAnsi="宋体"/>
          <w:b/>
          <w:color w:val="auto"/>
          <w:sz w:val="32"/>
          <w:szCs w:val="32"/>
        </w:rPr>
        <w:t>供应商直接管理关系信息表</w:t>
      </w:r>
    </w:p>
    <w:p w14:paraId="55B6260B">
      <w:pPr>
        <w:snapToGrid w:val="0"/>
        <w:spacing w:line="360" w:lineRule="auto"/>
        <w:jc w:val="center"/>
        <w:rPr>
          <w:rFonts w:hint="eastAsia" w:ascii="宋体" w:hAnsi="宋体"/>
          <w:b/>
          <w:color w:val="auto"/>
          <w:sz w:val="24"/>
        </w:rPr>
      </w:pPr>
    </w:p>
    <w:tbl>
      <w:tblPr>
        <w:tblStyle w:val="4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4EDDF1C">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1707DA">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2B2FB0">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047683">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961170">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相互关系</w:t>
            </w:r>
          </w:p>
        </w:tc>
      </w:tr>
      <w:tr w14:paraId="2498C05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4FB06E">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D6D4A7">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AEE797">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1E93E0">
            <w:pPr>
              <w:widowControl/>
              <w:spacing w:line="360" w:lineRule="auto"/>
              <w:contextualSpacing/>
              <w:jc w:val="center"/>
              <w:rPr>
                <w:rFonts w:ascii="宋体" w:hAnsi="宋体" w:cs="宋体"/>
                <w:color w:val="auto"/>
                <w:kern w:val="0"/>
                <w:sz w:val="24"/>
              </w:rPr>
            </w:pPr>
          </w:p>
        </w:tc>
      </w:tr>
      <w:tr w14:paraId="6BB138C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5CD098">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71ACA7">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64FF52">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26A92A">
            <w:pPr>
              <w:widowControl/>
              <w:spacing w:line="360" w:lineRule="auto"/>
              <w:contextualSpacing/>
              <w:jc w:val="center"/>
              <w:rPr>
                <w:rFonts w:ascii="宋体" w:hAnsi="宋体" w:cs="宋体"/>
                <w:color w:val="auto"/>
                <w:kern w:val="0"/>
                <w:sz w:val="24"/>
              </w:rPr>
            </w:pPr>
          </w:p>
        </w:tc>
      </w:tr>
      <w:tr w14:paraId="767DC16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436BF">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ED66FD">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347A43">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960874">
            <w:pPr>
              <w:widowControl/>
              <w:spacing w:line="360" w:lineRule="auto"/>
              <w:contextualSpacing/>
              <w:jc w:val="center"/>
              <w:rPr>
                <w:rFonts w:ascii="宋体" w:hAnsi="宋体" w:cs="宋体"/>
                <w:color w:val="auto"/>
                <w:kern w:val="0"/>
                <w:sz w:val="24"/>
              </w:rPr>
            </w:pPr>
          </w:p>
        </w:tc>
      </w:tr>
      <w:tr w14:paraId="4DE7443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43EA3B">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25ACEA">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B7600D">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487D9D">
            <w:pPr>
              <w:widowControl/>
              <w:spacing w:line="360" w:lineRule="auto"/>
              <w:contextualSpacing/>
              <w:jc w:val="center"/>
              <w:rPr>
                <w:rFonts w:ascii="宋体" w:hAnsi="宋体" w:cs="宋体"/>
                <w:color w:val="auto"/>
                <w:kern w:val="0"/>
                <w:sz w:val="24"/>
              </w:rPr>
            </w:pPr>
          </w:p>
        </w:tc>
      </w:tr>
    </w:tbl>
    <w:p w14:paraId="31663CCE">
      <w:pPr>
        <w:spacing w:line="360" w:lineRule="auto"/>
        <w:contextualSpacing/>
        <w:jc w:val="left"/>
        <w:rPr>
          <w:rFonts w:hint="eastAsia" w:ascii="宋体" w:hAnsi="宋体"/>
          <w:color w:val="auto"/>
          <w:sz w:val="24"/>
        </w:rPr>
      </w:pPr>
      <w:r>
        <w:rPr>
          <w:rFonts w:hint="eastAsia" w:ascii="宋体" w:hAnsi="宋体"/>
          <w:color w:val="auto"/>
          <w:sz w:val="24"/>
        </w:rPr>
        <w:t>注：</w:t>
      </w:r>
    </w:p>
    <w:p w14:paraId="47D41443">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04F88EDE">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1E9C6DF1">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14:paraId="61154FFA">
      <w:pPr>
        <w:spacing w:line="360" w:lineRule="auto"/>
        <w:contextualSpacing/>
        <w:jc w:val="left"/>
        <w:rPr>
          <w:rFonts w:hint="eastAsia" w:ascii="宋体" w:hAnsi="宋体"/>
          <w:color w:val="auto"/>
          <w:sz w:val="28"/>
          <w:szCs w:val="28"/>
        </w:rPr>
      </w:pPr>
    </w:p>
    <w:p w14:paraId="3BD1F3EA">
      <w:pPr>
        <w:spacing w:line="360" w:lineRule="auto"/>
        <w:contextualSpacing/>
        <w:jc w:val="left"/>
        <w:rPr>
          <w:rFonts w:hint="eastAsia" w:ascii="宋体" w:hAnsi="宋体"/>
          <w:color w:val="auto"/>
          <w:sz w:val="28"/>
          <w:szCs w:val="28"/>
        </w:rPr>
      </w:pPr>
    </w:p>
    <w:p w14:paraId="0A473B11">
      <w:pPr>
        <w:spacing w:line="360" w:lineRule="auto"/>
        <w:contextualSpacing/>
        <w:jc w:val="left"/>
        <w:rPr>
          <w:rFonts w:hint="eastAsia"/>
          <w:color w:val="auto"/>
          <w:sz w:val="28"/>
          <w:szCs w:val="28"/>
        </w:rPr>
      </w:pPr>
    </w:p>
    <w:p w14:paraId="796EFD30">
      <w:pPr>
        <w:spacing w:line="360" w:lineRule="auto"/>
        <w:contextualSpacing/>
        <w:jc w:val="left"/>
        <w:rPr>
          <w:rFonts w:hint="eastAsia"/>
          <w:color w:val="auto"/>
          <w:sz w:val="28"/>
          <w:szCs w:val="28"/>
        </w:rPr>
      </w:pPr>
    </w:p>
    <w:p w14:paraId="7EC73FFF">
      <w:pPr>
        <w:spacing w:line="360" w:lineRule="auto"/>
        <w:contextualSpacing/>
        <w:jc w:val="left"/>
        <w:rPr>
          <w:rFonts w:hint="eastAsia"/>
          <w:color w:val="auto"/>
          <w:sz w:val="28"/>
          <w:szCs w:val="28"/>
        </w:rPr>
      </w:pPr>
    </w:p>
    <w:p w14:paraId="648B902E">
      <w:pPr>
        <w:spacing w:line="360" w:lineRule="auto"/>
        <w:contextualSpacing/>
        <w:jc w:val="left"/>
        <w:rPr>
          <w:rFonts w:hint="eastAsia" w:ascii="宋体" w:hAnsi="宋体"/>
          <w:color w:val="auto"/>
          <w:sz w:val="28"/>
          <w:szCs w:val="28"/>
        </w:rPr>
      </w:pPr>
    </w:p>
    <w:p w14:paraId="3FDD33C9">
      <w:pPr>
        <w:spacing w:line="360" w:lineRule="auto"/>
        <w:ind w:right="480"/>
        <w:contextualSpacing/>
        <w:jc w:val="center"/>
        <w:rPr>
          <w:rFonts w:hint="eastAsia" w:ascii="宋体" w:hAnsi="宋体"/>
          <w:color w:val="auto"/>
          <w:sz w:val="24"/>
          <w:u w:val="single"/>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法定代表人或者委托代理人（签字或者电子签名）：</w:t>
      </w:r>
      <w:r>
        <w:rPr>
          <w:rFonts w:hint="eastAsia" w:ascii="宋体" w:hAnsi="宋体"/>
          <w:color w:val="auto"/>
          <w:sz w:val="24"/>
          <w:u w:val="single"/>
        </w:rPr>
        <w:t xml:space="preserve"> </w:t>
      </w:r>
      <w:r>
        <w:rPr>
          <w:rFonts w:ascii="宋体" w:hAnsi="宋体"/>
          <w:color w:val="auto"/>
          <w:sz w:val="24"/>
          <w:u w:val="single"/>
        </w:rPr>
        <w:t xml:space="preserve">                  </w:t>
      </w:r>
    </w:p>
    <w:p w14:paraId="70178F83">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供应商（电子签章）：</w:t>
      </w:r>
      <w:r>
        <w:rPr>
          <w:rFonts w:hint="eastAsia" w:ascii="宋体" w:hAnsi="宋体"/>
          <w:color w:val="auto"/>
          <w:sz w:val="24"/>
          <w:u w:val="single"/>
        </w:rPr>
        <w:t xml:space="preserve">                </w:t>
      </w:r>
    </w:p>
    <w:p w14:paraId="5D510416">
      <w:pPr>
        <w:spacing w:line="360" w:lineRule="auto"/>
        <w:ind w:firstLine="480" w:firstLineChars="200"/>
        <w:contextualSpacing/>
        <w:jc w:val="left"/>
        <w:rPr>
          <w:rFonts w:ascii="宋体" w:hAnsi="宋体"/>
          <w:color w:val="auto"/>
          <w:sz w:val="28"/>
          <w:szCs w:val="28"/>
        </w:rPr>
      </w:pPr>
      <w:r>
        <w:rPr>
          <w:rFonts w:hint="eastAsia" w:ascii="宋体" w:hAnsi="宋体"/>
          <w:color w:val="auto"/>
          <w:sz w:val="24"/>
        </w:rPr>
        <w:t xml:space="preserve">                                        年    月    日</w:t>
      </w:r>
    </w:p>
    <w:p w14:paraId="22BC416E">
      <w:pPr>
        <w:spacing w:line="320" w:lineRule="exact"/>
        <w:jc w:val="center"/>
        <w:rPr>
          <w:rFonts w:hint="eastAsia" w:ascii="宋体" w:hAnsi="宋体"/>
          <w:b/>
          <w:color w:val="auto"/>
          <w:sz w:val="32"/>
          <w:szCs w:val="32"/>
        </w:rPr>
      </w:pPr>
      <w:r>
        <w:rPr>
          <w:rFonts w:ascii="宋体" w:hAnsi="宋体"/>
          <w:color w:val="auto"/>
          <w:sz w:val="28"/>
          <w:szCs w:val="28"/>
        </w:rPr>
        <w:br w:type="page"/>
      </w:r>
      <w:r>
        <w:rPr>
          <w:rFonts w:hint="eastAsia" w:ascii="宋体" w:hAnsi="宋体"/>
          <w:b/>
          <w:color w:val="auto"/>
          <w:sz w:val="32"/>
          <w:szCs w:val="32"/>
        </w:rPr>
        <w:t>竞标声明</w:t>
      </w:r>
    </w:p>
    <w:p w14:paraId="10E1E402">
      <w:pPr>
        <w:spacing w:line="320" w:lineRule="exact"/>
        <w:jc w:val="center"/>
        <w:rPr>
          <w:rFonts w:hint="eastAsia" w:ascii="宋体" w:hAnsi="宋体"/>
          <w:color w:val="auto"/>
          <w:sz w:val="24"/>
          <w:szCs w:val="20"/>
        </w:rPr>
      </w:pPr>
    </w:p>
    <w:p w14:paraId="79C50301">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6030E7A6">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6C17C56C">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（项目名称）（项目编号）</w:t>
      </w:r>
      <w:r>
        <w:rPr>
          <w:rFonts w:hint="eastAsia" w:ascii="宋体" w:hAnsi="宋体" w:cs="宋体"/>
          <w:color w:val="auto"/>
          <w:sz w:val="24"/>
        </w:rPr>
        <w:t>项目的竞标，为便于贵方公正、择优地确定成交供应商及其服务，我方就本次竞标有关事项郑重声明如下：</w:t>
      </w:r>
    </w:p>
    <w:p w14:paraId="764AD747">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14:paraId="673DAC5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41E4FE98">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14:paraId="2A7BA54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（1）将按磋商文件的约定履行合同责任和义务；</w:t>
      </w:r>
    </w:p>
    <w:p w14:paraId="4FCA6C5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（2）已详细审查全部磋商文件，包括澄清或者更正公告（如有）；</w:t>
      </w:r>
    </w:p>
    <w:p w14:paraId="5FE9F77C">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（3）同意提供按照贵方可能要求的与磋商有关的一切数据或者资料；</w:t>
      </w:r>
    </w:p>
    <w:p w14:paraId="0A03144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（4）响应磋商文件规定的竞标有效期。</w:t>
      </w:r>
    </w:p>
    <w:p w14:paraId="63CD6323">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14:paraId="6D44D63B">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14:paraId="68CF762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64FC5DA5">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7B094D8C">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6A7B3BC9">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5371E00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14:paraId="71A0D0D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5775CBE">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2E05EAC">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090D831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92DE48D">
      <w:pPr>
        <w:pStyle w:val="27"/>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7.与本磋商有关的一切正式往来信函请寄：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邮政编号：</w:t>
      </w:r>
      <w:r>
        <w:rPr>
          <w:rFonts w:hint="eastAsia" w:hAnsi="宋体" w:cs="宋体"/>
          <w:color w:val="auto"/>
          <w:sz w:val="24"/>
          <w:szCs w:val="24"/>
          <w:u w:val="single"/>
        </w:rPr>
        <w:t xml:space="preserve">        </w:t>
      </w:r>
    </w:p>
    <w:p w14:paraId="728DD6EA">
      <w:pPr>
        <w:pStyle w:val="27"/>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电子邮箱：</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67340D4A">
      <w:pPr>
        <w:pStyle w:val="22"/>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w:t>
      </w:r>
      <w:r>
        <w:rPr>
          <w:rFonts w:hint="eastAsia" w:ascii="宋体" w:hAnsi="宋体" w:cs="宋体"/>
          <w:color w:val="auto"/>
          <w:sz w:val="24"/>
          <w:u w:val="single"/>
        </w:rPr>
        <w:t xml:space="preserve">                               </w:t>
      </w:r>
    </w:p>
    <w:p w14:paraId="1954D0D4">
      <w:pPr>
        <w:pStyle w:val="22"/>
        <w:tabs>
          <w:tab w:val="left" w:pos="939"/>
        </w:tabs>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28FA6C30">
      <w:pPr>
        <w:pStyle w:val="22"/>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特此承诺。</w:t>
      </w:r>
    </w:p>
    <w:p w14:paraId="393DD789">
      <w:pPr>
        <w:spacing w:line="360" w:lineRule="auto"/>
        <w:ind w:firstLine="482" w:firstLineChars="200"/>
        <w:contextualSpacing/>
        <w:jc w:val="left"/>
        <w:rPr>
          <w:rFonts w:hint="eastAsia" w:ascii="宋体" w:hAnsi="宋体"/>
          <w:b/>
          <w:color w:val="auto"/>
          <w:sz w:val="24"/>
        </w:rPr>
      </w:pPr>
      <w:r>
        <w:rPr>
          <w:rFonts w:hint="eastAsia" w:ascii="宋体" w:hAnsi="宋体" w:cs="宋体"/>
          <w:b/>
          <w:color w:val="auto"/>
          <w:sz w:val="24"/>
        </w:rPr>
        <w:t>注：</w:t>
      </w:r>
      <w:r>
        <w:rPr>
          <w:rFonts w:hint="eastAsia" w:ascii="宋体" w:hAnsi="宋体"/>
          <w:b/>
          <w:color w:val="auto"/>
          <w:sz w:val="24"/>
        </w:rPr>
        <w:t>如为联合体竞标，盖章处须加盖联合体牵头人电子签章并由联合体牵头人法定代表人分别签字或者盖章或者电子签名，否则响应文件按无效处理。</w:t>
      </w:r>
    </w:p>
    <w:p w14:paraId="4485AEAF">
      <w:pPr>
        <w:spacing w:line="360" w:lineRule="auto"/>
        <w:contextualSpacing/>
        <w:jc w:val="left"/>
        <w:rPr>
          <w:rFonts w:hint="eastAsia" w:ascii="宋体" w:hAnsi="宋体" w:cs="宋体"/>
          <w:color w:val="auto"/>
          <w:szCs w:val="21"/>
        </w:rPr>
      </w:pPr>
    </w:p>
    <w:p w14:paraId="453C74A4">
      <w:pPr>
        <w:spacing w:line="360" w:lineRule="auto"/>
        <w:ind w:firstLine="1575" w:firstLineChars="750"/>
        <w:contextualSpacing/>
        <w:rPr>
          <w:rFonts w:hint="eastAsia"/>
          <w:color w:val="auto"/>
        </w:rPr>
      </w:pPr>
      <w:r>
        <w:rPr>
          <w:rFonts w:hint="eastAsia"/>
          <w:color w:val="auto"/>
        </w:rPr>
        <w:t>法定代表人（</w:t>
      </w:r>
      <w:r>
        <w:rPr>
          <w:rFonts w:hint="eastAsia" w:ascii="宋体" w:hAnsi="宋体"/>
          <w:color w:val="auto"/>
          <w:sz w:val="24"/>
        </w:rPr>
        <w:t>签字或者盖章或者电子签名</w:t>
      </w:r>
      <w:r>
        <w:rPr>
          <w:rFonts w:hint="eastAsia"/>
          <w:color w:val="auto"/>
        </w:rPr>
        <w:t>）：</w:t>
      </w:r>
      <w:r>
        <w:rPr>
          <w:rFonts w:hint="eastAsia"/>
          <w:color w:val="auto"/>
          <w:u w:val="single"/>
        </w:rPr>
        <w:t xml:space="preserve">               </w:t>
      </w:r>
      <w:r>
        <w:rPr>
          <w:rFonts w:hint="eastAsia"/>
          <w:color w:val="auto"/>
        </w:rPr>
        <w:t xml:space="preserve">                                     </w:t>
      </w:r>
    </w:p>
    <w:p w14:paraId="178FA2F3">
      <w:pPr>
        <w:spacing w:line="360" w:lineRule="auto"/>
        <w:ind w:firstLine="3780" w:firstLineChars="1800"/>
        <w:contextualSpacing/>
        <w:rPr>
          <w:rFonts w:hint="eastAsia" w:ascii="宋体" w:hAnsi="宋体" w:cs="宋体"/>
          <w:color w:val="auto"/>
          <w:szCs w:val="21"/>
          <w:u w:val="single"/>
        </w:rPr>
      </w:pPr>
      <w:r>
        <w:rPr>
          <w:rFonts w:hint="eastAsia"/>
          <w:color w:val="auto"/>
        </w:rPr>
        <w:t>供应商（电子签章）：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14:paraId="4CE52A77">
      <w:pPr>
        <w:pStyle w:val="22"/>
        <w:tabs>
          <w:tab w:val="left" w:pos="939"/>
        </w:tabs>
        <w:spacing w:line="360" w:lineRule="auto"/>
        <w:ind w:left="0" w:leftChars="0" w:firstLine="420" w:firstLineChars="200"/>
        <w:rPr>
          <w:rFonts w:hint="eastAsia"/>
          <w:color w:val="auto"/>
          <w:sz w:val="24"/>
        </w:rPr>
      </w:pPr>
      <w:r>
        <w:rPr>
          <w:rFonts w:hint="eastAsia" w:ascii="宋体" w:hAnsi="宋体" w:cs="宋体"/>
          <w:color w:val="auto"/>
          <w:szCs w:val="21"/>
        </w:rPr>
        <w:t xml:space="preserve">                                                        </w:t>
      </w:r>
      <w:r>
        <w:rPr>
          <w:rFonts w:hint="eastAsia"/>
          <w:color w:val="auto"/>
        </w:rPr>
        <w:t xml:space="preserve"> 年    月    日</w:t>
      </w:r>
    </w:p>
    <w:p w14:paraId="5DD8CC44">
      <w:pPr>
        <w:spacing w:line="360" w:lineRule="auto"/>
        <w:ind w:right="420"/>
        <w:contextualSpacing/>
        <w:jc w:val="left"/>
        <w:rPr>
          <w:rFonts w:ascii="宋体" w:hAnsi="宋体"/>
          <w:b/>
          <w:color w:val="auto"/>
          <w:sz w:val="32"/>
          <w:szCs w:val="32"/>
        </w:rPr>
      </w:pPr>
      <w:r>
        <w:rPr>
          <w:rFonts w:hint="eastAsia"/>
          <w:color w:val="auto"/>
          <w:sz w:val="24"/>
        </w:rPr>
        <w:br w:type="page"/>
      </w:r>
      <w:r>
        <w:rPr>
          <w:rFonts w:hint="eastAsia" w:ascii="宋体" w:hAnsi="宋体"/>
          <w:b/>
          <w:bCs/>
          <w:color w:val="auto"/>
          <w:sz w:val="32"/>
          <w:szCs w:val="32"/>
        </w:rPr>
        <w:t>二、</w:t>
      </w:r>
      <w:r>
        <w:rPr>
          <w:rFonts w:hint="eastAsia" w:ascii="宋体" w:hAnsi="宋体"/>
          <w:b/>
          <w:color w:val="auto"/>
          <w:sz w:val="32"/>
          <w:szCs w:val="32"/>
        </w:rPr>
        <w:t xml:space="preserve">报价文件格式 </w:t>
      </w:r>
    </w:p>
    <w:p w14:paraId="132892E4">
      <w:pPr>
        <w:snapToGrid w:val="0"/>
        <w:spacing w:before="120" w:beforeLines="50" w:after="50" w:line="360" w:lineRule="auto"/>
        <w:jc w:val="left"/>
        <w:rPr>
          <w:rFonts w:hint="eastAsia" w:ascii="宋体" w:hAnsi="宋体"/>
          <w:b/>
          <w:color w:val="auto"/>
          <w:sz w:val="32"/>
          <w:szCs w:val="32"/>
        </w:rPr>
      </w:pPr>
      <w:r>
        <w:rPr>
          <w:rFonts w:hint="eastAsia" w:ascii="宋体" w:hAnsi="宋体"/>
          <w:b/>
          <w:color w:val="auto"/>
          <w:sz w:val="32"/>
          <w:szCs w:val="32"/>
        </w:rPr>
        <w:t>1.报价文件封面格式</w:t>
      </w:r>
    </w:p>
    <w:p w14:paraId="3CEA5AB4">
      <w:pPr>
        <w:snapToGrid w:val="0"/>
        <w:spacing w:before="120" w:beforeLines="50" w:after="50"/>
        <w:rPr>
          <w:rFonts w:hint="eastAsia" w:ascii="宋体" w:hAnsi="宋体"/>
          <w:bCs/>
          <w:color w:val="auto"/>
          <w:sz w:val="32"/>
          <w:szCs w:val="20"/>
        </w:rPr>
      </w:pPr>
      <w:r>
        <w:rPr>
          <w:rFonts w:hint="eastAsia" w:ascii="宋体" w:hAnsi="宋体"/>
          <w:color w:val="auto"/>
          <w:sz w:val="24"/>
        </w:rPr>
        <w:t xml:space="preserve">                                                    </w:t>
      </w:r>
    </w:p>
    <w:p w14:paraId="3A78685D">
      <w:pPr>
        <w:snapToGrid w:val="0"/>
        <w:spacing w:before="120" w:beforeLines="50" w:after="50"/>
        <w:jc w:val="center"/>
        <w:rPr>
          <w:rFonts w:hint="eastAsia" w:ascii="宋体" w:hAnsi="宋体"/>
          <w:color w:val="auto"/>
          <w:sz w:val="24"/>
          <w:szCs w:val="20"/>
        </w:rPr>
      </w:pPr>
      <w:r>
        <w:rPr>
          <w:rFonts w:hint="eastAsia" w:ascii="宋体" w:hAnsi="宋体"/>
          <w:color w:val="auto"/>
          <w:sz w:val="44"/>
          <w:szCs w:val="44"/>
        </w:rPr>
        <w:t>电 子 响 应 文 件</w:t>
      </w:r>
    </w:p>
    <w:p w14:paraId="3F522777">
      <w:pPr>
        <w:snapToGrid w:val="0"/>
        <w:spacing w:before="120" w:beforeLines="50" w:after="50"/>
        <w:rPr>
          <w:rFonts w:hint="eastAsia" w:ascii="宋体" w:hAnsi="宋体"/>
          <w:color w:val="auto"/>
          <w:sz w:val="24"/>
          <w:szCs w:val="20"/>
        </w:rPr>
      </w:pPr>
    </w:p>
    <w:p w14:paraId="0C80BEBF">
      <w:pPr>
        <w:snapToGrid w:val="0"/>
        <w:spacing w:before="120" w:beforeLines="50" w:after="50"/>
        <w:rPr>
          <w:rFonts w:hint="eastAsia" w:ascii="宋体" w:hAnsi="宋体"/>
          <w:color w:val="auto"/>
          <w:sz w:val="24"/>
          <w:szCs w:val="20"/>
        </w:rPr>
      </w:pPr>
    </w:p>
    <w:p w14:paraId="4511E25F">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  价  文  件</w:t>
      </w:r>
    </w:p>
    <w:p w14:paraId="4048DF7B">
      <w:pPr>
        <w:snapToGrid w:val="0"/>
        <w:spacing w:before="120" w:beforeLines="50" w:after="50"/>
        <w:rPr>
          <w:rFonts w:hint="eastAsia" w:ascii="宋体" w:hAnsi="宋体"/>
          <w:bCs/>
          <w:color w:val="auto"/>
          <w:sz w:val="24"/>
          <w:szCs w:val="20"/>
        </w:rPr>
      </w:pPr>
    </w:p>
    <w:p w14:paraId="2063901B">
      <w:pPr>
        <w:snapToGrid w:val="0"/>
        <w:spacing w:before="120" w:beforeLines="50" w:after="50"/>
        <w:rPr>
          <w:rFonts w:hint="eastAsia" w:ascii="宋体" w:hAnsi="宋体"/>
          <w:bCs/>
          <w:color w:val="auto"/>
          <w:sz w:val="24"/>
          <w:szCs w:val="20"/>
        </w:rPr>
      </w:pPr>
    </w:p>
    <w:p w14:paraId="79CE3AFA">
      <w:pPr>
        <w:snapToGrid w:val="0"/>
        <w:spacing w:before="120" w:beforeLines="50" w:after="50"/>
        <w:rPr>
          <w:rFonts w:hint="eastAsia" w:ascii="宋体" w:hAnsi="宋体"/>
          <w:bCs/>
          <w:color w:val="auto"/>
          <w:sz w:val="24"/>
          <w:szCs w:val="20"/>
        </w:rPr>
      </w:pPr>
    </w:p>
    <w:p w14:paraId="2D66C271">
      <w:pPr>
        <w:snapToGrid w:val="0"/>
        <w:spacing w:before="120" w:beforeLines="50" w:after="50"/>
        <w:rPr>
          <w:rFonts w:hint="eastAsia" w:ascii="宋体" w:hAnsi="宋体"/>
          <w:bCs/>
          <w:color w:val="auto"/>
          <w:sz w:val="24"/>
          <w:szCs w:val="20"/>
        </w:rPr>
      </w:pPr>
    </w:p>
    <w:p w14:paraId="634FBD47">
      <w:pPr>
        <w:snapToGrid w:val="0"/>
        <w:spacing w:before="120" w:beforeLines="50" w:after="50"/>
        <w:rPr>
          <w:rFonts w:hint="eastAsia" w:ascii="宋体" w:hAnsi="宋体"/>
          <w:bCs/>
          <w:color w:val="auto"/>
          <w:sz w:val="24"/>
          <w:szCs w:val="20"/>
        </w:rPr>
      </w:pPr>
    </w:p>
    <w:p w14:paraId="53426BA0">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728EBF56">
      <w:pPr>
        <w:snapToGrid w:val="0"/>
        <w:spacing w:before="120" w:beforeLines="50" w:after="50"/>
        <w:ind w:firstLine="720" w:firstLineChars="225"/>
        <w:rPr>
          <w:rFonts w:hint="eastAsia" w:ascii="宋体" w:hAnsi="宋体" w:cs="仿宋_GB2312"/>
          <w:bCs/>
          <w:color w:val="auto"/>
          <w:sz w:val="32"/>
          <w:szCs w:val="32"/>
        </w:rPr>
      </w:pPr>
    </w:p>
    <w:p w14:paraId="19ED58F7">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7CA9A917">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375B580B">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4730CCDE">
      <w:pPr>
        <w:snapToGrid w:val="0"/>
        <w:spacing w:before="120" w:beforeLines="50" w:after="50"/>
        <w:ind w:firstLine="720" w:firstLineChars="225"/>
        <w:rPr>
          <w:rFonts w:hint="eastAsia" w:ascii="宋体" w:hAnsi="宋体" w:cs="仿宋_GB2312"/>
          <w:bCs/>
          <w:color w:val="auto"/>
          <w:sz w:val="32"/>
          <w:szCs w:val="32"/>
        </w:rPr>
      </w:pPr>
    </w:p>
    <w:p w14:paraId="3780CC0F">
      <w:pPr>
        <w:pStyle w:val="10"/>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3B237880">
      <w:pPr>
        <w:pStyle w:val="10"/>
        <w:snapToGrid w:val="0"/>
        <w:spacing w:before="50" w:after="50"/>
        <w:ind w:firstLine="640" w:firstLineChars="200"/>
        <w:rPr>
          <w:rFonts w:hint="eastAsia" w:ascii="宋体" w:hAnsi="宋体" w:cs="仿宋_GB2312"/>
          <w:bCs/>
          <w:color w:val="auto"/>
          <w:sz w:val="32"/>
          <w:szCs w:val="32"/>
        </w:rPr>
      </w:pPr>
    </w:p>
    <w:p w14:paraId="3F3A969E">
      <w:pPr>
        <w:pStyle w:val="10"/>
        <w:snapToGrid w:val="0"/>
        <w:spacing w:before="50" w:after="50"/>
        <w:ind w:firstLine="720" w:firstLineChars="225"/>
        <w:rPr>
          <w:rFonts w:hint="eastAsia" w:ascii="宋体" w:hAnsi="宋体" w:cs="仿宋_GB2312"/>
          <w:bCs/>
          <w:color w:val="auto"/>
          <w:sz w:val="32"/>
          <w:szCs w:val="32"/>
        </w:rPr>
      </w:pPr>
    </w:p>
    <w:p w14:paraId="00CD96A9">
      <w:pPr>
        <w:pStyle w:val="10"/>
        <w:snapToGrid w:val="0"/>
        <w:spacing w:before="50" w:after="50"/>
        <w:ind w:firstLine="0"/>
        <w:rPr>
          <w:rFonts w:hint="eastAsia" w:ascii="宋体" w:hAnsi="宋体" w:cs="仿宋_GB2312"/>
          <w:bCs/>
          <w:color w:val="auto"/>
          <w:sz w:val="32"/>
          <w:szCs w:val="32"/>
        </w:rPr>
      </w:pPr>
    </w:p>
    <w:p w14:paraId="4C5B9364">
      <w:pPr>
        <w:pStyle w:val="10"/>
        <w:snapToGrid w:val="0"/>
        <w:spacing w:before="50" w:after="50"/>
        <w:ind w:firstLine="1280" w:firstLineChars="400"/>
        <w:rPr>
          <w:rFonts w:hint="eastAsia" w:ascii="宋体" w:hAnsi="宋体" w:cs="仿宋_GB2312"/>
          <w:bCs/>
          <w:color w:val="auto"/>
          <w:sz w:val="32"/>
          <w:szCs w:val="32"/>
        </w:rPr>
      </w:pPr>
    </w:p>
    <w:p w14:paraId="01DE49DC">
      <w:pPr>
        <w:snapToGrid w:val="0"/>
        <w:spacing w:before="120"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45335931">
      <w:pPr>
        <w:snapToGrid w:val="0"/>
        <w:spacing w:before="120" w:beforeLines="50" w:after="50" w:line="360" w:lineRule="auto"/>
        <w:ind w:left="142"/>
        <w:jc w:val="left"/>
        <w:rPr>
          <w:rFonts w:hint="eastAsia" w:ascii="宋体" w:hAnsi="宋体"/>
          <w:b/>
          <w:bCs/>
          <w:color w:val="auto"/>
          <w:sz w:val="24"/>
        </w:rPr>
      </w:pPr>
      <w:r>
        <w:rPr>
          <w:rFonts w:hint="eastAsia" w:ascii="宋体" w:hAnsi="宋体"/>
          <w:color w:val="auto"/>
          <w:szCs w:val="21"/>
        </w:rPr>
        <w:br w:type="page"/>
      </w:r>
      <w:r>
        <w:rPr>
          <w:rFonts w:hint="eastAsia" w:ascii="宋体" w:hAnsi="宋体"/>
          <w:b/>
          <w:bCs/>
          <w:color w:val="auto"/>
          <w:sz w:val="32"/>
          <w:szCs w:val="32"/>
        </w:rPr>
        <w:t>2.报价文件目录</w:t>
      </w:r>
    </w:p>
    <w:p w14:paraId="00B625DF">
      <w:pPr>
        <w:spacing w:line="520" w:lineRule="exact"/>
        <w:jc w:val="left"/>
        <w:rPr>
          <w:rFonts w:hint="eastAsia"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2654FE96">
      <w:pPr>
        <w:spacing w:line="520" w:lineRule="exact"/>
        <w:jc w:val="center"/>
        <w:rPr>
          <w:rFonts w:hint="eastAsia" w:ascii="宋体" w:hAnsi="宋体" w:cs="方正小标宋简体"/>
          <w:b/>
          <w:bCs/>
          <w:color w:val="auto"/>
          <w:sz w:val="32"/>
          <w:szCs w:val="32"/>
        </w:rPr>
      </w:pPr>
      <w:r>
        <w:rPr>
          <w:rFonts w:ascii="宋体" w:hAnsi="宋体"/>
          <w:b/>
          <w:bCs/>
          <w:color w:val="auto"/>
          <w:sz w:val="32"/>
          <w:szCs w:val="32"/>
        </w:rPr>
        <w:br w:type="page"/>
      </w:r>
      <w:r>
        <w:rPr>
          <w:rFonts w:hint="eastAsia" w:ascii="宋体" w:hAnsi="宋体" w:cs="方正小标宋简体"/>
          <w:b/>
          <w:bCs/>
          <w:color w:val="auto"/>
          <w:sz w:val="32"/>
          <w:szCs w:val="32"/>
        </w:rPr>
        <w:t>竞标函及竞标函附录</w:t>
      </w:r>
    </w:p>
    <w:p w14:paraId="7560F40B">
      <w:pPr>
        <w:spacing w:line="520" w:lineRule="exact"/>
        <w:jc w:val="center"/>
        <w:rPr>
          <w:rFonts w:hint="eastAsia" w:ascii="宋体" w:hAnsi="宋体" w:cs="方正小标宋简体"/>
          <w:b/>
          <w:bCs/>
          <w:color w:val="auto"/>
          <w:sz w:val="32"/>
          <w:szCs w:val="32"/>
        </w:rPr>
      </w:pPr>
    </w:p>
    <w:p w14:paraId="7A26FB95">
      <w:pPr>
        <w:spacing w:line="520" w:lineRule="exact"/>
        <w:jc w:val="center"/>
        <w:rPr>
          <w:rFonts w:hint="eastAsia" w:ascii="宋体" w:hAnsi="宋体" w:cs="方正小标宋简体"/>
          <w:b/>
          <w:bCs/>
          <w:color w:val="auto"/>
          <w:sz w:val="32"/>
          <w:szCs w:val="32"/>
        </w:rPr>
      </w:pPr>
      <w:r>
        <w:rPr>
          <w:rFonts w:hint="eastAsia" w:ascii="宋体" w:hAnsi="宋体" w:cs="方正小标宋简体"/>
          <w:b/>
          <w:bCs/>
          <w:color w:val="auto"/>
          <w:sz w:val="32"/>
          <w:szCs w:val="32"/>
        </w:rPr>
        <w:t>（一）竞标函</w:t>
      </w:r>
    </w:p>
    <w:p w14:paraId="046D01D6">
      <w:pPr>
        <w:spacing w:line="520" w:lineRule="exact"/>
        <w:jc w:val="center"/>
        <w:rPr>
          <w:rFonts w:hint="eastAsia" w:ascii="宋体" w:hAnsi="宋体" w:cs="方正小标宋简体"/>
          <w:b/>
          <w:bCs/>
          <w:color w:val="auto"/>
          <w:sz w:val="32"/>
          <w:szCs w:val="32"/>
        </w:rPr>
      </w:pPr>
    </w:p>
    <w:p w14:paraId="7F1CBDDA">
      <w:pPr>
        <w:spacing w:line="360" w:lineRule="auto"/>
        <w:rPr>
          <w:color w:val="auto"/>
          <w:sz w:val="24"/>
        </w:rPr>
      </w:pPr>
      <w:r>
        <w:rPr>
          <w:color w:val="auto"/>
          <w:sz w:val="24"/>
          <w:u w:val="single"/>
        </w:rPr>
        <w:t xml:space="preserve">      </w:t>
      </w:r>
      <w:r>
        <w:rPr>
          <w:rFonts w:hint="eastAsia"/>
          <w:color w:val="auto"/>
          <w:sz w:val="24"/>
          <w:u w:val="single"/>
        </w:rPr>
        <w:t xml:space="preserve">                 </w:t>
      </w:r>
      <w:r>
        <w:rPr>
          <w:color w:val="auto"/>
          <w:sz w:val="24"/>
          <w:u w:val="single"/>
        </w:rPr>
        <w:t xml:space="preserve">   </w:t>
      </w:r>
      <w:r>
        <w:rPr>
          <w:color w:val="auto"/>
          <w:sz w:val="24"/>
        </w:rPr>
        <w:t>（</w:t>
      </w:r>
      <w:r>
        <w:rPr>
          <w:rFonts w:hint="eastAsia"/>
          <w:color w:val="auto"/>
          <w:sz w:val="24"/>
          <w:lang w:val="zh-CN" w:bidi="zh-CN"/>
        </w:rPr>
        <w:t>采购人</w:t>
      </w:r>
      <w:r>
        <w:rPr>
          <w:color w:val="auto"/>
          <w:sz w:val="24"/>
          <w:lang w:val="zh-CN" w:bidi="zh-CN"/>
        </w:rPr>
        <w:t>名称</w:t>
      </w:r>
      <w:r>
        <w:rPr>
          <w:color w:val="auto"/>
          <w:sz w:val="24"/>
        </w:rPr>
        <w:t>）：</w:t>
      </w:r>
    </w:p>
    <w:p w14:paraId="6C2B53A7">
      <w:pPr>
        <w:pStyle w:val="132"/>
        <w:tabs>
          <w:tab w:val="left" w:pos="762"/>
          <w:tab w:val="left" w:pos="2074"/>
          <w:tab w:val="left" w:pos="3430"/>
          <w:tab w:val="left" w:pos="4687"/>
          <w:tab w:val="left" w:pos="7898"/>
        </w:tabs>
        <w:ind w:firstLine="440"/>
        <w:rPr>
          <w:rFonts w:ascii="Times New Roman" w:hAnsi="Times New Roman" w:eastAsia="Times New Roman" w:cs="Times New Roman"/>
          <w:color w:val="auto"/>
          <w:sz w:val="24"/>
          <w:szCs w:val="24"/>
          <w:lang w:val="en-US" w:bidi="en-US"/>
        </w:rPr>
      </w:pPr>
      <w:bookmarkStart w:id="109" w:name="bookmark2065"/>
      <w:bookmarkEnd w:id="109"/>
    </w:p>
    <w:p w14:paraId="76561DE7">
      <w:pPr>
        <w:pStyle w:val="132"/>
        <w:tabs>
          <w:tab w:val="left" w:pos="762"/>
          <w:tab w:val="left" w:pos="2074"/>
          <w:tab w:val="left" w:pos="3430"/>
          <w:tab w:val="left" w:pos="4687"/>
          <w:tab w:val="left" w:pos="7898"/>
        </w:tabs>
        <w:ind w:firstLine="440"/>
        <w:rPr>
          <w:rFonts w:ascii="Times New Roman" w:hAnsi="Times New Roman" w:cs="Times New Roman"/>
          <w:color w:val="auto"/>
          <w:sz w:val="24"/>
          <w:szCs w:val="24"/>
        </w:rPr>
      </w:pPr>
      <w:r>
        <w:rPr>
          <w:rFonts w:ascii="Times New Roman" w:hAnsi="Times New Roman" w:eastAsia="Times New Roman" w:cs="Times New Roman"/>
          <w:color w:val="auto"/>
          <w:sz w:val="24"/>
          <w:szCs w:val="24"/>
          <w:lang w:val="en-US" w:bidi="en-US"/>
        </w:rPr>
        <w:t>1.</w:t>
      </w:r>
      <w:r>
        <w:rPr>
          <w:rFonts w:ascii="Times New Roman" w:hAnsi="Times New Roman" w:cs="Times New Roman"/>
          <w:color w:val="auto"/>
          <w:sz w:val="24"/>
          <w:szCs w:val="24"/>
        </w:rPr>
        <w:t>我方已仔细研究了</w:t>
      </w:r>
      <w:r>
        <w:rPr>
          <w:rFonts w:hint="eastAsia" w:ascii="Times New Roman" w:hAnsi="Times New Roman" w:cs="Times New Roman"/>
          <w:color w:val="auto"/>
          <w:sz w:val="24"/>
          <w:szCs w:val="24"/>
          <w:u w:val="single"/>
          <w:lang w:val="en-US"/>
        </w:rPr>
        <w:t xml:space="preserve">           </w:t>
      </w:r>
      <w:r>
        <w:rPr>
          <w:rFonts w:ascii="Times New Roman" w:hAnsi="Times New Roman" w:cs="Times New Roman"/>
          <w:color w:val="auto"/>
          <w:sz w:val="24"/>
          <w:szCs w:val="24"/>
          <w:u w:val="single"/>
        </w:rPr>
        <w:t>（项目名称</w:t>
      </w:r>
      <w:r>
        <w:rPr>
          <w:rFonts w:hint="eastAsia" w:ascii="Times New Roman" w:hAnsi="Times New Roman" w:cs="Times New Roman"/>
          <w:color w:val="auto"/>
          <w:sz w:val="24"/>
          <w:szCs w:val="24"/>
          <w:u w:val="single"/>
        </w:rPr>
        <w:t>、项目编号</w:t>
      </w:r>
      <w:r>
        <w:rPr>
          <w:rFonts w:ascii="Times New Roman" w:hAnsi="Times New Roman" w:cs="Times New Roman"/>
          <w:color w:val="auto"/>
          <w:sz w:val="24"/>
          <w:szCs w:val="24"/>
          <w:u w:val="single"/>
        </w:rPr>
        <w:t>）</w:t>
      </w:r>
      <w:r>
        <w:rPr>
          <w:rFonts w:hint="eastAsia" w:ascii="Times New Roman" w:hAnsi="Times New Roman" w:cs="Times New Roman"/>
          <w:color w:val="auto"/>
          <w:sz w:val="24"/>
          <w:szCs w:val="24"/>
        </w:rPr>
        <w:t>磋商</w:t>
      </w:r>
      <w:r>
        <w:rPr>
          <w:rFonts w:ascii="Times New Roman" w:hAnsi="Times New Roman" w:cs="Times New Roman"/>
          <w:color w:val="auto"/>
          <w:sz w:val="24"/>
          <w:szCs w:val="24"/>
        </w:rPr>
        <w:t>文件的全部内容，愿意以人民币（大写）</w:t>
      </w:r>
      <w:r>
        <w:rPr>
          <w:rFonts w:hint="eastAsia" w:ascii="Times New Roman" w:hAnsi="Times New Roman" w:cs="Times New Roman"/>
          <w:color w:val="auto"/>
          <w:sz w:val="24"/>
          <w:szCs w:val="24"/>
          <w:u w:val="single"/>
          <w:lang w:val="en-US"/>
        </w:rPr>
        <w:t xml:space="preserve">            </w:t>
      </w:r>
      <w:r>
        <w:rPr>
          <w:rFonts w:ascii="Times New Roman" w:hAnsi="Times New Roman" w:cs="Times New Roman"/>
          <w:color w:val="auto"/>
          <w:sz w:val="24"/>
          <w:szCs w:val="24"/>
        </w:rPr>
        <w:t>元（¥</w:t>
      </w:r>
      <w:r>
        <w:rPr>
          <w:rFonts w:hint="eastAsia" w:ascii="Times New Roman" w:hAnsi="Times New Roman" w:cs="Times New Roman"/>
          <w:color w:val="auto"/>
          <w:sz w:val="24"/>
          <w:szCs w:val="24"/>
          <w:u w:val="single"/>
          <w:lang w:val="en-US"/>
        </w:rPr>
        <w:t xml:space="preserve">        </w:t>
      </w:r>
      <w:r>
        <w:rPr>
          <w:rFonts w:ascii="Times New Roman" w:hAnsi="Times New Roman" w:cs="Times New Roman"/>
          <w:color w:val="auto"/>
          <w:sz w:val="24"/>
          <w:szCs w:val="24"/>
        </w:rPr>
        <w:t>）的</w:t>
      </w:r>
      <w:r>
        <w:rPr>
          <w:rFonts w:hint="eastAsia" w:ascii="Times New Roman" w:hAnsi="Times New Roman" w:cs="Times New Roman"/>
          <w:color w:val="auto"/>
          <w:sz w:val="24"/>
          <w:szCs w:val="24"/>
        </w:rPr>
        <w:t>竞</w:t>
      </w:r>
      <w:r>
        <w:rPr>
          <w:rFonts w:ascii="Times New Roman" w:hAnsi="Times New Roman" w:cs="Times New Roman"/>
          <w:color w:val="auto"/>
          <w:sz w:val="24"/>
          <w:szCs w:val="24"/>
        </w:rPr>
        <w:t>标总报价，工期</w:t>
      </w:r>
      <w:r>
        <w:rPr>
          <w:rFonts w:hint="eastAsia" w:ascii="Times New Roman" w:hAnsi="Times New Roman" w:cs="Times New Roman"/>
          <w:color w:val="auto"/>
          <w:sz w:val="24"/>
          <w:szCs w:val="24"/>
          <w:lang w:val="en-US"/>
        </w:rPr>
        <w:t xml:space="preserve"> </w:t>
      </w:r>
      <w:r>
        <w:rPr>
          <w:rFonts w:hint="eastAsia" w:ascii="Times New Roman" w:hAnsi="Times New Roman" w:cs="Times New Roman"/>
          <w:color w:val="auto"/>
          <w:sz w:val="24"/>
          <w:szCs w:val="24"/>
          <w:u w:val="single"/>
          <w:lang w:val="en-US"/>
        </w:rPr>
        <w:t xml:space="preserve">       </w:t>
      </w:r>
      <w:r>
        <w:rPr>
          <w:rFonts w:ascii="Times New Roman" w:hAnsi="Times New Roman" w:cs="Times New Roman"/>
          <w:color w:val="auto"/>
          <w:sz w:val="24"/>
          <w:szCs w:val="24"/>
        </w:rPr>
        <w:t>日历天，按合同约定实施和完成承包工程，修补工程中的任何缺陷，工程质量达到</w:t>
      </w:r>
      <w:r>
        <w:rPr>
          <w:rFonts w:hint="eastAsia" w:ascii="Times New Roman" w:hAnsi="Times New Roman" w:cs="Times New Roman"/>
          <w:color w:val="auto"/>
          <w:sz w:val="24"/>
          <w:szCs w:val="24"/>
          <w:u w:val="single"/>
          <w:lang w:val="en-US"/>
        </w:rPr>
        <w:t xml:space="preserve">           </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lang w:val="en-US" w:bidi="en-US"/>
        </w:rPr>
        <w:t>。</w:t>
      </w:r>
    </w:p>
    <w:p w14:paraId="495F5600">
      <w:pPr>
        <w:pStyle w:val="132"/>
        <w:tabs>
          <w:tab w:val="left" w:pos="762"/>
        </w:tabs>
        <w:ind w:firstLine="420"/>
        <w:rPr>
          <w:rFonts w:hint="eastAsia" w:ascii="Times New Roman" w:hAnsi="Times New Roman" w:cs="Times New Roman"/>
          <w:color w:val="auto"/>
          <w:sz w:val="24"/>
          <w:szCs w:val="24"/>
        </w:rPr>
      </w:pPr>
      <w:bookmarkStart w:id="110" w:name="bookmark2068"/>
      <w:bookmarkEnd w:id="110"/>
      <w:bookmarkStart w:id="111" w:name="bookmark2067"/>
      <w:bookmarkEnd w:id="111"/>
      <w:bookmarkStart w:id="112" w:name="bookmark2066"/>
      <w:bookmarkEnd w:id="112"/>
      <w:r>
        <w:rPr>
          <w:rFonts w:hint="eastAsia" w:ascii="Times New Roman" w:hAnsi="Times New Roman" w:eastAsia="Times New Roman" w:cs="Times New Roman"/>
          <w:color w:val="auto"/>
          <w:sz w:val="24"/>
          <w:szCs w:val="24"/>
          <w:lang w:val="en-US" w:bidi="en-US"/>
        </w:rPr>
        <w:t>2.</w:t>
      </w:r>
      <w:r>
        <w:rPr>
          <w:rFonts w:hint="eastAsia"/>
          <w:color w:val="auto"/>
          <w:sz w:val="24"/>
          <w:szCs w:val="24"/>
        </w:rPr>
        <w:t>我方承认竞标函附录是我方竞标函的组成部分。</w:t>
      </w:r>
    </w:p>
    <w:p w14:paraId="2522696E">
      <w:pPr>
        <w:pStyle w:val="132"/>
        <w:tabs>
          <w:tab w:val="left" w:pos="762"/>
        </w:tabs>
        <w:ind w:firstLine="420"/>
        <w:rPr>
          <w:rFonts w:ascii="Times New Roman" w:hAnsi="Times New Roman" w:cs="Times New Roman"/>
          <w:color w:val="auto"/>
          <w:sz w:val="24"/>
          <w:szCs w:val="24"/>
        </w:rPr>
      </w:pPr>
      <w:r>
        <w:rPr>
          <w:rFonts w:ascii="Times New Roman" w:hAnsi="Times New Roman" w:eastAsia="Times New Roman" w:cs="Times New Roman"/>
          <w:color w:val="auto"/>
          <w:sz w:val="24"/>
          <w:szCs w:val="24"/>
          <w:lang w:val="en-US" w:bidi="en-US"/>
        </w:rPr>
        <w:t>3.</w:t>
      </w:r>
      <w:r>
        <w:rPr>
          <w:rFonts w:ascii="Times New Roman" w:hAnsi="Times New Roman" w:cs="Times New Roman"/>
          <w:color w:val="auto"/>
          <w:sz w:val="24"/>
          <w:szCs w:val="24"/>
        </w:rPr>
        <w:t>如我方</w:t>
      </w:r>
      <w:r>
        <w:rPr>
          <w:rFonts w:hint="eastAsia" w:ascii="Times New Roman" w:hAnsi="Times New Roman" w:cs="Times New Roman"/>
          <w:color w:val="auto"/>
          <w:sz w:val="24"/>
          <w:szCs w:val="24"/>
        </w:rPr>
        <w:t>成交</w:t>
      </w:r>
      <w:r>
        <w:rPr>
          <w:rFonts w:ascii="Times New Roman" w:hAnsi="Times New Roman" w:cs="Times New Roman"/>
          <w:color w:val="auto"/>
          <w:sz w:val="24"/>
          <w:szCs w:val="24"/>
        </w:rPr>
        <w:t>：</w:t>
      </w:r>
    </w:p>
    <w:p w14:paraId="19BD9CEE">
      <w:pPr>
        <w:pStyle w:val="132"/>
        <w:tabs>
          <w:tab w:val="left" w:pos="903"/>
        </w:tabs>
        <w:ind w:firstLine="420"/>
        <w:rPr>
          <w:rFonts w:ascii="Times New Roman" w:hAnsi="Times New Roman" w:cs="Times New Roman"/>
          <w:color w:val="auto"/>
          <w:sz w:val="24"/>
          <w:szCs w:val="24"/>
        </w:rPr>
      </w:pPr>
      <w:bookmarkStart w:id="113" w:name="bookmark2069"/>
      <w:r>
        <w:rPr>
          <w:rFonts w:ascii="Times New Roman" w:hAnsi="Times New Roman" w:cs="Times New Roman"/>
          <w:color w:val="auto"/>
          <w:sz w:val="24"/>
          <w:szCs w:val="24"/>
        </w:rPr>
        <w:t>（</w:t>
      </w:r>
      <w:bookmarkEnd w:id="113"/>
      <w:r>
        <w:rPr>
          <w:rFonts w:ascii="Times New Roman" w:hAnsi="Times New Roman" w:cs="Times New Roman"/>
          <w:color w:val="auto"/>
          <w:sz w:val="24"/>
          <w:szCs w:val="24"/>
        </w:rPr>
        <w:t>1）我方承诺在收到</w:t>
      </w:r>
      <w:r>
        <w:rPr>
          <w:rFonts w:hint="eastAsia" w:ascii="Times New Roman" w:hAnsi="Times New Roman" w:cs="Times New Roman"/>
          <w:color w:val="auto"/>
          <w:sz w:val="24"/>
          <w:szCs w:val="24"/>
        </w:rPr>
        <w:t>成交</w:t>
      </w:r>
      <w:r>
        <w:rPr>
          <w:rFonts w:ascii="Times New Roman" w:hAnsi="Times New Roman" w:cs="Times New Roman"/>
          <w:color w:val="auto"/>
          <w:sz w:val="24"/>
          <w:szCs w:val="24"/>
        </w:rPr>
        <w:t>通知书后，在</w:t>
      </w:r>
      <w:r>
        <w:rPr>
          <w:rFonts w:hint="eastAsia" w:ascii="Times New Roman" w:hAnsi="Times New Roman" w:cs="Times New Roman"/>
          <w:color w:val="auto"/>
          <w:sz w:val="24"/>
          <w:szCs w:val="24"/>
        </w:rPr>
        <w:t>成交</w:t>
      </w:r>
      <w:r>
        <w:rPr>
          <w:rFonts w:ascii="Times New Roman" w:hAnsi="Times New Roman" w:cs="Times New Roman"/>
          <w:color w:val="auto"/>
          <w:sz w:val="24"/>
          <w:szCs w:val="24"/>
        </w:rPr>
        <w:t>通知书规定的期限内与你方签订合同。</w:t>
      </w:r>
    </w:p>
    <w:p w14:paraId="13E656C9">
      <w:pPr>
        <w:pStyle w:val="132"/>
        <w:tabs>
          <w:tab w:val="left" w:pos="903"/>
        </w:tabs>
        <w:ind w:firstLine="420"/>
        <w:rPr>
          <w:rFonts w:ascii="Times New Roman" w:hAnsi="Times New Roman" w:cs="Times New Roman"/>
          <w:color w:val="auto"/>
          <w:sz w:val="24"/>
          <w:szCs w:val="24"/>
        </w:rPr>
      </w:pPr>
      <w:bookmarkStart w:id="114" w:name="bookmark2070"/>
      <w:r>
        <w:rPr>
          <w:rFonts w:ascii="Times New Roman" w:hAnsi="Times New Roman" w:cs="Times New Roman"/>
          <w:color w:val="auto"/>
          <w:sz w:val="24"/>
          <w:szCs w:val="24"/>
        </w:rPr>
        <w:t>（</w:t>
      </w:r>
      <w:bookmarkEnd w:id="114"/>
      <w:r>
        <w:rPr>
          <w:rFonts w:ascii="Times New Roman" w:hAnsi="Times New Roman" w:cs="Times New Roman"/>
          <w:color w:val="auto"/>
          <w:sz w:val="24"/>
          <w:szCs w:val="24"/>
        </w:rPr>
        <w:t>2）</w:t>
      </w:r>
      <w:r>
        <w:rPr>
          <w:color w:val="auto"/>
          <w:sz w:val="24"/>
          <w:szCs w:val="24"/>
        </w:rPr>
        <w:t>在签订合同时不向你方提出附加条件</w:t>
      </w:r>
      <w:r>
        <w:rPr>
          <w:rFonts w:ascii="Times New Roman" w:hAnsi="Times New Roman" w:cs="Times New Roman"/>
          <w:color w:val="auto"/>
          <w:sz w:val="24"/>
          <w:szCs w:val="24"/>
        </w:rPr>
        <w:t>。</w:t>
      </w:r>
    </w:p>
    <w:p w14:paraId="3528FD69">
      <w:pPr>
        <w:pStyle w:val="132"/>
        <w:tabs>
          <w:tab w:val="left" w:pos="903"/>
        </w:tabs>
        <w:ind w:firstLine="420"/>
        <w:rPr>
          <w:rFonts w:ascii="Times New Roman" w:hAnsi="Times New Roman" w:cs="Times New Roman"/>
          <w:color w:val="auto"/>
          <w:sz w:val="24"/>
          <w:szCs w:val="24"/>
        </w:rPr>
      </w:pPr>
      <w:bookmarkStart w:id="115" w:name="bookmark2071"/>
      <w:r>
        <w:rPr>
          <w:rFonts w:ascii="Times New Roman" w:hAnsi="Times New Roman" w:cs="Times New Roman"/>
          <w:color w:val="auto"/>
          <w:sz w:val="24"/>
          <w:szCs w:val="24"/>
        </w:rPr>
        <w:t>（</w:t>
      </w:r>
      <w:bookmarkEnd w:id="115"/>
      <w:r>
        <w:rPr>
          <w:rFonts w:ascii="Times New Roman" w:hAnsi="Times New Roman" w:cs="Times New Roman"/>
          <w:color w:val="auto"/>
          <w:sz w:val="24"/>
          <w:szCs w:val="24"/>
        </w:rPr>
        <w:t>3）我方承诺按照</w:t>
      </w:r>
      <w:r>
        <w:rPr>
          <w:rFonts w:hint="eastAsia" w:ascii="Times New Roman" w:hAnsi="Times New Roman" w:cs="Times New Roman"/>
          <w:color w:val="auto"/>
          <w:sz w:val="24"/>
          <w:szCs w:val="24"/>
        </w:rPr>
        <w:t>磋商</w:t>
      </w:r>
      <w:r>
        <w:rPr>
          <w:rFonts w:ascii="Times New Roman" w:hAnsi="Times New Roman" w:cs="Times New Roman"/>
          <w:color w:val="auto"/>
          <w:sz w:val="24"/>
          <w:szCs w:val="24"/>
        </w:rPr>
        <w:t>文件规定向你方递交履约担保。</w:t>
      </w:r>
    </w:p>
    <w:p w14:paraId="3D9389AF">
      <w:pPr>
        <w:pStyle w:val="132"/>
        <w:tabs>
          <w:tab w:val="left" w:pos="903"/>
        </w:tabs>
        <w:ind w:firstLine="420"/>
        <w:rPr>
          <w:rFonts w:hint="eastAsia" w:ascii="Times New Roman" w:hAnsi="Times New Roman" w:cs="Times New Roman"/>
          <w:color w:val="auto"/>
          <w:sz w:val="24"/>
          <w:szCs w:val="24"/>
        </w:rPr>
      </w:pPr>
      <w:bookmarkStart w:id="116" w:name="bookmark2072"/>
      <w:r>
        <w:rPr>
          <w:rFonts w:ascii="Times New Roman" w:hAnsi="Times New Roman" w:cs="Times New Roman"/>
          <w:color w:val="auto"/>
          <w:sz w:val="24"/>
          <w:szCs w:val="24"/>
        </w:rPr>
        <w:t>（</w:t>
      </w:r>
      <w:bookmarkEnd w:id="116"/>
      <w:r>
        <w:rPr>
          <w:rFonts w:ascii="Times New Roman" w:hAnsi="Times New Roman" w:cs="Times New Roman"/>
          <w:color w:val="auto"/>
          <w:sz w:val="24"/>
          <w:szCs w:val="24"/>
        </w:rPr>
        <w:t>4）我方承诺在合同约定的期限内完成并移交全部合同工程。</w:t>
      </w:r>
    </w:p>
    <w:p w14:paraId="4335BC4D">
      <w:pPr>
        <w:pStyle w:val="132"/>
        <w:tabs>
          <w:tab w:val="left" w:pos="762"/>
        </w:tabs>
        <w:ind w:firstLine="440"/>
        <w:rPr>
          <w:rFonts w:ascii="Times New Roman" w:hAnsi="Times New Roman" w:cs="Times New Roman"/>
          <w:color w:val="auto"/>
          <w:sz w:val="24"/>
          <w:szCs w:val="24"/>
        </w:rPr>
      </w:pPr>
      <w:bookmarkStart w:id="117" w:name="bookmark2073"/>
      <w:bookmarkEnd w:id="117"/>
      <w:r>
        <w:rPr>
          <w:rFonts w:ascii="Times New Roman" w:hAnsi="Times New Roman" w:eastAsia="Times New Roman" w:cs="Times New Roman"/>
          <w:color w:val="auto"/>
          <w:sz w:val="24"/>
          <w:szCs w:val="24"/>
          <w:lang w:val="en-US" w:bidi="en-US"/>
        </w:rPr>
        <w:t>4.</w:t>
      </w:r>
      <w:r>
        <w:rPr>
          <w:color w:val="auto"/>
          <w:sz w:val="24"/>
          <w:szCs w:val="24"/>
        </w:rPr>
        <w:t>在合同协议书正式签署生效之前，本</w:t>
      </w:r>
      <w:r>
        <w:rPr>
          <w:rFonts w:hint="eastAsia" w:ascii="Times New Roman" w:hAnsi="Times New Roman" w:cs="Times New Roman"/>
          <w:color w:val="auto"/>
          <w:sz w:val="24"/>
          <w:szCs w:val="24"/>
        </w:rPr>
        <w:t>竞</w:t>
      </w:r>
      <w:r>
        <w:rPr>
          <w:rFonts w:ascii="Times New Roman" w:hAnsi="Times New Roman" w:cs="Times New Roman"/>
          <w:color w:val="auto"/>
          <w:sz w:val="24"/>
          <w:szCs w:val="24"/>
        </w:rPr>
        <w:t>标</w:t>
      </w:r>
      <w:r>
        <w:rPr>
          <w:color w:val="auto"/>
          <w:sz w:val="24"/>
          <w:szCs w:val="24"/>
        </w:rPr>
        <w:t>函连同你方的</w:t>
      </w:r>
      <w:r>
        <w:rPr>
          <w:rFonts w:hint="eastAsia"/>
          <w:color w:val="auto"/>
          <w:sz w:val="24"/>
          <w:szCs w:val="24"/>
        </w:rPr>
        <w:t>成交</w:t>
      </w:r>
      <w:r>
        <w:rPr>
          <w:color w:val="auto"/>
          <w:sz w:val="24"/>
          <w:szCs w:val="24"/>
        </w:rPr>
        <w:t>通知书将构成我们双方之间共同遵守的文件，对双方具有约束力</w:t>
      </w:r>
      <w:r>
        <w:rPr>
          <w:rFonts w:ascii="Times New Roman" w:hAnsi="Times New Roman" w:cs="Times New Roman"/>
          <w:color w:val="auto"/>
          <w:sz w:val="24"/>
          <w:szCs w:val="24"/>
        </w:rPr>
        <w:t>。</w:t>
      </w:r>
    </w:p>
    <w:p w14:paraId="0DF244AD">
      <w:pPr>
        <w:spacing w:line="360" w:lineRule="auto"/>
        <w:ind w:firstLine="480" w:firstLineChars="200"/>
        <w:rPr>
          <w:rFonts w:hint="eastAsia"/>
          <w:color w:val="auto"/>
          <w:sz w:val="24"/>
        </w:rPr>
      </w:pPr>
      <w:bookmarkStart w:id="118" w:name="bookmark2074"/>
      <w:bookmarkEnd w:id="118"/>
      <w:r>
        <w:rPr>
          <w:rFonts w:hint="eastAsia"/>
          <w:color w:val="auto"/>
          <w:sz w:val="24"/>
        </w:rPr>
        <w:t>5.</w:t>
      </w:r>
      <w:r>
        <w:rPr>
          <w:rFonts w:hint="eastAsia"/>
          <w:color w:val="auto"/>
          <w:sz w:val="24"/>
          <w:u w:val="single"/>
        </w:rPr>
        <w:t xml:space="preserve">                                                   </w:t>
      </w:r>
      <w:r>
        <w:rPr>
          <w:color w:val="auto"/>
          <w:sz w:val="24"/>
        </w:rPr>
        <w:t>（其他补充说明）。</w:t>
      </w:r>
    </w:p>
    <w:p w14:paraId="29DE06CF">
      <w:pPr>
        <w:spacing w:line="360" w:lineRule="auto"/>
        <w:jc w:val="center"/>
        <w:rPr>
          <w:rFonts w:hint="eastAsia" w:ascii="宋体" w:hAnsi="宋体" w:cs="方正小标宋简体"/>
          <w:b/>
          <w:bCs/>
          <w:color w:val="auto"/>
          <w:sz w:val="32"/>
          <w:szCs w:val="32"/>
        </w:rPr>
      </w:pPr>
    </w:p>
    <w:p w14:paraId="1C1B4B47">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法定代表人或者委托代理人（签字或者电子签名）：                    </w:t>
      </w:r>
    </w:p>
    <w:p w14:paraId="41C9763D">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供应商（电子签章）：      </w:t>
      </w:r>
    </w:p>
    <w:p w14:paraId="05146DB7">
      <w:pPr>
        <w:spacing w:line="360" w:lineRule="auto"/>
        <w:jc w:val="center"/>
        <w:rPr>
          <w:rFonts w:hint="eastAsia" w:ascii="宋体" w:hAnsi="宋体" w:cs="方正小标宋简体"/>
          <w:b/>
          <w:bCs/>
          <w:color w:val="auto"/>
          <w:sz w:val="32"/>
          <w:szCs w:val="32"/>
        </w:rPr>
      </w:pPr>
      <w:r>
        <w:rPr>
          <w:rFonts w:hint="eastAsia" w:ascii="宋体" w:hAnsi="宋体" w:cs="仿宋_GB2312"/>
          <w:color w:val="auto"/>
          <w:sz w:val="24"/>
        </w:rPr>
        <w:t>日期：   年   月   日</w:t>
      </w:r>
      <w:r>
        <w:rPr>
          <w:rFonts w:ascii="宋体" w:hAnsi="宋体" w:cs="方正小标宋简体"/>
          <w:b/>
          <w:bCs/>
          <w:color w:val="auto"/>
          <w:sz w:val="32"/>
          <w:szCs w:val="32"/>
        </w:rPr>
        <w:br w:type="page"/>
      </w:r>
      <w:r>
        <w:rPr>
          <w:rFonts w:hint="eastAsia" w:ascii="宋体" w:hAnsi="宋体" w:cs="方正小标宋简体"/>
          <w:b/>
          <w:bCs/>
          <w:color w:val="auto"/>
          <w:sz w:val="32"/>
          <w:szCs w:val="32"/>
        </w:rPr>
        <w:t>（二）竞标函附录</w:t>
      </w:r>
    </w:p>
    <w:tbl>
      <w:tblPr>
        <w:tblStyle w:val="45"/>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1355"/>
        <w:gridCol w:w="3250"/>
        <w:gridCol w:w="1348"/>
      </w:tblGrid>
      <w:tr w14:paraId="1FAE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6115D5B">
            <w:pPr>
              <w:jc w:val="center"/>
              <w:rPr>
                <w:color w:val="auto"/>
              </w:rPr>
            </w:pPr>
            <w:r>
              <w:rPr>
                <w:rFonts w:hint="eastAsia" w:cs="宋体"/>
                <w:color w:val="auto"/>
              </w:rPr>
              <w:t>序</w:t>
            </w:r>
            <w:r>
              <w:rPr>
                <w:color w:val="auto"/>
              </w:rPr>
              <w:t xml:space="preserve"> </w:t>
            </w:r>
            <w:r>
              <w:rPr>
                <w:rFonts w:hint="eastAsia" w:cs="宋体"/>
                <w:color w:val="auto"/>
              </w:rPr>
              <w:t>号</w:t>
            </w:r>
          </w:p>
        </w:tc>
        <w:tc>
          <w:tcPr>
            <w:tcW w:w="1985" w:type="dxa"/>
            <w:noWrap w:val="0"/>
            <w:vAlign w:val="center"/>
          </w:tcPr>
          <w:p w14:paraId="1EC13840">
            <w:pPr>
              <w:jc w:val="center"/>
              <w:rPr>
                <w:color w:val="auto"/>
              </w:rPr>
            </w:pPr>
            <w:r>
              <w:rPr>
                <w:rFonts w:hint="eastAsia" w:cs="宋体"/>
                <w:color w:val="auto"/>
              </w:rPr>
              <w:t>条款内容</w:t>
            </w:r>
          </w:p>
        </w:tc>
        <w:tc>
          <w:tcPr>
            <w:tcW w:w="1355" w:type="dxa"/>
            <w:noWrap w:val="0"/>
            <w:vAlign w:val="center"/>
          </w:tcPr>
          <w:p w14:paraId="0296F83F">
            <w:pPr>
              <w:jc w:val="center"/>
              <w:rPr>
                <w:color w:val="auto"/>
              </w:rPr>
            </w:pPr>
            <w:r>
              <w:rPr>
                <w:rFonts w:hint="eastAsia" w:cs="宋体"/>
                <w:color w:val="auto"/>
              </w:rPr>
              <w:t>合同条款号</w:t>
            </w:r>
          </w:p>
        </w:tc>
        <w:tc>
          <w:tcPr>
            <w:tcW w:w="3250" w:type="dxa"/>
            <w:noWrap w:val="0"/>
            <w:vAlign w:val="center"/>
          </w:tcPr>
          <w:p w14:paraId="2A230171">
            <w:pPr>
              <w:jc w:val="center"/>
              <w:rPr>
                <w:color w:val="auto"/>
              </w:rPr>
            </w:pPr>
            <w:r>
              <w:rPr>
                <w:rFonts w:hint="eastAsia" w:cs="宋体"/>
                <w:color w:val="auto"/>
              </w:rPr>
              <w:t>约定内容</w:t>
            </w:r>
          </w:p>
        </w:tc>
        <w:tc>
          <w:tcPr>
            <w:tcW w:w="1348" w:type="dxa"/>
            <w:noWrap w:val="0"/>
            <w:vAlign w:val="center"/>
          </w:tcPr>
          <w:p w14:paraId="5A31E080">
            <w:pPr>
              <w:jc w:val="center"/>
              <w:rPr>
                <w:color w:val="auto"/>
              </w:rPr>
            </w:pPr>
            <w:r>
              <w:rPr>
                <w:rFonts w:hint="eastAsia" w:cs="宋体"/>
                <w:color w:val="auto"/>
              </w:rPr>
              <w:t>供应商响应情况</w:t>
            </w:r>
          </w:p>
        </w:tc>
      </w:tr>
      <w:tr w14:paraId="6AA9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CE98B7B">
            <w:pPr>
              <w:jc w:val="center"/>
              <w:rPr>
                <w:color w:val="auto"/>
              </w:rPr>
            </w:pPr>
            <w:r>
              <w:rPr>
                <w:color w:val="auto"/>
              </w:rPr>
              <w:t>1</w:t>
            </w:r>
          </w:p>
        </w:tc>
        <w:tc>
          <w:tcPr>
            <w:tcW w:w="1985" w:type="dxa"/>
            <w:noWrap w:val="0"/>
            <w:vAlign w:val="center"/>
          </w:tcPr>
          <w:p w14:paraId="4FA5D400">
            <w:pPr>
              <w:rPr>
                <w:color w:val="auto"/>
              </w:rPr>
            </w:pPr>
            <w:r>
              <w:rPr>
                <w:rFonts w:hint="eastAsia" w:cs="宋体"/>
                <w:color w:val="auto"/>
              </w:rPr>
              <w:t>项目经理</w:t>
            </w:r>
          </w:p>
        </w:tc>
        <w:tc>
          <w:tcPr>
            <w:tcW w:w="1355" w:type="dxa"/>
            <w:noWrap w:val="0"/>
            <w:tcMar>
              <w:left w:w="170" w:type="dxa"/>
            </w:tcMar>
            <w:vAlign w:val="center"/>
          </w:tcPr>
          <w:p w14:paraId="4DE6BB68">
            <w:pPr>
              <w:jc w:val="center"/>
              <w:rPr>
                <w:color w:val="auto"/>
              </w:rPr>
            </w:pPr>
            <w:r>
              <w:rPr>
                <w:rFonts w:hint="eastAsia" w:cs="宋体"/>
                <w:color w:val="auto"/>
              </w:rPr>
              <w:t>专用条款</w:t>
            </w:r>
          </w:p>
        </w:tc>
        <w:tc>
          <w:tcPr>
            <w:tcW w:w="3250" w:type="dxa"/>
            <w:noWrap w:val="0"/>
            <w:vAlign w:val="center"/>
          </w:tcPr>
          <w:p w14:paraId="16501551">
            <w:pPr>
              <w:rPr>
                <w:color w:val="auto"/>
              </w:rPr>
            </w:pPr>
            <w:r>
              <w:rPr>
                <w:rFonts w:hint="eastAsia" w:cs="宋体"/>
                <w:color w:val="auto"/>
              </w:rPr>
              <w:t>姓名：</w:t>
            </w:r>
            <w:r>
              <w:rPr>
                <w:color w:val="auto"/>
                <w:u w:val="single"/>
              </w:rPr>
              <w:t xml:space="preserve">          </w:t>
            </w:r>
          </w:p>
        </w:tc>
        <w:tc>
          <w:tcPr>
            <w:tcW w:w="1348" w:type="dxa"/>
            <w:noWrap w:val="0"/>
            <w:vAlign w:val="center"/>
          </w:tcPr>
          <w:p w14:paraId="6F508792">
            <w:pPr>
              <w:jc w:val="center"/>
              <w:rPr>
                <w:color w:val="auto"/>
              </w:rPr>
            </w:pPr>
          </w:p>
        </w:tc>
      </w:tr>
      <w:tr w14:paraId="5EBE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7792143">
            <w:pPr>
              <w:jc w:val="center"/>
              <w:rPr>
                <w:color w:val="auto"/>
              </w:rPr>
            </w:pPr>
            <w:r>
              <w:rPr>
                <w:color w:val="auto"/>
              </w:rPr>
              <w:t>2</w:t>
            </w:r>
          </w:p>
        </w:tc>
        <w:tc>
          <w:tcPr>
            <w:tcW w:w="1985" w:type="dxa"/>
            <w:noWrap w:val="0"/>
            <w:vAlign w:val="center"/>
          </w:tcPr>
          <w:p w14:paraId="7C255FAB">
            <w:pPr>
              <w:rPr>
                <w:color w:val="auto"/>
              </w:rPr>
            </w:pPr>
            <w:r>
              <w:rPr>
                <w:rFonts w:hint="eastAsia" w:cs="宋体"/>
                <w:color w:val="auto"/>
              </w:rPr>
              <w:t>竞标有效期</w:t>
            </w:r>
          </w:p>
        </w:tc>
        <w:tc>
          <w:tcPr>
            <w:tcW w:w="1355" w:type="dxa"/>
            <w:noWrap w:val="0"/>
            <w:tcMar>
              <w:left w:w="170" w:type="dxa"/>
            </w:tcMar>
            <w:vAlign w:val="center"/>
          </w:tcPr>
          <w:p w14:paraId="2B9CC98F">
            <w:pPr>
              <w:rPr>
                <w:color w:val="auto"/>
              </w:rPr>
            </w:pPr>
          </w:p>
        </w:tc>
        <w:tc>
          <w:tcPr>
            <w:tcW w:w="3250" w:type="dxa"/>
            <w:noWrap w:val="0"/>
            <w:vAlign w:val="center"/>
          </w:tcPr>
          <w:p w14:paraId="0153361E">
            <w:pPr>
              <w:jc w:val="center"/>
              <w:rPr>
                <w:color w:val="auto"/>
                <w:u w:val="single"/>
              </w:rPr>
            </w:pPr>
            <w:r>
              <w:rPr>
                <w:rFonts w:hint="eastAsia" w:cs="宋体"/>
                <w:color w:val="auto"/>
              </w:rPr>
              <w:t>90天</w:t>
            </w:r>
          </w:p>
        </w:tc>
        <w:tc>
          <w:tcPr>
            <w:tcW w:w="1348" w:type="dxa"/>
            <w:noWrap w:val="0"/>
            <w:vAlign w:val="center"/>
          </w:tcPr>
          <w:p w14:paraId="384C4245">
            <w:pPr>
              <w:jc w:val="center"/>
              <w:rPr>
                <w:color w:val="auto"/>
              </w:rPr>
            </w:pPr>
          </w:p>
        </w:tc>
      </w:tr>
      <w:tr w14:paraId="04B6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D7D93CD">
            <w:pPr>
              <w:jc w:val="center"/>
              <w:rPr>
                <w:color w:val="auto"/>
              </w:rPr>
            </w:pPr>
            <w:r>
              <w:rPr>
                <w:color w:val="auto"/>
              </w:rPr>
              <w:t>3</w:t>
            </w:r>
          </w:p>
        </w:tc>
        <w:tc>
          <w:tcPr>
            <w:tcW w:w="1985" w:type="dxa"/>
            <w:noWrap w:val="0"/>
            <w:vAlign w:val="center"/>
          </w:tcPr>
          <w:p w14:paraId="5E032C63">
            <w:pPr>
              <w:rPr>
                <w:color w:val="auto"/>
              </w:rPr>
            </w:pPr>
            <w:r>
              <w:rPr>
                <w:rFonts w:hint="eastAsia" w:cs="宋体"/>
                <w:color w:val="auto"/>
              </w:rPr>
              <w:t>工期</w:t>
            </w:r>
          </w:p>
        </w:tc>
        <w:tc>
          <w:tcPr>
            <w:tcW w:w="1355" w:type="dxa"/>
            <w:noWrap w:val="0"/>
            <w:tcMar>
              <w:left w:w="170" w:type="dxa"/>
            </w:tcMar>
            <w:vAlign w:val="center"/>
          </w:tcPr>
          <w:p w14:paraId="7698A9E6">
            <w:pPr>
              <w:jc w:val="center"/>
              <w:rPr>
                <w:color w:val="auto"/>
              </w:rPr>
            </w:pPr>
            <w:r>
              <w:rPr>
                <w:rFonts w:hint="eastAsia" w:cs="宋体"/>
                <w:color w:val="auto"/>
              </w:rPr>
              <w:t>专用条款</w:t>
            </w:r>
          </w:p>
        </w:tc>
        <w:tc>
          <w:tcPr>
            <w:tcW w:w="3250" w:type="dxa"/>
            <w:noWrap w:val="0"/>
            <w:vAlign w:val="center"/>
          </w:tcPr>
          <w:p w14:paraId="4018829C">
            <w:pPr>
              <w:jc w:val="center"/>
              <w:rPr>
                <w:color w:val="auto"/>
              </w:rPr>
            </w:pPr>
            <w:r>
              <w:rPr>
                <w:rFonts w:hint="eastAsia"/>
                <w:color w:val="auto"/>
              </w:rPr>
              <w:t>自签订合同之日起</w:t>
            </w:r>
            <w:r>
              <w:rPr>
                <w:rFonts w:hint="eastAsia"/>
                <w:color w:val="auto"/>
                <w:lang w:eastAsia="zh-CN"/>
              </w:rPr>
              <w:t>90个日历日</w:t>
            </w:r>
            <w:r>
              <w:rPr>
                <w:rFonts w:hint="eastAsia"/>
                <w:color w:val="auto"/>
              </w:rPr>
              <w:t>内完工。</w:t>
            </w:r>
          </w:p>
        </w:tc>
        <w:tc>
          <w:tcPr>
            <w:tcW w:w="1348" w:type="dxa"/>
            <w:noWrap w:val="0"/>
            <w:vAlign w:val="center"/>
          </w:tcPr>
          <w:p w14:paraId="16374E77">
            <w:pPr>
              <w:jc w:val="center"/>
              <w:rPr>
                <w:color w:val="auto"/>
              </w:rPr>
            </w:pPr>
          </w:p>
        </w:tc>
      </w:tr>
      <w:tr w14:paraId="1D1B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1DE906F">
            <w:pPr>
              <w:jc w:val="center"/>
              <w:rPr>
                <w:color w:val="auto"/>
              </w:rPr>
            </w:pPr>
            <w:r>
              <w:rPr>
                <w:color w:val="auto"/>
              </w:rPr>
              <w:t>4</w:t>
            </w:r>
          </w:p>
        </w:tc>
        <w:tc>
          <w:tcPr>
            <w:tcW w:w="1985" w:type="dxa"/>
            <w:noWrap w:val="0"/>
            <w:vAlign w:val="center"/>
          </w:tcPr>
          <w:p w14:paraId="5A06235B">
            <w:pPr>
              <w:rPr>
                <w:color w:val="auto"/>
              </w:rPr>
            </w:pPr>
            <w:r>
              <w:rPr>
                <w:rFonts w:hint="eastAsia" w:cs="宋体"/>
                <w:color w:val="auto"/>
              </w:rPr>
              <w:t>缺陷责任期</w:t>
            </w:r>
          </w:p>
        </w:tc>
        <w:tc>
          <w:tcPr>
            <w:tcW w:w="1355" w:type="dxa"/>
            <w:noWrap w:val="0"/>
            <w:tcMar>
              <w:left w:w="170" w:type="dxa"/>
            </w:tcMar>
            <w:vAlign w:val="center"/>
          </w:tcPr>
          <w:p w14:paraId="735C4086">
            <w:pPr>
              <w:jc w:val="center"/>
              <w:rPr>
                <w:color w:val="auto"/>
              </w:rPr>
            </w:pPr>
            <w:r>
              <w:rPr>
                <w:rFonts w:hint="eastAsia" w:cs="宋体"/>
                <w:color w:val="auto"/>
              </w:rPr>
              <w:t>专用条款</w:t>
            </w:r>
          </w:p>
        </w:tc>
        <w:tc>
          <w:tcPr>
            <w:tcW w:w="3250" w:type="dxa"/>
            <w:noWrap w:val="0"/>
            <w:vAlign w:val="center"/>
          </w:tcPr>
          <w:p w14:paraId="60161442">
            <w:pPr>
              <w:jc w:val="center"/>
              <w:rPr>
                <w:color w:val="auto"/>
              </w:rPr>
            </w:pPr>
            <w:r>
              <w:rPr>
                <w:rFonts w:hint="eastAsia"/>
                <w:color w:val="auto"/>
              </w:rPr>
              <w:t>12个月</w:t>
            </w:r>
          </w:p>
        </w:tc>
        <w:tc>
          <w:tcPr>
            <w:tcW w:w="1348" w:type="dxa"/>
            <w:noWrap w:val="0"/>
            <w:vAlign w:val="center"/>
          </w:tcPr>
          <w:p w14:paraId="109BE68F">
            <w:pPr>
              <w:jc w:val="center"/>
              <w:rPr>
                <w:color w:val="auto"/>
              </w:rPr>
            </w:pPr>
          </w:p>
        </w:tc>
      </w:tr>
      <w:tr w14:paraId="36B0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36EDE0C">
            <w:pPr>
              <w:jc w:val="center"/>
              <w:rPr>
                <w:color w:val="auto"/>
              </w:rPr>
            </w:pPr>
            <w:r>
              <w:rPr>
                <w:color w:val="auto"/>
              </w:rPr>
              <w:t>5</w:t>
            </w:r>
          </w:p>
        </w:tc>
        <w:tc>
          <w:tcPr>
            <w:tcW w:w="1985" w:type="dxa"/>
            <w:noWrap w:val="0"/>
            <w:vAlign w:val="center"/>
          </w:tcPr>
          <w:p w14:paraId="2EF2DDC9">
            <w:pPr>
              <w:rPr>
                <w:color w:val="auto"/>
              </w:rPr>
            </w:pPr>
            <w:r>
              <w:rPr>
                <w:rFonts w:hint="eastAsia" w:cs="宋体"/>
                <w:color w:val="auto"/>
              </w:rPr>
              <w:t>发包人支付担保</w:t>
            </w:r>
          </w:p>
        </w:tc>
        <w:tc>
          <w:tcPr>
            <w:tcW w:w="1355" w:type="dxa"/>
            <w:noWrap w:val="0"/>
            <w:tcMar>
              <w:left w:w="170" w:type="dxa"/>
            </w:tcMar>
            <w:vAlign w:val="center"/>
          </w:tcPr>
          <w:p w14:paraId="22D64436">
            <w:pPr>
              <w:jc w:val="center"/>
              <w:rPr>
                <w:color w:val="auto"/>
              </w:rPr>
            </w:pPr>
            <w:r>
              <w:rPr>
                <w:rFonts w:hint="eastAsia" w:cs="宋体"/>
                <w:color w:val="auto"/>
              </w:rPr>
              <w:t>专用条款</w:t>
            </w:r>
          </w:p>
        </w:tc>
        <w:tc>
          <w:tcPr>
            <w:tcW w:w="3250" w:type="dxa"/>
            <w:noWrap w:val="0"/>
            <w:vAlign w:val="center"/>
          </w:tcPr>
          <w:p w14:paraId="4023E89D">
            <w:pPr>
              <w:jc w:val="center"/>
              <w:rPr>
                <w:color w:val="auto"/>
              </w:rPr>
            </w:pPr>
            <w:r>
              <w:rPr>
                <w:rFonts w:hint="eastAsia"/>
                <w:color w:val="auto"/>
              </w:rPr>
              <w:t>/</w:t>
            </w:r>
          </w:p>
        </w:tc>
        <w:tc>
          <w:tcPr>
            <w:tcW w:w="1348" w:type="dxa"/>
            <w:noWrap w:val="0"/>
            <w:vAlign w:val="center"/>
          </w:tcPr>
          <w:p w14:paraId="3DCAF082">
            <w:pPr>
              <w:jc w:val="center"/>
              <w:rPr>
                <w:color w:val="auto"/>
              </w:rPr>
            </w:pPr>
          </w:p>
        </w:tc>
      </w:tr>
      <w:tr w14:paraId="33F1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04F67C8">
            <w:pPr>
              <w:jc w:val="center"/>
              <w:rPr>
                <w:color w:val="auto"/>
              </w:rPr>
            </w:pPr>
            <w:r>
              <w:rPr>
                <w:color w:val="auto"/>
              </w:rPr>
              <w:t>6</w:t>
            </w:r>
          </w:p>
        </w:tc>
        <w:tc>
          <w:tcPr>
            <w:tcW w:w="1985" w:type="dxa"/>
            <w:noWrap w:val="0"/>
            <w:vAlign w:val="center"/>
          </w:tcPr>
          <w:p w14:paraId="73BA7CDA">
            <w:pPr>
              <w:rPr>
                <w:color w:val="auto"/>
              </w:rPr>
            </w:pPr>
            <w:r>
              <w:rPr>
                <w:rFonts w:hint="eastAsia" w:cs="宋体"/>
                <w:color w:val="auto"/>
              </w:rPr>
              <w:t>承包人履约担保金额</w:t>
            </w:r>
          </w:p>
        </w:tc>
        <w:tc>
          <w:tcPr>
            <w:tcW w:w="1355" w:type="dxa"/>
            <w:noWrap w:val="0"/>
            <w:tcMar>
              <w:left w:w="170" w:type="dxa"/>
            </w:tcMar>
            <w:vAlign w:val="center"/>
          </w:tcPr>
          <w:p w14:paraId="4528322A">
            <w:pPr>
              <w:jc w:val="center"/>
              <w:rPr>
                <w:color w:val="auto"/>
              </w:rPr>
            </w:pPr>
            <w:r>
              <w:rPr>
                <w:rFonts w:hint="eastAsia" w:cs="宋体"/>
                <w:color w:val="auto"/>
              </w:rPr>
              <w:t>专用条款</w:t>
            </w:r>
          </w:p>
        </w:tc>
        <w:tc>
          <w:tcPr>
            <w:tcW w:w="3250" w:type="dxa"/>
            <w:noWrap w:val="0"/>
            <w:vAlign w:val="center"/>
          </w:tcPr>
          <w:p w14:paraId="6C0473AB">
            <w:pPr>
              <w:jc w:val="center"/>
              <w:rPr>
                <w:color w:val="auto"/>
              </w:rPr>
            </w:pPr>
            <w:r>
              <w:rPr>
                <w:rFonts w:hint="eastAsia"/>
                <w:color w:val="auto"/>
              </w:rPr>
              <w:t>不提供</w:t>
            </w:r>
          </w:p>
        </w:tc>
        <w:tc>
          <w:tcPr>
            <w:tcW w:w="1348" w:type="dxa"/>
            <w:noWrap w:val="0"/>
            <w:vAlign w:val="center"/>
          </w:tcPr>
          <w:p w14:paraId="44963DF5">
            <w:pPr>
              <w:jc w:val="center"/>
              <w:rPr>
                <w:color w:val="auto"/>
              </w:rPr>
            </w:pPr>
          </w:p>
        </w:tc>
      </w:tr>
      <w:tr w14:paraId="7E82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5094EDE">
            <w:pPr>
              <w:jc w:val="center"/>
              <w:rPr>
                <w:color w:val="auto"/>
              </w:rPr>
            </w:pPr>
            <w:r>
              <w:rPr>
                <w:color w:val="auto"/>
              </w:rPr>
              <w:t>7</w:t>
            </w:r>
          </w:p>
        </w:tc>
        <w:tc>
          <w:tcPr>
            <w:tcW w:w="1985" w:type="dxa"/>
            <w:noWrap w:val="0"/>
            <w:vAlign w:val="center"/>
          </w:tcPr>
          <w:p w14:paraId="572BB2F9">
            <w:pPr>
              <w:rPr>
                <w:color w:val="auto"/>
              </w:rPr>
            </w:pPr>
            <w:r>
              <w:rPr>
                <w:rFonts w:hint="eastAsia" w:cs="宋体"/>
                <w:color w:val="auto"/>
              </w:rPr>
              <w:t>分包</w:t>
            </w:r>
          </w:p>
        </w:tc>
        <w:tc>
          <w:tcPr>
            <w:tcW w:w="1355" w:type="dxa"/>
            <w:noWrap w:val="0"/>
            <w:tcMar>
              <w:left w:w="170" w:type="dxa"/>
            </w:tcMar>
            <w:vAlign w:val="center"/>
          </w:tcPr>
          <w:p w14:paraId="6F7A7EF7">
            <w:pPr>
              <w:jc w:val="center"/>
              <w:rPr>
                <w:color w:val="auto"/>
              </w:rPr>
            </w:pPr>
            <w:r>
              <w:rPr>
                <w:rFonts w:hint="eastAsia" w:cs="宋体"/>
                <w:color w:val="auto"/>
              </w:rPr>
              <w:t>专用条款</w:t>
            </w:r>
          </w:p>
        </w:tc>
        <w:tc>
          <w:tcPr>
            <w:tcW w:w="3250" w:type="dxa"/>
            <w:noWrap w:val="0"/>
            <w:vAlign w:val="center"/>
          </w:tcPr>
          <w:p w14:paraId="3BCB9BEB">
            <w:pPr>
              <w:jc w:val="center"/>
              <w:rPr>
                <w:rFonts w:hint="eastAsia"/>
                <w:color w:val="auto"/>
              </w:rPr>
            </w:pPr>
            <w:r>
              <w:rPr>
                <w:rFonts w:hint="eastAsia" w:cs="宋体"/>
                <w:color w:val="auto"/>
              </w:rPr>
              <w:t>不允许分包</w:t>
            </w:r>
          </w:p>
        </w:tc>
        <w:tc>
          <w:tcPr>
            <w:tcW w:w="1348" w:type="dxa"/>
            <w:noWrap w:val="0"/>
            <w:vAlign w:val="center"/>
          </w:tcPr>
          <w:p w14:paraId="067F32FF">
            <w:pPr>
              <w:jc w:val="center"/>
              <w:rPr>
                <w:color w:val="auto"/>
              </w:rPr>
            </w:pPr>
          </w:p>
        </w:tc>
      </w:tr>
      <w:tr w14:paraId="25D2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BB613FD">
            <w:pPr>
              <w:jc w:val="center"/>
              <w:rPr>
                <w:color w:val="auto"/>
              </w:rPr>
            </w:pPr>
            <w:r>
              <w:rPr>
                <w:color w:val="auto"/>
              </w:rPr>
              <w:t>8</w:t>
            </w:r>
          </w:p>
        </w:tc>
        <w:tc>
          <w:tcPr>
            <w:tcW w:w="1985" w:type="dxa"/>
            <w:noWrap w:val="0"/>
            <w:vAlign w:val="center"/>
          </w:tcPr>
          <w:p w14:paraId="63180CDF">
            <w:pPr>
              <w:rPr>
                <w:color w:val="auto"/>
              </w:rPr>
            </w:pPr>
            <w:r>
              <w:rPr>
                <w:rFonts w:hint="eastAsia" w:cs="宋体"/>
                <w:color w:val="auto"/>
              </w:rPr>
              <w:t>逾期竣工违约金</w:t>
            </w:r>
          </w:p>
        </w:tc>
        <w:tc>
          <w:tcPr>
            <w:tcW w:w="1355" w:type="dxa"/>
            <w:noWrap w:val="0"/>
            <w:tcMar>
              <w:left w:w="170" w:type="dxa"/>
            </w:tcMar>
            <w:vAlign w:val="center"/>
          </w:tcPr>
          <w:p w14:paraId="27CFDC30">
            <w:pPr>
              <w:jc w:val="center"/>
              <w:rPr>
                <w:color w:val="auto"/>
              </w:rPr>
            </w:pPr>
            <w:r>
              <w:rPr>
                <w:rFonts w:hint="eastAsia" w:cs="宋体"/>
                <w:color w:val="auto"/>
              </w:rPr>
              <w:t>专用条款</w:t>
            </w:r>
          </w:p>
        </w:tc>
        <w:tc>
          <w:tcPr>
            <w:tcW w:w="3250" w:type="dxa"/>
            <w:noWrap w:val="0"/>
            <w:vAlign w:val="center"/>
          </w:tcPr>
          <w:p w14:paraId="45760E14">
            <w:pPr>
              <w:jc w:val="center"/>
              <w:rPr>
                <w:color w:val="auto"/>
              </w:rPr>
            </w:pPr>
            <w:r>
              <w:rPr>
                <w:color w:val="auto"/>
              </w:rPr>
              <w:t>因承包人原因造成工期延误，逾期竣工违约金的计算方法为：</w:t>
            </w:r>
            <w:r>
              <w:rPr>
                <w:rFonts w:hint="eastAsia"/>
                <w:color w:val="auto"/>
              </w:rPr>
              <w:t>每逾期1天，罚款10000元。</w:t>
            </w:r>
          </w:p>
        </w:tc>
        <w:tc>
          <w:tcPr>
            <w:tcW w:w="1348" w:type="dxa"/>
            <w:noWrap w:val="0"/>
            <w:vAlign w:val="center"/>
          </w:tcPr>
          <w:p w14:paraId="3AF3E230">
            <w:pPr>
              <w:jc w:val="center"/>
              <w:rPr>
                <w:color w:val="auto"/>
              </w:rPr>
            </w:pPr>
          </w:p>
        </w:tc>
      </w:tr>
      <w:tr w14:paraId="07D4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91139DD">
            <w:pPr>
              <w:jc w:val="center"/>
              <w:rPr>
                <w:color w:val="auto"/>
              </w:rPr>
            </w:pPr>
            <w:r>
              <w:rPr>
                <w:color w:val="auto"/>
              </w:rPr>
              <w:t>9</w:t>
            </w:r>
          </w:p>
        </w:tc>
        <w:tc>
          <w:tcPr>
            <w:tcW w:w="1985" w:type="dxa"/>
            <w:noWrap w:val="0"/>
            <w:vAlign w:val="center"/>
          </w:tcPr>
          <w:p w14:paraId="0480C2B9">
            <w:pPr>
              <w:rPr>
                <w:color w:val="auto"/>
              </w:rPr>
            </w:pPr>
            <w:r>
              <w:rPr>
                <w:rFonts w:hint="eastAsia" w:cs="宋体"/>
                <w:color w:val="auto"/>
              </w:rPr>
              <w:t>逾期竣工违约金最高限额</w:t>
            </w:r>
          </w:p>
        </w:tc>
        <w:tc>
          <w:tcPr>
            <w:tcW w:w="1355" w:type="dxa"/>
            <w:noWrap w:val="0"/>
            <w:tcMar>
              <w:left w:w="170" w:type="dxa"/>
            </w:tcMar>
            <w:vAlign w:val="center"/>
          </w:tcPr>
          <w:p w14:paraId="30B8F10C">
            <w:pPr>
              <w:jc w:val="center"/>
              <w:rPr>
                <w:color w:val="auto"/>
              </w:rPr>
            </w:pPr>
            <w:r>
              <w:rPr>
                <w:rFonts w:hint="eastAsia" w:cs="宋体"/>
                <w:color w:val="auto"/>
              </w:rPr>
              <w:t>专用条款</w:t>
            </w:r>
          </w:p>
        </w:tc>
        <w:tc>
          <w:tcPr>
            <w:tcW w:w="3250" w:type="dxa"/>
            <w:noWrap w:val="0"/>
            <w:vAlign w:val="center"/>
          </w:tcPr>
          <w:p w14:paraId="0163314E">
            <w:pPr>
              <w:jc w:val="center"/>
              <w:rPr>
                <w:color w:val="auto"/>
              </w:rPr>
            </w:pPr>
            <w:r>
              <w:rPr>
                <w:color w:val="auto"/>
              </w:rPr>
              <w:t>合同价的</w:t>
            </w:r>
            <w:r>
              <w:rPr>
                <w:rFonts w:hint="eastAsia"/>
                <w:color w:val="auto"/>
              </w:rPr>
              <w:t>5</w:t>
            </w:r>
            <w:r>
              <w:rPr>
                <w:color w:val="auto"/>
              </w:rPr>
              <w:t>%</w:t>
            </w:r>
          </w:p>
        </w:tc>
        <w:tc>
          <w:tcPr>
            <w:tcW w:w="1348" w:type="dxa"/>
            <w:noWrap w:val="0"/>
            <w:vAlign w:val="center"/>
          </w:tcPr>
          <w:p w14:paraId="20B0A2BF">
            <w:pPr>
              <w:jc w:val="center"/>
              <w:rPr>
                <w:color w:val="auto"/>
              </w:rPr>
            </w:pPr>
          </w:p>
        </w:tc>
      </w:tr>
      <w:tr w14:paraId="1AB2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E17ED21">
            <w:pPr>
              <w:jc w:val="center"/>
              <w:rPr>
                <w:color w:val="auto"/>
              </w:rPr>
            </w:pPr>
            <w:r>
              <w:rPr>
                <w:color w:val="auto"/>
              </w:rPr>
              <w:t>10</w:t>
            </w:r>
          </w:p>
        </w:tc>
        <w:tc>
          <w:tcPr>
            <w:tcW w:w="1985" w:type="dxa"/>
            <w:noWrap w:val="0"/>
            <w:vAlign w:val="center"/>
          </w:tcPr>
          <w:p w14:paraId="2AF661B7">
            <w:pPr>
              <w:rPr>
                <w:color w:val="auto"/>
              </w:rPr>
            </w:pPr>
            <w:r>
              <w:rPr>
                <w:rFonts w:hint="eastAsia" w:cs="宋体"/>
                <w:color w:val="auto"/>
              </w:rPr>
              <w:t>质量标准</w:t>
            </w:r>
          </w:p>
        </w:tc>
        <w:tc>
          <w:tcPr>
            <w:tcW w:w="1355" w:type="dxa"/>
            <w:noWrap w:val="0"/>
            <w:tcMar>
              <w:left w:w="170" w:type="dxa"/>
            </w:tcMar>
            <w:vAlign w:val="center"/>
          </w:tcPr>
          <w:p w14:paraId="77A3FB5A">
            <w:pPr>
              <w:jc w:val="center"/>
              <w:rPr>
                <w:color w:val="auto"/>
              </w:rPr>
            </w:pPr>
            <w:r>
              <w:rPr>
                <w:rFonts w:hint="eastAsia" w:cs="宋体"/>
                <w:color w:val="auto"/>
              </w:rPr>
              <w:t>专用条款</w:t>
            </w:r>
          </w:p>
        </w:tc>
        <w:tc>
          <w:tcPr>
            <w:tcW w:w="3250" w:type="dxa"/>
            <w:noWrap w:val="0"/>
            <w:vAlign w:val="center"/>
          </w:tcPr>
          <w:p w14:paraId="22AEDA33">
            <w:pPr>
              <w:jc w:val="center"/>
              <w:rPr>
                <w:color w:val="auto"/>
              </w:rPr>
            </w:pPr>
            <w:r>
              <w:rPr>
                <w:rFonts w:hint="eastAsia"/>
                <w:color w:val="auto"/>
              </w:rPr>
              <w:t>满足国家现行与本项目相应的施工竣工验收规范之“合格”标准。</w:t>
            </w:r>
          </w:p>
        </w:tc>
        <w:tc>
          <w:tcPr>
            <w:tcW w:w="1348" w:type="dxa"/>
            <w:noWrap w:val="0"/>
            <w:vAlign w:val="center"/>
          </w:tcPr>
          <w:p w14:paraId="20C8C820">
            <w:pPr>
              <w:jc w:val="center"/>
              <w:rPr>
                <w:color w:val="auto"/>
              </w:rPr>
            </w:pPr>
          </w:p>
        </w:tc>
      </w:tr>
      <w:tr w14:paraId="2265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98E3489">
            <w:pPr>
              <w:jc w:val="center"/>
              <w:rPr>
                <w:color w:val="auto"/>
              </w:rPr>
            </w:pPr>
            <w:r>
              <w:rPr>
                <w:color w:val="auto"/>
              </w:rPr>
              <w:t>11</w:t>
            </w:r>
          </w:p>
        </w:tc>
        <w:tc>
          <w:tcPr>
            <w:tcW w:w="1985" w:type="dxa"/>
            <w:noWrap w:val="0"/>
            <w:vAlign w:val="center"/>
          </w:tcPr>
          <w:p w14:paraId="62F81A82">
            <w:pPr>
              <w:rPr>
                <w:color w:val="auto"/>
              </w:rPr>
            </w:pPr>
            <w:r>
              <w:rPr>
                <w:rFonts w:hint="eastAsia" w:cs="宋体"/>
                <w:color w:val="auto"/>
              </w:rPr>
              <w:t>预付款额度</w:t>
            </w:r>
          </w:p>
        </w:tc>
        <w:tc>
          <w:tcPr>
            <w:tcW w:w="1355" w:type="dxa"/>
            <w:noWrap w:val="0"/>
            <w:tcMar>
              <w:left w:w="170" w:type="dxa"/>
            </w:tcMar>
            <w:vAlign w:val="center"/>
          </w:tcPr>
          <w:p w14:paraId="00B9901D">
            <w:pPr>
              <w:jc w:val="center"/>
              <w:rPr>
                <w:color w:val="auto"/>
              </w:rPr>
            </w:pPr>
            <w:r>
              <w:rPr>
                <w:rFonts w:hint="eastAsia" w:cs="宋体"/>
                <w:color w:val="auto"/>
              </w:rPr>
              <w:t>专用条款</w:t>
            </w:r>
          </w:p>
        </w:tc>
        <w:tc>
          <w:tcPr>
            <w:tcW w:w="3250" w:type="dxa"/>
            <w:noWrap w:val="0"/>
            <w:vAlign w:val="center"/>
          </w:tcPr>
          <w:p w14:paraId="4D59ACE0">
            <w:pPr>
              <w:jc w:val="center"/>
              <w:rPr>
                <w:color w:val="auto"/>
              </w:rPr>
            </w:pPr>
            <w:r>
              <w:rPr>
                <w:rFonts w:hint="eastAsia"/>
                <w:color w:val="auto"/>
                <w:lang w:val="en-US" w:eastAsia="zh-CN"/>
              </w:rPr>
              <w:t>1</w:t>
            </w:r>
            <w:r>
              <w:rPr>
                <w:rFonts w:hint="eastAsia"/>
                <w:color w:val="auto"/>
              </w:rPr>
              <w:t>0%</w:t>
            </w:r>
          </w:p>
        </w:tc>
        <w:tc>
          <w:tcPr>
            <w:tcW w:w="1348" w:type="dxa"/>
            <w:noWrap w:val="0"/>
            <w:vAlign w:val="center"/>
          </w:tcPr>
          <w:p w14:paraId="15732E2B">
            <w:pPr>
              <w:jc w:val="center"/>
              <w:rPr>
                <w:color w:val="auto"/>
              </w:rPr>
            </w:pPr>
          </w:p>
        </w:tc>
      </w:tr>
      <w:tr w14:paraId="4538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1F825F6">
            <w:pPr>
              <w:jc w:val="center"/>
              <w:rPr>
                <w:color w:val="auto"/>
              </w:rPr>
            </w:pPr>
            <w:r>
              <w:rPr>
                <w:color w:val="auto"/>
              </w:rPr>
              <w:t>12</w:t>
            </w:r>
          </w:p>
        </w:tc>
        <w:tc>
          <w:tcPr>
            <w:tcW w:w="1985" w:type="dxa"/>
            <w:noWrap w:val="0"/>
            <w:vAlign w:val="center"/>
          </w:tcPr>
          <w:p w14:paraId="6D35B5EA">
            <w:pPr>
              <w:rPr>
                <w:color w:val="auto"/>
              </w:rPr>
            </w:pPr>
            <w:r>
              <w:rPr>
                <w:rFonts w:hint="eastAsia" w:cs="宋体"/>
                <w:color w:val="auto"/>
              </w:rPr>
              <w:t>预付款保函金额</w:t>
            </w:r>
          </w:p>
        </w:tc>
        <w:tc>
          <w:tcPr>
            <w:tcW w:w="1355" w:type="dxa"/>
            <w:noWrap w:val="0"/>
            <w:tcMar>
              <w:left w:w="170" w:type="dxa"/>
            </w:tcMar>
            <w:vAlign w:val="center"/>
          </w:tcPr>
          <w:p w14:paraId="5D56C16B">
            <w:pPr>
              <w:jc w:val="center"/>
              <w:rPr>
                <w:color w:val="auto"/>
              </w:rPr>
            </w:pPr>
            <w:r>
              <w:rPr>
                <w:rFonts w:hint="eastAsia" w:cs="宋体"/>
                <w:color w:val="auto"/>
              </w:rPr>
              <w:t>专用条款</w:t>
            </w:r>
          </w:p>
        </w:tc>
        <w:tc>
          <w:tcPr>
            <w:tcW w:w="3250" w:type="dxa"/>
            <w:noWrap w:val="0"/>
            <w:vAlign w:val="center"/>
          </w:tcPr>
          <w:p w14:paraId="04A41227">
            <w:pPr>
              <w:jc w:val="center"/>
              <w:rPr>
                <w:rFonts w:hint="eastAsia"/>
                <w:color w:val="auto"/>
              </w:rPr>
            </w:pPr>
            <w:r>
              <w:rPr>
                <w:rFonts w:hint="eastAsia"/>
                <w:color w:val="auto"/>
              </w:rPr>
              <w:t>/</w:t>
            </w:r>
          </w:p>
        </w:tc>
        <w:tc>
          <w:tcPr>
            <w:tcW w:w="1348" w:type="dxa"/>
            <w:noWrap w:val="0"/>
            <w:vAlign w:val="center"/>
          </w:tcPr>
          <w:p w14:paraId="6142DA4D">
            <w:pPr>
              <w:jc w:val="center"/>
              <w:rPr>
                <w:color w:val="auto"/>
              </w:rPr>
            </w:pPr>
          </w:p>
        </w:tc>
      </w:tr>
      <w:tr w14:paraId="2FCB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5119CC4">
            <w:pPr>
              <w:jc w:val="center"/>
              <w:rPr>
                <w:color w:val="auto"/>
              </w:rPr>
            </w:pPr>
            <w:r>
              <w:rPr>
                <w:color w:val="auto"/>
              </w:rPr>
              <w:t>13</w:t>
            </w:r>
          </w:p>
        </w:tc>
        <w:tc>
          <w:tcPr>
            <w:tcW w:w="1985" w:type="dxa"/>
            <w:noWrap w:val="0"/>
            <w:vAlign w:val="center"/>
          </w:tcPr>
          <w:p w14:paraId="243EC0EF">
            <w:pPr>
              <w:rPr>
                <w:color w:val="auto"/>
              </w:rPr>
            </w:pPr>
            <w:r>
              <w:rPr>
                <w:rFonts w:hint="eastAsia" w:cs="宋体"/>
                <w:color w:val="auto"/>
              </w:rPr>
              <w:t>质量保证金额度</w:t>
            </w:r>
          </w:p>
        </w:tc>
        <w:tc>
          <w:tcPr>
            <w:tcW w:w="1355" w:type="dxa"/>
            <w:noWrap w:val="0"/>
            <w:tcMar>
              <w:left w:w="170" w:type="dxa"/>
            </w:tcMar>
            <w:vAlign w:val="center"/>
          </w:tcPr>
          <w:p w14:paraId="2C290713">
            <w:pPr>
              <w:jc w:val="center"/>
              <w:rPr>
                <w:color w:val="auto"/>
              </w:rPr>
            </w:pPr>
            <w:r>
              <w:rPr>
                <w:rFonts w:hint="eastAsia" w:cs="宋体"/>
                <w:color w:val="auto"/>
              </w:rPr>
              <w:t>专用条款</w:t>
            </w:r>
          </w:p>
        </w:tc>
        <w:tc>
          <w:tcPr>
            <w:tcW w:w="3250" w:type="dxa"/>
            <w:noWrap w:val="0"/>
            <w:vAlign w:val="center"/>
          </w:tcPr>
          <w:p w14:paraId="693ADBE4">
            <w:pPr>
              <w:jc w:val="center"/>
              <w:rPr>
                <w:color w:val="auto"/>
              </w:rPr>
            </w:pPr>
            <w:r>
              <w:rPr>
                <w:rFonts w:hint="eastAsia" w:cs="宋体"/>
                <w:color w:val="auto"/>
              </w:rPr>
              <w:t>结算价的</w:t>
            </w:r>
            <w:r>
              <w:rPr>
                <w:rFonts w:hint="eastAsia"/>
                <w:color w:val="auto"/>
                <w:u w:val="single"/>
              </w:rPr>
              <w:t>3</w:t>
            </w:r>
            <w:r>
              <w:rPr>
                <w:color w:val="auto"/>
                <w:u w:val="single"/>
              </w:rPr>
              <w:t xml:space="preserve"> </w:t>
            </w:r>
            <w:r>
              <w:rPr>
                <w:color w:val="auto"/>
              </w:rPr>
              <w:t>%</w:t>
            </w:r>
          </w:p>
        </w:tc>
        <w:tc>
          <w:tcPr>
            <w:tcW w:w="1348" w:type="dxa"/>
            <w:noWrap w:val="0"/>
            <w:vAlign w:val="center"/>
          </w:tcPr>
          <w:p w14:paraId="09A95E9C">
            <w:pPr>
              <w:jc w:val="center"/>
              <w:rPr>
                <w:color w:val="auto"/>
              </w:rPr>
            </w:pPr>
          </w:p>
        </w:tc>
      </w:tr>
      <w:tr w14:paraId="45F9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6A2591D6">
            <w:pPr>
              <w:spacing w:line="360" w:lineRule="auto"/>
              <w:rPr>
                <w:color w:val="auto"/>
              </w:rPr>
            </w:pPr>
            <w:r>
              <w:rPr>
                <w:rFonts w:hint="eastAsia" w:cs="宋体"/>
                <w:color w:val="auto"/>
              </w:rPr>
              <w:t>说明：供应商在响应磋商文件中规定的实质性要求和条件的基础上，可做出其他有利于采购人的承诺。此类承诺可在本表中予以补充填写。</w:t>
            </w:r>
          </w:p>
        </w:tc>
      </w:tr>
    </w:tbl>
    <w:p w14:paraId="2022B897">
      <w:pPr>
        <w:spacing w:line="360" w:lineRule="auto"/>
        <w:ind w:right="-817" w:rightChars="-389" w:firstLine="2640" w:firstLineChars="1100"/>
        <w:contextualSpacing/>
        <w:rPr>
          <w:rFonts w:hint="eastAsia" w:ascii="宋体" w:hAnsi="宋体" w:cs="仿宋_GB2312"/>
          <w:color w:val="auto"/>
          <w:sz w:val="24"/>
        </w:rPr>
      </w:pPr>
    </w:p>
    <w:p w14:paraId="46ACADC4">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法定代表人或者委托代理人（签字或者电子签名）：                    </w:t>
      </w:r>
    </w:p>
    <w:p w14:paraId="6B3CA43C">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供应商（电子签章）：      </w:t>
      </w:r>
    </w:p>
    <w:p w14:paraId="3DAB8ABC">
      <w:pPr>
        <w:spacing w:line="360" w:lineRule="auto"/>
        <w:jc w:val="center"/>
        <w:rPr>
          <w:rFonts w:hint="eastAsia" w:ascii="宋体" w:hAnsi="宋体" w:cs="仿宋_GB2312"/>
          <w:color w:val="auto"/>
          <w:sz w:val="24"/>
        </w:rPr>
      </w:pPr>
      <w:r>
        <w:rPr>
          <w:rFonts w:hint="eastAsia" w:ascii="宋体" w:hAnsi="宋体" w:cs="仿宋_GB2312"/>
          <w:color w:val="auto"/>
          <w:sz w:val="24"/>
        </w:rPr>
        <w:t>日期：   年   月   日</w:t>
      </w:r>
    </w:p>
    <w:p w14:paraId="2E3B0E55">
      <w:pPr>
        <w:spacing w:line="360" w:lineRule="auto"/>
        <w:jc w:val="center"/>
        <w:rPr>
          <w:rFonts w:hint="eastAsia" w:ascii="方正小标宋简体" w:hAnsi="方正小标宋简体" w:eastAsia="方正小标宋简体" w:cs="方正小标宋简体"/>
          <w:bCs/>
          <w:color w:val="auto"/>
          <w:sz w:val="32"/>
          <w:szCs w:val="32"/>
        </w:rPr>
      </w:pPr>
      <w:r>
        <w:rPr>
          <w:rFonts w:ascii="宋体" w:hAnsi="宋体" w:cs="仿宋_GB2312"/>
          <w:color w:val="auto"/>
          <w:sz w:val="24"/>
        </w:rPr>
        <w:br w:type="page"/>
      </w:r>
      <w:r>
        <w:rPr>
          <w:rFonts w:hint="eastAsia" w:ascii="宋体" w:hAnsi="宋体" w:cs="方正小标宋简体"/>
          <w:b/>
          <w:bCs/>
          <w:color w:val="auto"/>
          <w:sz w:val="32"/>
          <w:szCs w:val="32"/>
        </w:rPr>
        <w:t>竞标报价表</w:t>
      </w:r>
    </w:p>
    <w:p w14:paraId="1143A55D">
      <w:pPr>
        <w:spacing w:line="440" w:lineRule="exact"/>
        <w:jc w:val="center"/>
        <w:rPr>
          <w:rFonts w:hint="eastAsia" w:ascii="方正小标宋简体" w:hAnsi="方正小标宋简体" w:eastAsia="方正小标宋简体" w:cs="方正小标宋简体"/>
          <w:bCs/>
          <w:color w:val="auto"/>
          <w:sz w:val="32"/>
          <w:szCs w:val="32"/>
        </w:rPr>
      </w:pPr>
    </w:p>
    <w:p w14:paraId="5605CB5D">
      <w:pPr>
        <w:spacing w:line="360" w:lineRule="auto"/>
        <w:contextualSpacing/>
        <w:rPr>
          <w:rFonts w:hint="eastAsia"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4B12B439">
      <w:pPr>
        <w:spacing w:line="360" w:lineRule="auto"/>
        <w:contextualSpacing/>
        <w:rPr>
          <w:rFonts w:hint="eastAsia" w:ascii="宋体" w:hAnsi="宋体" w:cs="仿宋_GB2312"/>
          <w:color w:val="auto"/>
          <w:sz w:val="24"/>
          <w:u w:val="single"/>
        </w:rPr>
      </w:pPr>
      <w:r>
        <w:rPr>
          <w:rFonts w:hint="eastAsia" w:ascii="宋体" w:hAnsi="宋体" w:cs="仿宋_GB2312"/>
          <w:color w:val="auto"/>
          <w:sz w:val="24"/>
        </w:rPr>
        <w:t>分标（如有）：</w:t>
      </w:r>
      <w:r>
        <w:rPr>
          <w:rFonts w:hint="eastAsia" w:ascii="宋体" w:hAnsi="宋体" w:cs="仿宋_GB2312"/>
          <w:color w:val="auto"/>
          <w:sz w:val="24"/>
          <w:u w:val="single"/>
        </w:rPr>
        <w:t xml:space="preserve">            </w:t>
      </w:r>
    </w:p>
    <w:p w14:paraId="1B723246">
      <w:pPr>
        <w:spacing w:line="360" w:lineRule="auto"/>
        <w:contextualSpacing/>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55E354FB">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                                                单位：元</w:t>
      </w:r>
    </w:p>
    <w:tbl>
      <w:tblPr>
        <w:tblStyle w:val="45"/>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993"/>
        <w:gridCol w:w="1453"/>
        <w:gridCol w:w="2878"/>
        <w:gridCol w:w="1184"/>
      </w:tblGrid>
      <w:tr w14:paraId="73E0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57C3173B">
            <w:pPr>
              <w:spacing w:line="360" w:lineRule="auto"/>
              <w:contextualSpacing/>
              <w:jc w:val="center"/>
              <w:rPr>
                <w:rFonts w:ascii="宋体" w:hAnsi="宋体" w:cs="仿宋_GB2312"/>
                <w:color w:val="auto"/>
                <w:sz w:val="24"/>
              </w:rPr>
            </w:pPr>
            <w:r>
              <w:rPr>
                <w:rFonts w:ascii="宋体" w:hAnsi="宋体" w:cs="仿宋_GB2312"/>
                <w:color w:val="auto"/>
                <w:sz w:val="24"/>
              </w:rPr>
              <w:t>序号</w:t>
            </w:r>
          </w:p>
        </w:tc>
        <w:tc>
          <w:tcPr>
            <w:tcW w:w="2993" w:type="dxa"/>
            <w:tcBorders>
              <w:top w:val="single" w:color="auto" w:sz="4" w:space="0"/>
              <w:left w:val="single" w:color="auto" w:sz="4" w:space="0"/>
              <w:bottom w:val="single" w:color="auto" w:sz="4" w:space="0"/>
              <w:right w:val="single" w:color="auto" w:sz="4" w:space="0"/>
            </w:tcBorders>
            <w:noWrap w:val="0"/>
            <w:vAlign w:val="center"/>
          </w:tcPr>
          <w:p w14:paraId="54F1301C">
            <w:pPr>
              <w:spacing w:line="360" w:lineRule="auto"/>
              <w:contextualSpacing/>
              <w:jc w:val="center"/>
              <w:rPr>
                <w:rFonts w:ascii="宋体" w:hAnsi="宋体" w:cs="仿宋_GB2312"/>
                <w:color w:val="auto"/>
                <w:sz w:val="24"/>
              </w:rPr>
            </w:pPr>
            <w:r>
              <w:rPr>
                <w:rFonts w:hint="eastAsia" w:ascii="宋体" w:hAnsi="宋体" w:cs="仿宋_GB2312"/>
                <w:color w:val="auto"/>
                <w:sz w:val="24"/>
              </w:rPr>
              <w:t>标的的名称</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6DFBA63B">
            <w:pPr>
              <w:spacing w:line="360" w:lineRule="auto"/>
              <w:contextualSpacing/>
              <w:jc w:val="center"/>
              <w:rPr>
                <w:rFonts w:ascii="宋体" w:hAnsi="宋体" w:cs="仿宋_GB2312"/>
                <w:color w:val="auto"/>
                <w:sz w:val="24"/>
              </w:rPr>
            </w:pPr>
            <w:r>
              <w:rPr>
                <w:rFonts w:hint="eastAsia" w:ascii="宋体" w:hAnsi="宋体" w:cs="仿宋_GB2312"/>
                <w:color w:val="auto"/>
                <w:sz w:val="24"/>
              </w:rPr>
              <w:t>数量及单位</w:t>
            </w:r>
          </w:p>
        </w:tc>
        <w:tc>
          <w:tcPr>
            <w:tcW w:w="2878" w:type="dxa"/>
            <w:tcBorders>
              <w:top w:val="single" w:color="auto" w:sz="4" w:space="0"/>
              <w:left w:val="single" w:color="auto" w:sz="4" w:space="0"/>
              <w:bottom w:val="single" w:color="auto" w:sz="4" w:space="0"/>
              <w:right w:val="single" w:color="auto" w:sz="4" w:space="0"/>
            </w:tcBorders>
            <w:noWrap w:val="0"/>
            <w:vAlign w:val="center"/>
          </w:tcPr>
          <w:p w14:paraId="66B7990D">
            <w:pPr>
              <w:spacing w:line="360" w:lineRule="auto"/>
              <w:contextualSpacing/>
              <w:jc w:val="center"/>
              <w:rPr>
                <w:rFonts w:ascii="宋体" w:hAnsi="宋体" w:cs="仿宋_GB2312"/>
                <w:color w:val="auto"/>
                <w:sz w:val="24"/>
              </w:rPr>
            </w:pPr>
            <w:r>
              <w:rPr>
                <w:rFonts w:hint="eastAsia" w:ascii="宋体" w:hAnsi="宋体" w:cs="仿宋_GB2312"/>
                <w:color w:val="auto"/>
                <w:sz w:val="24"/>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C36AA14">
            <w:pPr>
              <w:spacing w:line="360" w:lineRule="auto"/>
              <w:contextualSpacing/>
              <w:jc w:val="center"/>
              <w:rPr>
                <w:rFonts w:ascii="宋体" w:hAnsi="宋体" w:cs="仿宋_GB2312"/>
                <w:color w:val="auto"/>
                <w:sz w:val="24"/>
              </w:rPr>
            </w:pPr>
            <w:r>
              <w:rPr>
                <w:rFonts w:ascii="宋体" w:hAnsi="宋体" w:cs="仿宋_GB2312"/>
                <w:color w:val="auto"/>
                <w:sz w:val="24"/>
              </w:rPr>
              <w:t>备注</w:t>
            </w:r>
          </w:p>
        </w:tc>
      </w:tr>
      <w:tr w14:paraId="36D1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B4FA71C">
            <w:pPr>
              <w:spacing w:line="360" w:lineRule="auto"/>
              <w:contextualSpacing/>
              <w:jc w:val="center"/>
              <w:rPr>
                <w:rFonts w:ascii="宋体" w:hAnsi="宋体" w:cs="仿宋_GB2312"/>
                <w:color w:val="auto"/>
                <w:sz w:val="24"/>
              </w:rPr>
            </w:pPr>
            <w:r>
              <w:rPr>
                <w:rFonts w:ascii="宋体" w:hAnsi="宋体" w:cs="仿宋_GB2312"/>
                <w:color w:val="auto"/>
                <w:sz w:val="24"/>
              </w:rPr>
              <w:t>1</w:t>
            </w:r>
          </w:p>
        </w:tc>
        <w:tc>
          <w:tcPr>
            <w:tcW w:w="2993" w:type="dxa"/>
            <w:tcBorders>
              <w:top w:val="single" w:color="auto" w:sz="4" w:space="0"/>
              <w:left w:val="single" w:color="auto" w:sz="4" w:space="0"/>
              <w:bottom w:val="single" w:color="auto" w:sz="4" w:space="0"/>
              <w:right w:val="single" w:color="auto" w:sz="4" w:space="0"/>
            </w:tcBorders>
            <w:noWrap w:val="0"/>
            <w:vAlign w:val="center"/>
          </w:tcPr>
          <w:p w14:paraId="53C93B69">
            <w:pPr>
              <w:spacing w:line="360" w:lineRule="auto"/>
              <w:contextualSpacing/>
              <w:jc w:val="center"/>
              <w:rPr>
                <w:rFonts w:hint="eastAsia" w:ascii="宋体" w:hAnsi="宋体" w:eastAsia="宋体" w:cs="仿宋_GB2312"/>
                <w:color w:val="auto"/>
                <w:sz w:val="24"/>
                <w:lang w:eastAsia="zh-CN"/>
              </w:rPr>
            </w:pPr>
            <w:r>
              <w:rPr>
                <w:rFonts w:hint="eastAsia" w:ascii="宋体" w:hAnsi="宋体" w:cs="仿宋_GB2312"/>
                <w:color w:val="auto"/>
                <w:sz w:val="24"/>
                <w:lang w:eastAsia="zh-CN"/>
              </w:rPr>
              <w:t>岑溪市梨木中学学生食堂扩建工程</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04691741">
            <w:pPr>
              <w:spacing w:line="360" w:lineRule="auto"/>
              <w:contextualSpacing/>
              <w:jc w:val="center"/>
              <w:rPr>
                <w:rFonts w:ascii="宋体" w:hAnsi="宋体" w:cs="仿宋_GB2312"/>
                <w:color w:val="auto"/>
                <w:sz w:val="24"/>
              </w:rPr>
            </w:pPr>
            <w:r>
              <w:rPr>
                <w:rFonts w:hint="eastAsia" w:ascii="宋体" w:hAnsi="宋体" w:cs="仿宋_GB2312"/>
                <w:color w:val="auto"/>
                <w:sz w:val="24"/>
              </w:rPr>
              <w:t>1项</w:t>
            </w:r>
          </w:p>
        </w:tc>
        <w:tc>
          <w:tcPr>
            <w:tcW w:w="2878" w:type="dxa"/>
            <w:tcBorders>
              <w:top w:val="single" w:color="auto" w:sz="4" w:space="0"/>
              <w:left w:val="single" w:color="auto" w:sz="4" w:space="0"/>
              <w:bottom w:val="single" w:color="auto" w:sz="4" w:space="0"/>
              <w:right w:val="single" w:color="auto" w:sz="4" w:space="0"/>
            </w:tcBorders>
            <w:noWrap w:val="0"/>
            <w:vAlign w:val="top"/>
          </w:tcPr>
          <w:p w14:paraId="05F9CC2F">
            <w:pPr>
              <w:spacing w:line="360" w:lineRule="auto"/>
              <w:contextualSpacing/>
              <w:rPr>
                <w:rFonts w:ascii="宋体" w:hAnsi="宋体" w:cs="仿宋_GB2312"/>
                <w:color w:val="auto"/>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6C40ADC">
            <w:pPr>
              <w:spacing w:line="360" w:lineRule="auto"/>
              <w:contextualSpacing/>
              <w:rPr>
                <w:rFonts w:ascii="宋体" w:hAnsi="宋体" w:cs="仿宋_GB2312"/>
                <w:color w:val="auto"/>
                <w:sz w:val="24"/>
              </w:rPr>
            </w:pPr>
          </w:p>
        </w:tc>
      </w:tr>
      <w:tr w14:paraId="45C0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53F4EF33">
            <w:pPr>
              <w:spacing w:line="360" w:lineRule="auto"/>
              <w:contextualSpacing/>
              <w:rPr>
                <w:rFonts w:ascii="宋体" w:hAnsi="宋体" w:cs="仿宋_GB2312"/>
                <w:color w:val="auto"/>
                <w:sz w:val="24"/>
              </w:rPr>
            </w:pPr>
            <w:r>
              <w:rPr>
                <w:rFonts w:hint="eastAsia" w:ascii="宋体" w:hAnsi="宋体" w:cs="仿宋_GB2312"/>
                <w:color w:val="auto"/>
                <w:sz w:val="24"/>
              </w:rPr>
              <w:t>合计金额（人民币）大写：</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w:t>
            </w:r>
          </w:p>
        </w:tc>
      </w:tr>
    </w:tbl>
    <w:p w14:paraId="2239776D">
      <w:pPr>
        <w:spacing w:line="360" w:lineRule="auto"/>
        <w:contextualSpacing/>
        <w:jc w:val="left"/>
        <w:rPr>
          <w:rFonts w:ascii="宋体" w:hAnsi="宋体" w:cs="仿宋_GB2312"/>
          <w:color w:val="auto"/>
          <w:sz w:val="24"/>
        </w:rPr>
      </w:pPr>
    </w:p>
    <w:p w14:paraId="7515AEC5">
      <w:pPr>
        <w:spacing w:line="360" w:lineRule="auto"/>
        <w:contextualSpacing/>
        <w:jc w:val="left"/>
        <w:rPr>
          <w:rFonts w:hint="eastAsia" w:ascii="宋体" w:hAnsi="宋体" w:cs="仿宋_GB2312"/>
          <w:color w:val="auto"/>
          <w:sz w:val="24"/>
        </w:rPr>
      </w:pPr>
      <w:r>
        <w:rPr>
          <w:rFonts w:hint="eastAsia" w:ascii="宋体" w:hAnsi="宋体" w:cs="仿宋_GB2312"/>
          <w:color w:val="auto"/>
          <w:sz w:val="24"/>
        </w:rPr>
        <w:t xml:space="preserve">注: </w:t>
      </w:r>
    </w:p>
    <w:p w14:paraId="6F6D9C7D">
      <w:pPr>
        <w:spacing w:line="360" w:lineRule="auto"/>
        <w:ind w:firstLine="480" w:firstLineChars="200"/>
        <w:contextualSpacing/>
        <w:jc w:val="left"/>
        <w:rPr>
          <w:rFonts w:hint="eastAsia" w:ascii="宋体" w:hAnsi="宋体" w:cs="仿宋_GB2312"/>
          <w:color w:val="auto"/>
          <w:sz w:val="24"/>
        </w:rPr>
      </w:pPr>
      <w:r>
        <w:rPr>
          <w:rFonts w:hint="eastAsia" w:ascii="宋体" w:hAnsi="宋体" w:cs="仿宋_GB2312"/>
          <w:color w:val="auto"/>
          <w:sz w:val="24"/>
        </w:rPr>
        <w:t>1. 供应商的报价表必须加盖供应商电子签章并由法定代表人或者委托代理人签字或者电子签名，</w:t>
      </w:r>
      <w:r>
        <w:rPr>
          <w:rFonts w:hint="eastAsia" w:ascii="宋体" w:hAnsi="宋体" w:cs="仿宋_GB2312"/>
          <w:b/>
          <w:color w:val="auto"/>
          <w:sz w:val="24"/>
        </w:rPr>
        <w:t>否则其响应文件按无效处理</w:t>
      </w:r>
      <w:r>
        <w:rPr>
          <w:rFonts w:hint="eastAsia" w:ascii="宋体" w:hAnsi="宋体" w:cs="仿宋_GB2312"/>
          <w:color w:val="auto"/>
          <w:sz w:val="24"/>
        </w:rPr>
        <w:t>。</w:t>
      </w:r>
    </w:p>
    <w:p w14:paraId="0E82F465">
      <w:pPr>
        <w:spacing w:line="360" w:lineRule="auto"/>
        <w:ind w:firstLine="480" w:firstLineChars="200"/>
        <w:contextualSpacing/>
        <w:jc w:val="left"/>
        <w:rPr>
          <w:rFonts w:hint="eastAsia" w:ascii="宋体" w:hAnsi="宋体" w:cs="仿宋_GB2312"/>
          <w:b/>
          <w:color w:val="auto"/>
          <w:sz w:val="24"/>
        </w:rPr>
      </w:pPr>
      <w:r>
        <w:rPr>
          <w:rFonts w:hint="eastAsia" w:ascii="宋体" w:hAnsi="宋体" w:cs="仿宋_GB2312"/>
          <w:bCs/>
          <w:color w:val="auto"/>
          <w:sz w:val="24"/>
        </w:rPr>
        <w:t>2.</w:t>
      </w:r>
      <w:r>
        <w:rPr>
          <w:rFonts w:hint="eastAsia" w:ascii="宋体" w:hAnsi="宋体" w:cs="仿宋_GB2312"/>
          <w:color w:val="auto"/>
          <w:sz w:val="24"/>
        </w:rPr>
        <w:t xml:space="preserve"> 报价一经涂改，应在涂改处加盖供应商公章或者加盖电子签章或者由法定代表人或者授权委托人签字</w:t>
      </w:r>
      <w:r>
        <w:rPr>
          <w:rFonts w:hint="eastAsia" w:ascii="宋体" w:hAnsi="宋体"/>
          <w:color w:val="auto"/>
          <w:sz w:val="24"/>
        </w:rPr>
        <w:t>（或者电子签名）</w:t>
      </w:r>
      <w:r>
        <w:rPr>
          <w:rFonts w:hint="eastAsia" w:ascii="宋体" w:hAnsi="宋体" w:cs="仿宋_GB2312"/>
          <w:b/>
          <w:color w:val="auto"/>
          <w:sz w:val="24"/>
        </w:rPr>
        <w:t>，否则其响应文件按无效处理。</w:t>
      </w:r>
    </w:p>
    <w:p w14:paraId="396ED470">
      <w:pPr>
        <w:spacing w:line="360" w:lineRule="auto"/>
        <w:ind w:right="-817" w:rightChars="-389"/>
        <w:contextualSpacing/>
        <w:rPr>
          <w:rFonts w:hint="eastAsia" w:ascii="宋体" w:hAnsi="宋体" w:cs="仿宋_GB2312"/>
          <w:color w:val="auto"/>
          <w:sz w:val="24"/>
        </w:rPr>
      </w:pPr>
    </w:p>
    <w:p w14:paraId="1ECD65B4">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法定代表人或者委托代理人（签字或者电子签名）：                    </w:t>
      </w:r>
    </w:p>
    <w:p w14:paraId="4DB7D58F">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供应商（电子签章）：      </w:t>
      </w:r>
    </w:p>
    <w:p w14:paraId="5D662A43">
      <w:pPr>
        <w:spacing w:line="360" w:lineRule="auto"/>
        <w:ind w:right="-817" w:rightChars="-389" w:firstLine="4080" w:firstLineChars="1700"/>
        <w:contextualSpacing/>
        <w:rPr>
          <w:rFonts w:hint="eastAsia" w:ascii="宋体" w:hAnsi="宋体" w:cs="仿宋_GB2312"/>
          <w:color w:val="auto"/>
          <w:sz w:val="24"/>
        </w:rPr>
      </w:pPr>
      <w:r>
        <w:rPr>
          <w:rFonts w:hint="eastAsia" w:ascii="宋体" w:hAnsi="宋体" w:cs="仿宋_GB2312"/>
          <w:color w:val="auto"/>
          <w:sz w:val="24"/>
        </w:rPr>
        <w:t>日期：   年   月   日</w:t>
      </w:r>
    </w:p>
    <w:p w14:paraId="0D4B95E3">
      <w:pPr>
        <w:spacing w:line="360" w:lineRule="auto"/>
        <w:contextualSpacing/>
        <w:jc w:val="center"/>
        <w:rPr>
          <w:rFonts w:hint="eastAsia" w:ascii="宋体" w:hAnsi="宋体" w:cs="仿宋_GB2312"/>
          <w:b/>
          <w:color w:val="auto"/>
          <w:sz w:val="32"/>
          <w:szCs w:val="32"/>
        </w:rPr>
      </w:pPr>
      <w:r>
        <w:rPr>
          <w:rFonts w:ascii="宋体" w:hAnsi="宋体" w:cs="仿宋_GB2312"/>
          <w:color w:val="auto"/>
          <w:sz w:val="24"/>
        </w:rPr>
        <w:br w:type="page"/>
      </w:r>
      <w:r>
        <w:rPr>
          <w:rFonts w:hint="eastAsia" w:ascii="宋体" w:hAnsi="宋体" w:cs="宋体"/>
          <w:b/>
          <w:color w:val="auto"/>
          <w:sz w:val="32"/>
          <w:szCs w:val="32"/>
        </w:rPr>
        <w:t>已标价工程量清单</w:t>
      </w:r>
    </w:p>
    <w:p w14:paraId="11B12B4D">
      <w:pPr>
        <w:spacing w:line="360" w:lineRule="auto"/>
        <w:ind w:firstLine="420" w:firstLineChars="200"/>
        <w:rPr>
          <w:color w:val="auto"/>
        </w:rPr>
      </w:pPr>
      <w:r>
        <w:rPr>
          <w:color w:val="auto"/>
        </w:rPr>
        <w:t xml:space="preserve">1. </w:t>
      </w:r>
      <w:r>
        <w:rPr>
          <w:rFonts w:hint="eastAsia" w:cs="宋体"/>
          <w:color w:val="auto"/>
        </w:rPr>
        <w:t>已标价工程量清单应按第五章</w:t>
      </w:r>
      <w:r>
        <w:rPr>
          <w:rFonts w:hint="eastAsia"/>
          <w:color w:val="auto"/>
        </w:rPr>
        <w:t>“工程量清单及图纸”</w:t>
      </w:r>
      <w:r>
        <w:rPr>
          <w:rFonts w:hint="eastAsia" w:cs="宋体"/>
          <w:color w:val="auto"/>
        </w:rPr>
        <w:t>中的相关表格及竞标报价说明填写。构成合同文件的已标价工程量清单包括第五章</w:t>
      </w:r>
      <w:r>
        <w:rPr>
          <w:rFonts w:hint="eastAsia"/>
          <w:color w:val="auto"/>
        </w:rPr>
        <w:t>“工程量清单及图纸”</w:t>
      </w:r>
      <w:r>
        <w:rPr>
          <w:rFonts w:hint="eastAsia" w:cs="宋体"/>
          <w:color w:val="auto"/>
        </w:rPr>
        <w:t>有关工程量清单、竞标报价以及其他说明的内容。</w:t>
      </w:r>
    </w:p>
    <w:p w14:paraId="13B7E37B">
      <w:pPr>
        <w:spacing w:line="360" w:lineRule="auto"/>
        <w:ind w:firstLine="420" w:firstLineChars="200"/>
        <w:rPr>
          <w:rFonts w:hint="eastAsia" w:cs="宋体"/>
          <w:color w:val="auto"/>
        </w:rPr>
      </w:pPr>
      <w:r>
        <w:rPr>
          <w:color w:val="auto"/>
        </w:rPr>
        <w:t xml:space="preserve">2. </w:t>
      </w:r>
      <w:r>
        <w:rPr>
          <w:rFonts w:hint="eastAsia" w:cs="宋体"/>
          <w:color w:val="auto"/>
        </w:rPr>
        <w:t>一般计税法建设工程已标价工程量清单表格按</w:t>
      </w:r>
      <w:r>
        <w:rPr>
          <w:rFonts w:hint="eastAsia" w:hAnsi="宋体" w:cs="宋体"/>
          <w:color w:val="auto"/>
          <w:kern w:val="0"/>
        </w:rPr>
        <w:t>《关于建筑业实施营业税改征增值税后广西壮族自治区建设工程计价依据调整的通知》（桂建标〔</w:t>
      </w:r>
      <w:r>
        <w:rPr>
          <w:rFonts w:hAnsi="宋体"/>
          <w:color w:val="auto"/>
          <w:kern w:val="0"/>
        </w:rPr>
        <w:t>2016</w:t>
      </w:r>
      <w:r>
        <w:rPr>
          <w:rFonts w:hint="eastAsia" w:hAnsi="宋体" w:cs="宋体"/>
          <w:color w:val="auto"/>
          <w:kern w:val="0"/>
        </w:rPr>
        <w:t>〕</w:t>
      </w:r>
      <w:r>
        <w:rPr>
          <w:rFonts w:hAnsi="宋体"/>
          <w:color w:val="auto"/>
          <w:kern w:val="0"/>
        </w:rPr>
        <w:t>17</w:t>
      </w:r>
      <w:r>
        <w:rPr>
          <w:rFonts w:hint="eastAsia" w:hAnsi="宋体" w:cs="宋体"/>
          <w:color w:val="auto"/>
          <w:kern w:val="0"/>
        </w:rPr>
        <w:t>号）</w:t>
      </w:r>
      <w:r>
        <w:rPr>
          <w:rFonts w:hint="eastAsia" w:ascii="宋体" w:hAnsi="宋体" w:cs="宋体"/>
          <w:color w:val="auto"/>
        </w:rPr>
        <w:t>附件“增值税一般计税方法工程计价表”</w:t>
      </w:r>
      <w:r>
        <w:rPr>
          <w:rFonts w:hint="eastAsia" w:cs="宋体"/>
          <w:color w:val="auto"/>
        </w:rPr>
        <w:t>要求提供，简易计税法表格按《</w:t>
      </w:r>
      <w:r>
        <w:rPr>
          <w:color w:val="auto"/>
        </w:rPr>
        <w:t>&lt;</w:t>
      </w:r>
      <w:r>
        <w:rPr>
          <w:rFonts w:hint="eastAsia" w:cs="宋体"/>
          <w:color w:val="auto"/>
        </w:rPr>
        <w:t>建设工程工程量清单计价规范</w:t>
      </w:r>
      <w:r>
        <w:rPr>
          <w:color w:val="auto"/>
        </w:rPr>
        <w:t>&gt;</w:t>
      </w:r>
      <w:r>
        <w:rPr>
          <w:rFonts w:hint="eastAsia" w:cs="宋体"/>
          <w:color w:val="auto"/>
        </w:rPr>
        <w:t>（</w:t>
      </w:r>
      <w:r>
        <w:rPr>
          <w:color w:val="auto"/>
        </w:rPr>
        <w:t>GB5050-2013</w:t>
      </w:r>
      <w:r>
        <w:rPr>
          <w:rFonts w:hint="eastAsia" w:cs="宋体"/>
          <w:color w:val="auto"/>
        </w:rPr>
        <w:t>）广西壮族自治区实施细则》要求的表格提供，但规费和税费按照</w:t>
      </w:r>
      <w:r>
        <w:rPr>
          <w:rFonts w:hint="eastAsia" w:hAnsi="宋体" w:cs="宋体"/>
          <w:color w:val="auto"/>
          <w:kern w:val="0"/>
        </w:rPr>
        <w:t>《关于建筑业实施营业税改征增值税后广西壮族自治区建设工程计价依据调整的通知》（桂建标〔</w:t>
      </w:r>
      <w:r>
        <w:rPr>
          <w:rFonts w:hAnsi="宋体"/>
          <w:color w:val="auto"/>
          <w:kern w:val="0"/>
        </w:rPr>
        <w:t>2016</w:t>
      </w:r>
      <w:r>
        <w:rPr>
          <w:rFonts w:hint="eastAsia" w:hAnsi="宋体" w:cs="宋体"/>
          <w:color w:val="auto"/>
          <w:kern w:val="0"/>
        </w:rPr>
        <w:t>〕</w:t>
      </w:r>
      <w:r>
        <w:rPr>
          <w:rFonts w:hAnsi="宋体"/>
          <w:color w:val="auto"/>
          <w:kern w:val="0"/>
        </w:rPr>
        <w:t>17</w:t>
      </w:r>
      <w:r>
        <w:rPr>
          <w:rFonts w:hint="eastAsia" w:hAnsi="宋体" w:cs="宋体"/>
          <w:color w:val="auto"/>
          <w:kern w:val="0"/>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rPr>
        <w:t>调整。</w:t>
      </w:r>
    </w:p>
    <w:p w14:paraId="0C0BE250">
      <w:pPr>
        <w:spacing w:line="360" w:lineRule="auto"/>
        <w:ind w:firstLine="420" w:firstLineChars="200"/>
        <w:contextualSpacing/>
        <w:jc w:val="left"/>
        <w:rPr>
          <w:rFonts w:hint="eastAsia" w:hAnsi="宋体" w:cs="宋体"/>
          <w:color w:val="auto"/>
          <w:kern w:val="0"/>
          <w:lang w:val="en"/>
        </w:rPr>
      </w:pPr>
      <w:r>
        <w:rPr>
          <w:rFonts w:hint="eastAsia" w:cs="宋体"/>
          <w:color w:val="auto"/>
        </w:rPr>
        <w:t>注：</w:t>
      </w:r>
      <w:r>
        <w:rPr>
          <w:rFonts w:hint="eastAsia" w:hAnsi="宋体" w:cs="宋体"/>
          <w:color w:val="auto"/>
          <w:kern w:val="0"/>
          <w:lang w:val="en"/>
        </w:rPr>
        <w:t>因</w:t>
      </w:r>
      <w:r>
        <w:rPr>
          <w:rFonts w:hint="eastAsia" w:hAnsi="宋体" w:cs="宋体"/>
          <w:color w:val="auto"/>
          <w:kern w:val="0"/>
        </w:rPr>
        <w:t>2021年《广西壮族自治区</w:t>
      </w:r>
      <w:r>
        <w:rPr>
          <w:rFonts w:hint="eastAsia" w:hAnsi="宋体" w:cs="宋体"/>
          <w:color w:val="auto"/>
          <w:kern w:val="0"/>
          <w:lang w:val="en"/>
        </w:rPr>
        <w:t>园林绿化及仿古建筑工程费用定额</w:t>
      </w:r>
      <w:r>
        <w:rPr>
          <w:rFonts w:hint="eastAsia" w:hAnsi="宋体" w:cs="宋体"/>
          <w:color w:val="auto"/>
          <w:kern w:val="0"/>
        </w:rPr>
        <w:t>》采用全费用综合单价形式，故园林绿化及仿古建筑工程的已标价工程量清单</w:t>
      </w:r>
      <w:r>
        <w:rPr>
          <w:rFonts w:hint="eastAsia" w:cs="黑体"/>
          <w:color w:val="auto"/>
        </w:rPr>
        <w:t>采用</w:t>
      </w:r>
      <w:r>
        <w:rPr>
          <w:rFonts w:hint="eastAsia" w:hAnsi="宋体" w:cs="宋体"/>
          <w:color w:val="auto"/>
          <w:kern w:val="0"/>
          <w:lang w:val="en"/>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32166DB7">
      <w:pPr>
        <w:pStyle w:val="132"/>
        <w:spacing w:after="260" w:line="240" w:lineRule="auto"/>
        <w:ind w:firstLine="0"/>
        <w:rPr>
          <w:color w:val="auto"/>
        </w:rPr>
        <w:sectPr>
          <w:pgSz w:w="11900" w:h="16832"/>
          <w:pgMar w:top="1440" w:right="1697" w:bottom="1440" w:left="1803" w:header="851" w:footer="851" w:gutter="0"/>
          <w:cols w:space="720" w:num="1"/>
          <w:docGrid w:linePitch="360" w:charSpace="0"/>
        </w:sectPr>
      </w:pPr>
    </w:p>
    <w:p w14:paraId="0344EF15">
      <w:pPr>
        <w:spacing w:line="360" w:lineRule="auto"/>
        <w:ind w:firstLine="643" w:firstLineChars="200"/>
        <w:contextualSpacing/>
        <w:jc w:val="center"/>
        <w:rPr>
          <w:rFonts w:hint="eastAsia" w:ascii="宋体" w:hAnsi="宋体"/>
          <w:b/>
          <w:color w:val="auto"/>
          <w:sz w:val="32"/>
          <w:szCs w:val="32"/>
        </w:rPr>
      </w:pPr>
      <w:r>
        <w:rPr>
          <w:rFonts w:hint="eastAsia" w:ascii="宋体" w:hAnsi="宋体"/>
          <w:b/>
          <w:bCs/>
          <w:color w:val="auto"/>
          <w:sz w:val="32"/>
          <w:szCs w:val="32"/>
        </w:rPr>
        <w:t>三、</w:t>
      </w:r>
      <w:r>
        <w:rPr>
          <w:rFonts w:hint="eastAsia" w:ascii="宋体" w:hAnsi="宋体"/>
          <w:b/>
          <w:color w:val="auto"/>
          <w:sz w:val="32"/>
          <w:szCs w:val="32"/>
        </w:rPr>
        <w:t>商务技术文件格式</w:t>
      </w:r>
    </w:p>
    <w:p w14:paraId="59D585BB">
      <w:pPr>
        <w:snapToGrid w:val="0"/>
        <w:spacing w:before="156" w:beforeLines="50" w:after="50" w:line="360" w:lineRule="auto"/>
        <w:jc w:val="left"/>
        <w:rPr>
          <w:rFonts w:ascii="宋体" w:hAnsi="宋体"/>
          <w:b/>
          <w:color w:val="auto"/>
          <w:sz w:val="32"/>
          <w:szCs w:val="32"/>
        </w:rPr>
      </w:pPr>
      <w:r>
        <w:rPr>
          <w:rFonts w:hint="eastAsia" w:ascii="宋体" w:hAnsi="宋体"/>
          <w:b/>
          <w:color w:val="auto"/>
          <w:sz w:val="32"/>
          <w:szCs w:val="32"/>
        </w:rPr>
        <w:t>1.商务技术文件封面格式</w:t>
      </w:r>
    </w:p>
    <w:p w14:paraId="3DD8A5CD">
      <w:pPr>
        <w:snapToGrid w:val="0"/>
        <w:spacing w:before="156" w:beforeLines="50" w:after="50"/>
        <w:rPr>
          <w:rFonts w:hint="eastAsia" w:ascii="宋体" w:hAnsi="宋体"/>
          <w:bCs/>
          <w:color w:val="auto"/>
          <w:sz w:val="32"/>
          <w:szCs w:val="20"/>
        </w:rPr>
      </w:pPr>
      <w:r>
        <w:rPr>
          <w:rFonts w:hint="eastAsia" w:ascii="宋体" w:hAnsi="宋体"/>
          <w:color w:val="auto"/>
          <w:sz w:val="24"/>
        </w:rPr>
        <w:t xml:space="preserve">                                                    </w:t>
      </w:r>
    </w:p>
    <w:p w14:paraId="47E311D0">
      <w:pPr>
        <w:snapToGrid w:val="0"/>
        <w:spacing w:before="156" w:beforeLines="50" w:after="50"/>
        <w:jc w:val="center"/>
        <w:rPr>
          <w:rFonts w:hint="eastAsia" w:ascii="宋体" w:hAnsi="宋体"/>
          <w:color w:val="auto"/>
          <w:sz w:val="24"/>
          <w:szCs w:val="20"/>
        </w:rPr>
      </w:pPr>
      <w:r>
        <w:rPr>
          <w:rFonts w:hint="eastAsia" w:ascii="宋体" w:hAnsi="宋体"/>
          <w:color w:val="auto"/>
          <w:sz w:val="44"/>
          <w:szCs w:val="44"/>
        </w:rPr>
        <w:t>电 子 响 应 文 件</w:t>
      </w:r>
    </w:p>
    <w:p w14:paraId="4766FC17">
      <w:pPr>
        <w:snapToGrid w:val="0"/>
        <w:spacing w:before="156" w:beforeLines="50" w:after="50"/>
        <w:rPr>
          <w:rFonts w:hint="eastAsia" w:ascii="宋体" w:hAnsi="宋体"/>
          <w:color w:val="auto"/>
          <w:sz w:val="24"/>
          <w:szCs w:val="20"/>
        </w:rPr>
      </w:pPr>
    </w:p>
    <w:p w14:paraId="2D2B1336">
      <w:pPr>
        <w:snapToGrid w:val="0"/>
        <w:spacing w:before="156" w:beforeLines="50" w:after="50"/>
        <w:rPr>
          <w:rFonts w:hint="eastAsia" w:ascii="宋体" w:hAnsi="宋体"/>
          <w:color w:val="auto"/>
          <w:sz w:val="24"/>
          <w:szCs w:val="20"/>
        </w:rPr>
      </w:pPr>
    </w:p>
    <w:p w14:paraId="314A4A05">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  务  技  术  文  件</w:t>
      </w:r>
    </w:p>
    <w:p w14:paraId="146C2EC8">
      <w:pPr>
        <w:snapToGrid w:val="0"/>
        <w:spacing w:before="156" w:beforeLines="50" w:after="50"/>
        <w:rPr>
          <w:rFonts w:hint="eastAsia" w:ascii="宋体" w:hAnsi="宋体"/>
          <w:bCs/>
          <w:color w:val="auto"/>
          <w:sz w:val="24"/>
          <w:szCs w:val="20"/>
        </w:rPr>
      </w:pPr>
    </w:p>
    <w:p w14:paraId="5766E8F1">
      <w:pPr>
        <w:snapToGrid w:val="0"/>
        <w:spacing w:before="156" w:beforeLines="50" w:after="50"/>
        <w:rPr>
          <w:rFonts w:hint="eastAsia" w:ascii="宋体" w:hAnsi="宋体"/>
          <w:bCs/>
          <w:color w:val="auto"/>
          <w:sz w:val="24"/>
          <w:szCs w:val="20"/>
        </w:rPr>
      </w:pPr>
    </w:p>
    <w:p w14:paraId="0FD13D47">
      <w:pPr>
        <w:snapToGrid w:val="0"/>
        <w:spacing w:before="156" w:beforeLines="50" w:after="50"/>
        <w:rPr>
          <w:rFonts w:hint="eastAsia" w:ascii="宋体" w:hAnsi="宋体"/>
          <w:bCs/>
          <w:color w:val="auto"/>
          <w:sz w:val="24"/>
          <w:szCs w:val="20"/>
        </w:rPr>
      </w:pPr>
    </w:p>
    <w:p w14:paraId="47408421">
      <w:pPr>
        <w:snapToGrid w:val="0"/>
        <w:spacing w:before="156" w:beforeLines="50" w:after="50"/>
        <w:rPr>
          <w:rFonts w:hint="eastAsia" w:ascii="宋体" w:hAnsi="宋体"/>
          <w:bCs/>
          <w:color w:val="auto"/>
          <w:sz w:val="24"/>
          <w:szCs w:val="20"/>
        </w:rPr>
      </w:pPr>
    </w:p>
    <w:p w14:paraId="410BE4C8">
      <w:pPr>
        <w:snapToGrid w:val="0"/>
        <w:spacing w:before="156" w:beforeLines="50" w:after="50"/>
        <w:rPr>
          <w:rFonts w:hint="eastAsia" w:ascii="宋体" w:hAnsi="宋体"/>
          <w:bCs/>
          <w:color w:val="auto"/>
          <w:sz w:val="24"/>
          <w:szCs w:val="20"/>
        </w:rPr>
      </w:pPr>
    </w:p>
    <w:p w14:paraId="18007DE3">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6C4069A2">
      <w:pPr>
        <w:snapToGrid w:val="0"/>
        <w:spacing w:before="156" w:beforeLines="50" w:after="50"/>
        <w:ind w:firstLine="720" w:firstLineChars="225"/>
        <w:rPr>
          <w:rFonts w:hint="eastAsia" w:ascii="宋体" w:hAnsi="宋体" w:cs="仿宋_GB2312"/>
          <w:bCs/>
          <w:color w:val="auto"/>
          <w:sz w:val="32"/>
          <w:szCs w:val="32"/>
        </w:rPr>
      </w:pPr>
    </w:p>
    <w:p w14:paraId="20C47574">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17369A46">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33C076FF">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0748DBE3">
      <w:pPr>
        <w:snapToGrid w:val="0"/>
        <w:spacing w:before="156" w:beforeLines="50" w:after="50"/>
        <w:ind w:firstLine="720" w:firstLineChars="225"/>
        <w:rPr>
          <w:rFonts w:hint="eastAsia" w:ascii="宋体" w:hAnsi="宋体" w:cs="仿宋_GB2312"/>
          <w:bCs/>
          <w:color w:val="auto"/>
          <w:sz w:val="32"/>
          <w:szCs w:val="32"/>
        </w:rPr>
      </w:pPr>
    </w:p>
    <w:p w14:paraId="19CB3088">
      <w:pPr>
        <w:pStyle w:val="10"/>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3F6F7F3D">
      <w:pPr>
        <w:pStyle w:val="10"/>
        <w:snapToGrid w:val="0"/>
        <w:spacing w:before="50" w:after="50"/>
        <w:ind w:firstLine="640" w:firstLineChars="200"/>
        <w:rPr>
          <w:rFonts w:hint="eastAsia" w:ascii="宋体" w:hAnsi="宋体" w:cs="仿宋_GB2312"/>
          <w:bCs/>
          <w:color w:val="auto"/>
          <w:sz w:val="32"/>
          <w:szCs w:val="32"/>
        </w:rPr>
      </w:pPr>
    </w:p>
    <w:p w14:paraId="00268716">
      <w:pPr>
        <w:pStyle w:val="10"/>
        <w:snapToGrid w:val="0"/>
        <w:spacing w:before="50" w:after="50"/>
        <w:ind w:firstLine="720" w:firstLineChars="225"/>
        <w:rPr>
          <w:rFonts w:hint="eastAsia" w:ascii="宋体" w:hAnsi="宋体" w:cs="仿宋_GB2312"/>
          <w:bCs/>
          <w:color w:val="auto"/>
          <w:sz w:val="32"/>
          <w:szCs w:val="32"/>
        </w:rPr>
      </w:pPr>
    </w:p>
    <w:p w14:paraId="0C970850">
      <w:pPr>
        <w:pStyle w:val="10"/>
        <w:snapToGrid w:val="0"/>
        <w:spacing w:before="50" w:after="50"/>
        <w:ind w:firstLine="0"/>
        <w:rPr>
          <w:rFonts w:hint="eastAsia" w:ascii="宋体" w:hAnsi="宋体" w:cs="仿宋_GB2312"/>
          <w:bCs/>
          <w:color w:val="auto"/>
          <w:sz w:val="32"/>
          <w:szCs w:val="32"/>
        </w:rPr>
      </w:pPr>
    </w:p>
    <w:p w14:paraId="0C1C4716">
      <w:pPr>
        <w:pStyle w:val="10"/>
        <w:snapToGrid w:val="0"/>
        <w:spacing w:before="50" w:after="50"/>
        <w:ind w:firstLine="1280" w:firstLineChars="400"/>
        <w:rPr>
          <w:rFonts w:hint="eastAsia" w:ascii="宋体" w:hAnsi="宋体" w:cs="仿宋_GB2312"/>
          <w:bCs/>
          <w:color w:val="auto"/>
          <w:sz w:val="32"/>
          <w:szCs w:val="32"/>
        </w:rPr>
      </w:pPr>
    </w:p>
    <w:p w14:paraId="03FD3139">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48790DE7">
      <w:pPr>
        <w:snapToGrid w:val="0"/>
        <w:spacing w:before="156" w:beforeLines="50" w:after="50" w:line="360" w:lineRule="auto"/>
        <w:ind w:right="480" w:firstLine="240" w:firstLineChars="100"/>
        <w:jc w:val="left"/>
        <w:rPr>
          <w:rFonts w:hint="eastAsia" w:ascii="宋体" w:hAnsi="宋体"/>
          <w:b/>
          <w:bCs/>
          <w:color w:val="auto"/>
          <w:sz w:val="24"/>
        </w:rPr>
      </w:pPr>
      <w:r>
        <w:rPr>
          <w:rFonts w:ascii="宋体" w:hAnsi="宋体"/>
          <w:color w:val="auto"/>
          <w:sz w:val="24"/>
        </w:rPr>
        <w:br w:type="page"/>
      </w:r>
      <w:r>
        <w:rPr>
          <w:rFonts w:hint="eastAsia" w:ascii="宋体" w:hAnsi="宋体"/>
          <w:b/>
          <w:bCs/>
          <w:color w:val="auto"/>
          <w:sz w:val="32"/>
          <w:szCs w:val="32"/>
        </w:rPr>
        <w:t>2.商务技术文件目录</w:t>
      </w:r>
    </w:p>
    <w:p w14:paraId="49BDD922">
      <w:pPr>
        <w:snapToGrid w:val="0"/>
        <w:spacing w:before="156" w:beforeLines="50" w:after="50" w:line="360" w:lineRule="auto"/>
        <w:ind w:firstLine="640" w:firstLineChars="200"/>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24ECAD44">
      <w:pPr>
        <w:spacing w:line="400" w:lineRule="exact"/>
        <w:rPr>
          <w:rFonts w:hint="eastAsia" w:ascii="仿宋_GB2312" w:hAnsi="仿宋_GB2312" w:eastAsia="仿宋_GB2312" w:cs="仿宋_GB2312"/>
          <w:color w:val="auto"/>
          <w:sz w:val="32"/>
          <w:szCs w:val="32"/>
        </w:rPr>
      </w:pPr>
    </w:p>
    <w:p w14:paraId="491F9BA0">
      <w:pPr>
        <w:spacing w:line="520" w:lineRule="exact"/>
        <w:jc w:val="center"/>
        <w:rPr>
          <w:rFonts w:hint="eastAsia" w:ascii="宋体" w:hAnsi="宋体" w:cs="仿宋_GB2312"/>
          <w:b/>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ascii="宋体" w:hAnsi="宋体" w:cs="方正小标宋简体"/>
          <w:b/>
          <w:color w:val="auto"/>
          <w:sz w:val="32"/>
          <w:szCs w:val="32"/>
        </w:rPr>
        <w:t>无串通竞标行为的承诺函</w:t>
      </w:r>
    </w:p>
    <w:p w14:paraId="7F0545B7">
      <w:pPr>
        <w:spacing w:line="360" w:lineRule="auto"/>
        <w:ind w:firstLine="640" w:firstLineChars="200"/>
        <w:contextualSpacing/>
        <w:rPr>
          <w:rFonts w:hint="eastAsia" w:ascii="仿宋_GB2312" w:hAnsi="仿宋_GB2312" w:eastAsia="仿宋_GB2312" w:cs="仿宋_GB2312"/>
          <w:color w:val="auto"/>
          <w:sz w:val="32"/>
          <w:szCs w:val="32"/>
        </w:rPr>
      </w:pPr>
    </w:p>
    <w:p w14:paraId="60FCD01B">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一、我方承诺无下列相互串通竞标的情形：</w:t>
      </w:r>
    </w:p>
    <w:p w14:paraId="3789C49E">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 xml:space="preserve">1.不同供应商的响应文件由同一单位或者个人编制，或不同供应商报名的IP地址一致的； </w:t>
      </w:r>
    </w:p>
    <w:p w14:paraId="5E77D08A">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2.不同供应商委托同一单位或者个人办理竞标事宜；</w:t>
      </w:r>
    </w:p>
    <w:p w14:paraId="325F5743">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3.不同供应商的响应文件载明的项目管理员为同一个人；</w:t>
      </w:r>
    </w:p>
    <w:p w14:paraId="6E737057">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0B6473C7">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14:paraId="035695F0">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6.不同供应商的磋商保证金从同一单位或者个人账户转出。</w:t>
      </w:r>
    </w:p>
    <w:p w14:paraId="39CAC9DA">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14:paraId="3F535E56">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76AB24CD">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3DDAECE8">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76501FF9">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333C973E">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5.供应商之间事先约定一致抬高或者压低竞标报价，或者在竞争性磋商项目中事先约定轮流以高价位或者低价位成交，或者事先约定由某一特定供应商成交，然后再参加竞标；</w:t>
      </w:r>
    </w:p>
    <w:p w14:paraId="38B6BFCE">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61D95221">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1472DC8C">
      <w:pPr>
        <w:spacing w:line="360" w:lineRule="auto"/>
        <w:ind w:firstLine="480" w:firstLineChars="200"/>
        <w:contextualSpacing/>
        <w:rPr>
          <w:rFonts w:hint="eastAsia" w:ascii="宋体" w:hAnsi="宋体" w:cs="仿宋_GB2312"/>
          <w:color w:val="auto"/>
          <w:sz w:val="24"/>
        </w:rPr>
      </w:pPr>
    </w:p>
    <w:p w14:paraId="1B15540B">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4C2F35D3">
      <w:pPr>
        <w:spacing w:line="360" w:lineRule="auto"/>
        <w:contextualSpacing/>
        <w:rPr>
          <w:rFonts w:hint="eastAsia" w:ascii="宋体" w:hAnsi="宋体" w:cs="仿宋_GB2312"/>
          <w:color w:val="auto"/>
          <w:sz w:val="24"/>
        </w:rPr>
      </w:pPr>
    </w:p>
    <w:p w14:paraId="326A0ECC">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供应商（电子签章）：</w:t>
      </w:r>
    </w:p>
    <w:p w14:paraId="0AEAF567">
      <w:pPr>
        <w:spacing w:line="360" w:lineRule="auto"/>
        <w:ind w:firstLine="480" w:firstLineChars="200"/>
        <w:contextualSpacing/>
        <w:jc w:val="center"/>
        <w:rPr>
          <w:rFonts w:hint="eastAsia" w:ascii="仿宋_GB2312" w:hAnsi="仿宋_GB2312" w:eastAsia="仿宋_GB2312" w:cs="仿宋_GB2312"/>
          <w:color w:val="auto"/>
          <w:sz w:val="32"/>
          <w:szCs w:val="32"/>
        </w:rPr>
      </w:pPr>
      <w:r>
        <w:rPr>
          <w:rFonts w:hint="eastAsia" w:ascii="宋体" w:hAnsi="宋体" w:cs="仿宋_GB2312"/>
          <w:color w:val="auto"/>
          <w:sz w:val="24"/>
        </w:rPr>
        <w:t xml:space="preserve">                               年   月   日</w:t>
      </w:r>
    </w:p>
    <w:p w14:paraId="48602C88">
      <w:pPr>
        <w:spacing w:line="520" w:lineRule="exact"/>
        <w:jc w:val="center"/>
        <w:rPr>
          <w:rFonts w:hint="eastAsia" w:ascii="宋体" w:hAnsi="宋体" w:cs="仿宋_GB2312"/>
          <w:b/>
          <w:color w:val="auto"/>
          <w:sz w:val="32"/>
          <w:szCs w:val="32"/>
        </w:rPr>
      </w:pPr>
      <w:r>
        <w:rPr>
          <w:rFonts w:hint="eastAsia" w:ascii="方正小标宋简体" w:hAnsi="方正小标宋简体" w:eastAsia="方正小标宋简体" w:cs="方正小标宋简体"/>
          <w:bCs/>
          <w:color w:val="auto"/>
          <w:sz w:val="44"/>
          <w:szCs w:val="44"/>
        </w:rPr>
        <w:br w:type="page"/>
      </w:r>
      <w:r>
        <w:rPr>
          <w:rFonts w:hint="eastAsia" w:ascii="宋体" w:hAnsi="宋体" w:cs="方正小标宋简体"/>
          <w:b/>
          <w:bCs/>
          <w:color w:val="auto"/>
          <w:sz w:val="32"/>
          <w:szCs w:val="32"/>
        </w:rPr>
        <w:t>法定代表人证明书</w:t>
      </w:r>
    </w:p>
    <w:p w14:paraId="457E5F56">
      <w:pPr>
        <w:spacing w:line="360" w:lineRule="auto"/>
        <w:ind w:left="540"/>
        <w:contextualSpacing/>
        <w:rPr>
          <w:rFonts w:hint="eastAsia" w:ascii="仿宋_GB2312" w:hAnsi="仿宋_GB2312" w:eastAsia="仿宋_GB2312" w:cs="仿宋_GB2312"/>
          <w:color w:val="auto"/>
          <w:sz w:val="32"/>
          <w:szCs w:val="32"/>
        </w:rPr>
      </w:pPr>
    </w:p>
    <w:p w14:paraId="0BB0E5A5">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0DA9D03B">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063BDD3C">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4EC33C68">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2C53E3FC">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6792772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的法定代表人。</w:t>
      </w:r>
    </w:p>
    <w:p w14:paraId="3202EE7D">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14:paraId="051F4E6A">
      <w:pPr>
        <w:spacing w:line="360" w:lineRule="auto"/>
        <w:ind w:left="540"/>
        <w:contextualSpacing/>
        <w:rPr>
          <w:rFonts w:hint="eastAsia" w:ascii="宋体" w:hAnsi="宋体" w:cs="仿宋_GB2312"/>
          <w:color w:val="auto"/>
          <w:sz w:val="24"/>
        </w:rPr>
      </w:pPr>
    </w:p>
    <w:p w14:paraId="069CC391">
      <w:pPr>
        <w:spacing w:line="360" w:lineRule="auto"/>
        <w:ind w:left="540"/>
        <w:contextualSpacing/>
        <w:rPr>
          <w:rFonts w:hint="eastAsia" w:ascii="宋体" w:hAnsi="宋体" w:cs="仿宋_GB2312"/>
          <w:color w:val="auto"/>
          <w:sz w:val="24"/>
        </w:rPr>
      </w:pPr>
    </w:p>
    <w:p w14:paraId="70D2CA0D">
      <w:pPr>
        <w:spacing w:line="360" w:lineRule="auto"/>
        <w:ind w:left="540"/>
        <w:contextualSpacing/>
        <w:rPr>
          <w:rFonts w:hint="eastAsia" w:ascii="宋体" w:hAnsi="宋体" w:cs="仿宋_GB2312"/>
          <w:color w:val="auto"/>
          <w:sz w:val="24"/>
        </w:rPr>
      </w:pPr>
    </w:p>
    <w:p w14:paraId="776E1DA6">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附件：法定代表人有效身份证正反面复印件</w:t>
      </w:r>
    </w:p>
    <w:p w14:paraId="31F5B0B2">
      <w:pPr>
        <w:spacing w:line="360" w:lineRule="auto"/>
        <w:ind w:left="540"/>
        <w:contextualSpacing/>
        <w:rPr>
          <w:rFonts w:hint="eastAsia" w:ascii="宋体" w:hAnsi="宋体" w:cs="仿宋_GB2312"/>
          <w:color w:val="auto"/>
          <w:sz w:val="24"/>
        </w:rPr>
      </w:pPr>
    </w:p>
    <w:p w14:paraId="7093C4F4">
      <w:pPr>
        <w:spacing w:line="360" w:lineRule="auto"/>
        <w:ind w:left="540" w:firstLine="3000" w:firstLineChars="1250"/>
        <w:contextualSpacing/>
        <w:jc w:val="left"/>
        <w:rPr>
          <w:rFonts w:hint="eastAsia" w:ascii="宋体" w:hAnsi="宋体" w:cs="仿宋_GB2312"/>
          <w:color w:val="auto"/>
          <w:sz w:val="24"/>
        </w:rPr>
      </w:pPr>
      <w:r>
        <w:rPr>
          <w:rFonts w:hint="eastAsia" w:ascii="宋体" w:hAnsi="宋体" w:cs="仿宋_GB2312"/>
          <w:color w:val="auto"/>
          <w:sz w:val="24"/>
        </w:rPr>
        <w:t>供应商（电子签章）：</w:t>
      </w:r>
      <w:r>
        <w:rPr>
          <w:rFonts w:hint="eastAsia" w:ascii="宋体" w:hAnsi="宋体" w:cs="仿宋_GB2312"/>
          <w:color w:val="auto"/>
          <w:sz w:val="24"/>
          <w:u w:val="single"/>
        </w:rPr>
        <w:t xml:space="preserve">               </w:t>
      </w:r>
    </w:p>
    <w:p w14:paraId="110DC333">
      <w:pPr>
        <w:spacing w:line="360" w:lineRule="auto"/>
        <w:ind w:firstLine="4080" w:firstLineChars="1700"/>
        <w:contextualSpacing/>
        <w:rPr>
          <w:rFonts w:hint="eastAsia"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636C46F1">
      <w:pPr>
        <w:spacing w:line="360" w:lineRule="auto"/>
        <w:contextualSpacing/>
        <w:jc w:val="center"/>
        <w:rPr>
          <w:rFonts w:hint="eastAsia" w:ascii="宋体" w:hAnsi="宋体" w:cs="仿宋_GB2312"/>
          <w:b/>
          <w:color w:val="auto"/>
          <w:sz w:val="24"/>
        </w:rPr>
      </w:pPr>
    </w:p>
    <w:p w14:paraId="6C90CB9F">
      <w:pPr>
        <w:spacing w:line="360" w:lineRule="auto"/>
        <w:contextualSpacing/>
        <w:jc w:val="left"/>
        <w:rPr>
          <w:rFonts w:hint="eastAsia" w:ascii="宋体" w:hAnsi="宋体" w:cs="仿宋_GB2312"/>
          <w:color w:val="auto"/>
          <w:sz w:val="24"/>
        </w:rPr>
      </w:pPr>
    </w:p>
    <w:p w14:paraId="6ADBD77B">
      <w:pPr>
        <w:spacing w:line="360" w:lineRule="auto"/>
        <w:contextualSpacing/>
        <w:jc w:val="left"/>
        <w:rPr>
          <w:rFonts w:ascii="宋体" w:hAnsi="宋体" w:cs="仿宋_GB2312"/>
          <w:color w:val="auto"/>
          <w:sz w:val="24"/>
        </w:rPr>
      </w:pPr>
      <w:r>
        <w:rPr>
          <w:rFonts w:hint="eastAsia" w:ascii="宋体" w:hAnsi="宋体" w:cs="仿宋_GB2312"/>
          <w:color w:val="auto"/>
          <w:sz w:val="24"/>
        </w:rPr>
        <w:t>注：联合体竞标的只需牵头人出具。</w:t>
      </w:r>
    </w:p>
    <w:p w14:paraId="0FF0A8B2">
      <w:pPr>
        <w:adjustRightInd w:val="0"/>
        <w:snapToGrid w:val="0"/>
        <w:spacing w:line="300" w:lineRule="auto"/>
        <w:jc w:val="left"/>
        <w:rPr>
          <w:rFonts w:hint="eastAsia" w:ascii="宋体" w:hAnsi="宋体"/>
          <w:b/>
          <w:color w:val="auto"/>
          <w:szCs w:val="21"/>
        </w:rPr>
      </w:pPr>
    </w:p>
    <w:p w14:paraId="65BD2C4A">
      <w:pPr>
        <w:spacing w:line="500" w:lineRule="exact"/>
        <w:rPr>
          <w:rFonts w:hint="eastAsia" w:ascii="方正小标宋简体" w:hAnsi="方正小标宋简体" w:eastAsia="方正小标宋简体" w:cs="方正小标宋简体"/>
          <w:color w:val="auto"/>
          <w:sz w:val="44"/>
          <w:szCs w:val="44"/>
        </w:rPr>
      </w:pPr>
    </w:p>
    <w:p w14:paraId="5ED1FF1E">
      <w:pPr>
        <w:spacing w:line="500" w:lineRule="exact"/>
        <w:rPr>
          <w:rFonts w:hint="eastAsia" w:ascii="方正小标宋简体" w:hAnsi="方正小标宋简体" w:eastAsia="方正小标宋简体" w:cs="方正小标宋简体"/>
          <w:color w:val="auto"/>
          <w:sz w:val="44"/>
          <w:szCs w:val="44"/>
        </w:rPr>
      </w:pPr>
    </w:p>
    <w:p w14:paraId="69B01A57">
      <w:pPr>
        <w:spacing w:line="500" w:lineRule="exact"/>
        <w:rPr>
          <w:rFonts w:hint="eastAsia" w:ascii="方正小标宋简体" w:hAnsi="方正小标宋简体" w:eastAsia="方正小标宋简体" w:cs="方正小标宋简体"/>
          <w:color w:val="auto"/>
          <w:sz w:val="44"/>
          <w:szCs w:val="44"/>
        </w:rPr>
      </w:pPr>
    </w:p>
    <w:p w14:paraId="557662B4">
      <w:pPr>
        <w:spacing w:line="500" w:lineRule="exact"/>
        <w:rPr>
          <w:rFonts w:hint="eastAsia" w:ascii="方正小标宋简体" w:hAnsi="方正小标宋简体" w:eastAsia="方正小标宋简体" w:cs="方正小标宋简体"/>
          <w:color w:val="auto"/>
          <w:sz w:val="44"/>
          <w:szCs w:val="44"/>
        </w:rPr>
      </w:pPr>
    </w:p>
    <w:p w14:paraId="7B9F39AE">
      <w:pPr>
        <w:spacing w:line="500" w:lineRule="exact"/>
        <w:rPr>
          <w:rFonts w:hint="eastAsia" w:ascii="方正小标宋简体" w:hAnsi="方正小标宋简体" w:eastAsia="方正小标宋简体" w:cs="方正小标宋简体"/>
          <w:color w:val="auto"/>
          <w:sz w:val="44"/>
          <w:szCs w:val="44"/>
        </w:rPr>
      </w:pPr>
    </w:p>
    <w:p w14:paraId="1B0F6B54">
      <w:pPr>
        <w:spacing w:line="500" w:lineRule="exact"/>
        <w:rPr>
          <w:rFonts w:hint="eastAsia" w:ascii="方正小标宋简体" w:hAnsi="方正小标宋简体" w:eastAsia="方正小标宋简体" w:cs="方正小标宋简体"/>
          <w:color w:val="auto"/>
          <w:sz w:val="44"/>
          <w:szCs w:val="44"/>
        </w:rPr>
      </w:pPr>
    </w:p>
    <w:p w14:paraId="37263B87">
      <w:pPr>
        <w:spacing w:line="500" w:lineRule="exact"/>
        <w:rPr>
          <w:rFonts w:hint="eastAsia" w:ascii="方正小标宋简体" w:hAnsi="方正小标宋简体" w:eastAsia="方正小标宋简体" w:cs="方正小标宋简体"/>
          <w:color w:val="auto"/>
          <w:sz w:val="44"/>
          <w:szCs w:val="44"/>
        </w:rPr>
      </w:pPr>
    </w:p>
    <w:p w14:paraId="66C32838">
      <w:pPr>
        <w:spacing w:line="500" w:lineRule="exact"/>
        <w:rPr>
          <w:rFonts w:hint="eastAsia" w:ascii="方正小标宋简体" w:hAnsi="方正小标宋简体" w:eastAsia="方正小标宋简体" w:cs="方正小标宋简体"/>
          <w:color w:val="auto"/>
          <w:sz w:val="44"/>
          <w:szCs w:val="44"/>
        </w:rPr>
      </w:pPr>
    </w:p>
    <w:p w14:paraId="1E1E9957">
      <w:pPr>
        <w:spacing w:line="520" w:lineRule="exact"/>
        <w:jc w:val="center"/>
        <w:rPr>
          <w:rFonts w:hint="eastAsia" w:ascii="宋体" w:hAnsi="宋体" w:cs="方正小标宋简体"/>
          <w:b/>
          <w:color w:val="auto"/>
          <w:sz w:val="32"/>
          <w:szCs w:val="32"/>
        </w:rPr>
      </w:pPr>
      <w:bookmarkStart w:id="119" w:name="_Hlk65853643"/>
      <w:r>
        <w:rPr>
          <w:rFonts w:hint="eastAsia" w:ascii="宋体" w:hAnsi="宋体" w:cs="方正小标宋简体"/>
          <w:b/>
          <w:color w:val="auto"/>
          <w:sz w:val="32"/>
          <w:szCs w:val="32"/>
        </w:rPr>
        <w:t>授权委托书</w:t>
      </w:r>
    </w:p>
    <w:p w14:paraId="37F3E67E">
      <w:pPr>
        <w:spacing w:line="520" w:lineRule="exact"/>
        <w:jc w:val="center"/>
        <w:rPr>
          <w:rFonts w:hint="eastAsia" w:ascii="宋体" w:hAnsi="宋体" w:cs="方正小标宋简体"/>
          <w:b/>
          <w:color w:val="auto"/>
          <w:sz w:val="24"/>
        </w:rPr>
      </w:pPr>
      <w:r>
        <w:rPr>
          <w:rFonts w:hint="eastAsia" w:ascii="宋体" w:hAnsi="宋体" w:cs="方正小标宋简体"/>
          <w:b/>
          <w:color w:val="auto"/>
          <w:sz w:val="24"/>
        </w:rPr>
        <w:t>（非联合体竞标格式）</w:t>
      </w:r>
    </w:p>
    <w:p w14:paraId="339FF03E">
      <w:pPr>
        <w:spacing w:line="520" w:lineRule="exact"/>
        <w:jc w:val="center"/>
        <w:rPr>
          <w:rFonts w:hint="eastAsia" w:ascii="宋体" w:hAnsi="宋体" w:cs="方正小标宋简体"/>
          <w:b/>
          <w:color w:val="auto"/>
          <w:sz w:val="24"/>
        </w:rPr>
      </w:pPr>
      <w:r>
        <w:rPr>
          <w:rFonts w:hint="eastAsia" w:ascii="宋体" w:hAnsi="宋体" w:cs="方正小标宋简体"/>
          <w:b/>
          <w:color w:val="auto"/>
          <w:sz w:val="24"/>
        </w:rPr>
        <w:t>（如有委托时）</w:t>
      </w:r>
    </w:p>
    <w:p w14:paraId="4BCCC320">
      <w:pPr>
        <w:spacing w:line="520" w:lineRule="exact"/>
        <w:rPr>
          <w:rFonts w:hint="eastAsia" w:ascii="仿宋_GB2312" w:hAnsi="仿宋_GB2312" w:eastAsia="仿宋_GB2312" w:cs="仿宋_GB2312"/>
          <w:color w:val="auto"/>
          <w:sz w:val="32"/>
          <w:szCs w:val="32"/>
        </w:rPr>
      </w:pPr>
    </w:p>
    <w:p w14:paraId="2CD6ED72">
      <w:pPr>
        <w:spacing w:line="360" w:lineRule="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3D84D7FC">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t>□法定代表人/□负责人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项目的竞标活动，并代表我方全权办理针对上述项目的所有采购程序和环节的具体事务和签署相关文件。</w:t>
      </w:r>
    </w:p>
    <w:p w14:paraId="4A462753">
      <w:pPr>
        <w:spacing w:line="360" w:lineRule="auto"/>
        <w:rPr>
          <w:rFonts w:hint="eastAsia" w:ascii="宋体" w:hAnsi="宋体" w:cs="仿宋_GB2312"/>
          <w:color w:val="auto"/>
          <w:sz w:val="24"/>
        </w:rPr>
      </w:pPr>
      <w:r>
        <w:rPr>
          <w:rFonts w:hint="eastAsia" w:ascii="宋体" w:hAnsi="宋体" w:cs="仿宋_GB2312"/>
          <w:color w:val="auto"/>
          <w:sz w:val="24"/>
        </w:rPr>
        <w:t xml:space="preserve">    我方对委托代理人的签字</w:t>
      </w:r>
      <w:r>
        <w:rPr>
          <w:rFonts w:hint="eastAsia" w:ascii="宋体" w:hAnsi="宋体"/>
          <w:color w:val="auto"/>
          <w:sz w:val="24"/>
        </w:rPr>
        <w:t>或者电子签名</w:t>
      </w:r>
      <w:r>
        <w:rPr>
          <w:rFonts w:hint="eastAsia" w:ascii="宋体" w:hAnsi="宋体" w:cs="仿宋_GB2312"/>
          <w:color w:val="auto"/>
          <w:sz w:val="24"/>
        </w:rPr>
        <w:t>事项负全部责任。</w:t>
      </w:r>
    </w:p>
    <w:p w14:paraId="567B4E98">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151EF75C">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委托代理人无转委托权，特此委托。</w:t>
      </w:r>
    </w:p>
    <w:p w14:paraId="60977BEC">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14:paraId="26FC1BDE">
      <w:pPr>
        <w:spacing w:line="360" w:lineRule="auto"/>
        <w:rPr>
          <w:rFonts w:hint="eastAsia" w:ascii="宋体" w:hAnsi="宋体" w:cs="仿宋_GB2312"/>
          <w:color w:val="auto"/>
          <w:sz w:val="24"/>
        </w:rPr>
      </w:pPr>
    </w:p>
    <w:p w14:paraId="0EC40FFD">
      <w:pPr>
        <w:spacing w:line="360" w:lineRule="auto"/>
        <w:contextualSpacing/>
        <w:rPr>
          <w:rFonts w:hint="eastAsia" w:ascii="宋体" w:hAns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签字或者电子签名</w:t>
      </w:r>
      <w:r>
        <w:rPr>
          <w:rFonts w:hint="eastAsia" w:ascii="宋体" w:hAnsi="宋体" w:cs="仿宋_GB2312"/>
          <w:color w:val="auto"/>
          <w:sz w:val="24"/>
        </w:rPr>
        <w:t xml:space="preserve">）：     法定代表人（签字或者盖章或者电子签名）：                    </w:t>
      </w:r>
    </w:p>
    <w:p w14:paraId="4374E2B4">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委托代理人身份证号码：                              </w:t>
      </w:r>
    </w:p>
    <w:p w14:paraId="6A0DD15A">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                                </w:t>
      </w:r>
    </w:p>
    <w:p w14:paraId="1A60E28B">
      <w:pPr>
        <w:spacing w:line="360" w:lineRule="auto"/>
        <w:rPr>
          <w:rFonts w:hint="eastAsia" w:ascii="宋体" w:hAnsi="宋体" w:cs="仿宋_GB2312"/>
          <w:color w:val="auto"/>
          <w:sz w:val="24"/>
        </w:rPr>
      </w:pPr>
      <w:r>
        <w:rPr>
          <w:rFonts w:hint="eastAsia" w:ascii="宋体" w:hAnsi="宋体" w:cs="仿宋_GB2312"/>
          <w:color w:val="auto"/>
          <w:sz w:val="24"/>
        </w:rPr>
        <w:t xml:space="preserve">                         供应商（电子签章）：                      </w:t>
      </w:r>
    </w:p>
    <w:p w14:paraId="0AA86118">
      <w:pPr>
        <w:spacing w:line="360" w:lineRule="auto"/>
        <w:rPr>
          <w:rFonts w:hint="eastAsia" w:ascii="宋体" w:hAnsi="宋体" w:cs="仿宋_GB2312"/>
          <w:color w:val="auto"/>
          <w:sz w:val="24"/>
        </w:rPr>
      </w:pPr>
      <w:r>
        <w:rPr>
          <w:rFonts w:hint="eastAsia" w:ascii="宋体" w:hAnsi="宋体" w:cs="仿宋_GB2312"/>
          <w:color w:val="auto"/>
          <w:sz w:val="24"/>
        </w:rPr>
        <w:t xml:space="preserve">                                         年    月    日</w:t>
      </w:r>
    </w:p>
    <w:p w14:paraId="1775A1EC">
      <w:pPr>
        <w:spacing w:line="360" w:lineRule="auto"/>
        <w:rPr>
          <w:rFonts w:hint="eastAsia" w:ascii="宋体" w:hAnsi="宋体" w:cs="仿宋_GB2312"/>
          <w:color w:val="auto"/>
          <w:sz w:val="24"/>
        </w:rPr>
      </w:pPr>
    </w:p>
    <w:p w14:paraId="79335050">
      <w:pPr>
        <w:spacing w:line="360" w:lineRule="auto"/>
        <w:rPr>
          <w:rFonts w:ascii="宋体" w:hAnsi="宋体" w:cs="仿宋_GB2312"/>
          <w:color w:val="auto"/>
          <w:sz w:val="24"/>
        </w:rPr>
      </w:pPr>
      <w:r>
        <w:rPr>
          <w:rFonts w:hint="eastAsia" w:ascii="宋体" w:hAnsi="宋体" w:cs="仿宋_GB2312"/>
          <w:color w:val="auto"/>
          <w:sz w:val="24"/>
        </w:rPr>
        <w:t>注：法定代表人必须在授权委托书上签字或者盖章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否则其响应文件按无效处理。</w:t>
      </w:r>
    </w:p>
    <w:p w14:paraId="52243699">
      <w:pPr>
        <w:spacing w:line="360" w:lineRule="auto"/>
        <w:ind w:firstLine="420" w:firstLineChars="200"/>
        <w:jc w:val="left"/>
        <w:rPr>
          <w:rFonts w:hint="eastAsia" w:ascii="仿宋_GB2312" w:hAnsi="仿宋_GB2312" w:eastAsia="仿宋_GB2312" w:cs="仿宋_GB2312"/>
          <w:color w:val="auto"/>
          <w:szCs w:val="21"/>
        </w:rPr>
      </w:pPr>
    </w:p>
    <w:p w14:paraId="6FB5047B">
      <w:pPr>
        <w:spacing w:line="360" w:lineRule="auto"/>
        <w:jc w:val="center"/>
        <w:rPr>
          <w:rFonts w:hint="eastAsia" w:ascii="宋体" w:hAnsi="宋体" w:cs="方正小标宋简体"/>
          <w:b/>
          <w:color w:val="auto"/>
          <w:sz w:val="32"/>
          <w:szCs w:val="32"/>
        </w:rPr>
      </w:pPr>
      <w:r>
        <w:rPr>
          <w:rFonts w:ascii="仿宋_GB2312" w:hAnsi="仿宋_GB2312" w:eastAsia="仿宋_GB2312" w:cs="仿宋_GB2312"/>
          <w:color w:val="auto"/>
          <w:szCs w:val="21"/>
        </w:rPr>
        <w:br w:type="page"/>
      </w:r>
      <w:bookmarkEnd w:id="119"/>
      <w:r>
        <w:rPr>
          <w:rFonts w:hint="eastAsia" w:ascii="宋体" w:hAnsi="宋体" w:cs="方正小标宋简体"/>
          <w:b/>
          <w:color w:val="auto"/>
          <w:sz w:val="32"/>
          <w:szCs w:val="32"/>
        </w:rPr>
        <w:t>建筑材料和设备节能环保要求承诺书</w:t>
      </w:r>
    </w:p>
    <w:p w14:paraId="130F0FCB">
      <w:pPr>
        <w:spacing w:line="360" w:lineRule="auto"/>
        <w:jc w:val="center"/>
        <w:rPr>
          <w:rFonts w:hint="eastAsia" w:ascii="宋体" w:hAnsi="宋体" w:cs="宋体"/>
          <w:color w:val="auto"/>
          <w:szCs w:val="21"/>
        </w:rPr>
      </w:pPr>
    </w:p>
    <w:p w14:paraId="17C9C58A">
      <w:pPr>
        <w:spacing w:line="360" w:lineRule="auto"/>
        <w:ind w:firstLine="480" w:firstLineChars="200"/>
        <w:jc w:val="left"/>
        <w:rPr>
          <w:rFonts w:hint="eastAsia"/>
          <w:color w:val="auto"/>
          <w:sz w:val="24"/>
        </w:rPr>
      </w:pPr>
      <w:r>
        <w:rPr>
          <w:rFonts w:hint="eastAsia"/>
          <w:color w:val="auto"/>
          <w:sz w:val="24"/>
        </w:rPr>
        <w:t>我方承诺，一旦成交，我方保证严格执行</w:t>
      </w:r>
      <w:r>
        <w:rPr>
          <w:rFonts w:hint="eastAsia" w:cs="宋体"/>
          <w:color w:val="auto"/>
          <w:sz w:val="24"/>
        </w:rPr>
        <w:t>《财政部</w:t>
      </w:r>
      <w:r>
        <w:rPr>
          <w:rFonts w:cs="宋体"/>
          <w:color w:val="auto"/>
          <w:sz w:val="24"/>
        </w:rPr>
        <w:t xml:space="preserve"> </w:t>
      </w:r>
      <w:r>
        <w:rPr>
          <w:rFonts w:hint="eastAsia" w:cs="宋体"/>
          <w:color w:val="auto"/>
          <w:sz w:val="24"/>
        </w:rPr>
        <w:t>发展改革委</w:t>
      </w:r>
      <w:r>
        <w:rPr>
          <w:rFonts w:cs="宋体"/>
          <w:color w:val="auto"/>
          <w:sz w:val="24"/>
        </w:rPr>
        <w:t xml:space="preserve"> </w:t>
      </w:r>
      <w:r>
        <w:rPr>
          <w:rFonts w:hint="eastAsia" w:cs="宋体"/>
          <w:color w:val="auto"/>
          <w:sz w:val="24"/>
        </w:rPr>
        <w:t>生态环境部</w:t>
      </w:r>
      <w:r>
        <w:rPr>
          <w:rFonts w:cs="宋体"/>
          <w:color w:val="auto"/>
          <w:sz w:val="24"/>
        </w:rPr>
        <w:t xml:space="preserve"> </w:t>
      </w:r>
      <w:r>
        <w:rPr>
          <w:rFonts w:hint="eastAsia" w:cs="宋体"/>
          <w:color w:val="auto"/>
          <w:sz w:val="24"/>
        </w:rPr>
        <w:t>市场监管总局关于调整优化节能产品、环境标志产品政府采购执行机制的通知》（财库〔</w:t>
      </w:r>
      <w:r>
        <w:rPr>
          <w:rFonts w:cs="宋体"/>
          <w:color w:val="auto"/>
          <w:sz w:val="24"/>
        </w:rPr>
        <w:t>2019</w:t>
      </w:r>
      <w:r>
        <w:rPr>
          <w:rFonts w:hint="eastAsia" w:cs="宋体"/>
          <w:color w:val="auto"/>
          <w:sz w:val="24"/>
        </w:rPr>
        <w:t>〕</w:t>
      </w:r>
      <w:r>
        <w:rPr>
          <w:rFonts w:cs="宋体"/>
          <w:color w:val="auto"/>
          <w:sz w:val="24"/>
        </w:rPr>
        <w:t>9</w:t>
      </w:r>
      <w:r>
        <w:rPr>
          <w:rFonts w:hint="eastAsia" w:cs="宋体"/>
          <w:color w:val="auto"/>
          <w:sz w:val="24"/>
        </w:rPr>
        <w:t>号）和《关于印发节能产品政府采购品目清单的通知》（财库〔</w:t>
      </w:r>
      <w:r>
        <w:rPr>
          <w:rFonts w:cs="宋体"/>
          <w:color w:val="auto"/>
          <w:sz w:val="24"/>
        </w:rPr>
        <w:t>2019</w:t>
      </w:r>
      <w:r>
        <w:rPr>
          <w:rFonts w:hint="eastAsia" w:cs="宋体"/>
          <w:color w:val="auto"/>
          <w:sz w:val="24"/>
        </w:rPr>
        <w:t>〕</w:t>
      </w:r>
      <w:r>
        <w:rPr>
          <w:rFonts w:cs="宋体"/>
          <w:color w:val="auto"/>
          <w:sz w:val="24"/>
        </w:rPr>
        <w:t>19</w:t>
      </w:r>
      <w:r>
        <w:rPr>
          <w:rFonts w:hint="eastAsia" w:cs="宋体"/>
          <w:color w:val="auto"/>
          <w:sz w:val="24"/>
        </w:rPr>
        <w:t>号）的规定，所有工程中涉及的建筑材料和设备如属于财库〔</w:t>
      </w:r>
      <w:r>
        <w:rPr>
          <w:rFonts w:cs="宋体"/>
          <w:color w:val="auto"/>
          <w:sz w:val="24"/>
        </w:rPr>
        <w:t>2019</w:t>
      </w:r>
      <w:r>
        <w:rPr>
          <w:rFonts w:hint="eastAsia" w:cs="宋体"/>
          <w:color w:val="auto"/>
          <w:sz w:val="24"/>
        </w:rPr>
        <w:t>〕</w:t>
      </w:r>
      <w:r>
        <w:rPr>
          <w:rFonts w:cs="宋体"/>
          <w:color w:val="auto"/>
          <w:sz w:val="24"/>
        </w:rPr>
        <w:t>19</w:t>
      </w:r>
      <w:r>
        <w:rPr>
          <w:rFonts w:hint="eastAsia" w:cs="宋体"/>
          <w:color w:val="auto"/>
          <w:sz w:val="24"/>
        </w:rPr>
        <w:t>号文中《节能产品政府采购品目清单》内标注“★”的产品，都使用政府强制采购的节能产品。</w:t>
      </w:r>
      <w:r>
        <w:rPr>
          <w:rFonts w:hint="eastAsia"/>
          <w:color w:val="auto"/>
          <w:sz w:val="24"/>
        </w:rPr>
        <w:t>如我方在该项目的承包中出现未按规定执行的情形，我方愿意按照相关规定接受采购人及有关行政主管部门的处罚，愿意承担一切后果，并不再寻求任何旨在减轻或者免除法律责任的辩解。</w:t>
      </w:r>
    </w:p>
    <w:p w14:paraId="5EA19887">
      <w:pPr>
        <w:spacing w:line="360" w:lineRule="auto"/>
        <w:ind w:firstLine="480" w:firstLineChars="200"/>
        <w:jc w:val="center"/>
        <w:rPr>
          <w:rFonts w:hint="eastAsia"/>
          <w:color w:val="auto"/>
          <w:sz w:val="24"/>
        </w:rPr>
      </w:pPr>
    </w:p>
    <w:p w14:paraId="12121E0A">
      <w:pPr>
        <w:spacing w:line="360" w:lineRule="auto"/>
        <w:contextualSpacing/>
        <w:rPr>
          <w:rFonts w:hint="eastAsia" w:ascii="宋体" w:hAnsi="宋体" w:cs="仿宋_GB2312"/>
          <w:color w:val="auto"/>
          <w:sz w:val="24"/>
        </w:rPr>
      </w:pPr>
    </w:p>
    <w:p w14:paraId="313726DF">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供应商（电子签章）：</w:t>
      </w:r>
    </w:p>
    <w:p w14:paraId="7FBA3AE5">
      <w:pPr>
        <w:spacing w:line="360" w:lineRule="auto"/>
        <w:ind w:firstLine="480" w:firstLineChars="200"/>
        <w:jc w:val="center"/>
        <w:rPr>
          <w:rFonts w:hint="eastAsia" w:ascii="宋体" w:hAnsi="宋体" w:cs="方正小标宋简体"/>
          <w:b/>
          <w:bCs/>
          <w:color w:val="auto"/>
          <w:sz w:val="32"/>
          <w:szCs w:val="32"/>
        </w:rPr>
      </w:pPr>
      <w:r>
        <w:rPr>
          <w:rFonts w:hint="eastAsia" w:ascii="宋体" w:hAnsi="宋体" w:cs="仿宋_GB2312"/>
          <w:color w:val="auto"/>
          <w:sz w:val="24"/>
        </w:rPr>
        <w:t xml:space="preserve">                               年   月   日</w:t>
      </w:r>
      <w:r>
        <w:rPr>
          <w:rFonts w:hint="eastAsia" w:ascii="仿宋_GB2312" w:hAnsi="仿宋_GB2312" w:eastAsia="仿宋_GB2312" w:cs="仿宋_GB2312"/>
          <w:color w:val="auto"/>
          <w:sz w:val="32"/>
          <w:szCs w:val="32"/>
        </w:rPr>
        <w:br w:type="page"/>
      </w:r>
      <w:r>
        <w:rPr>
          <w:rFonts w:hint="eastAsia" w:ascii="宋体" w:hAnsi="宋体" w:cs="方正小标宋简体"/>
          <w:b/>
          <w:bCs/>
          <w:color w:val="auto"/>
          <w:sz w:val="32"/>
          <w:szCs w:val="32"/>
        </w:rPr>
        <w:t>施工组织设计</w:t>
      </w:r>
    </w:p>
    <w:p w14:paraId="1B7EE964">
      <w:pPr>
        <w:spacing w:line="360" w:lineRule="auto"/>
        <w:ind w:firstLine="420" w:firstLineChars="200"/>
        <w:rPr>
          <w:rFonts w:cs="宋体"/>
          <w:color w:val="auto"/>
        </w:rPr>
      </w:pPr>
      <w:r>
        <w:rPr>
          <w:rFonts w:hint="eastAsia"/>
          <w:color w:val="auto"/>
        </w:rPr>
        <w:t>1.</w:t>
      </w:r>
      <w:r>
        <w:rPr>
          <w:color w:val="auto"/>
        </w:rPr>
        <w:t xml:space="preserve"> 施工组织</w:t>
      </w:r>
      <w:r>
        <w:rPr>
          <w:rFonts w:hint="eastAsia"/>
          <w:color w:val="auto"/>
        </w:rPr>
        <w:t>设计</w:t>
      </w:r>
      <w:r>
        <w:rPr>
          <w:rFonts w:hint="eastAsia" w:ascii="宋体" w:hAnsi="宋体"/>
          <w:color w:val="auto"/>
        </w:rPr>
        <w:t>应</w:t>
      </w:r>
      <w:r>
        <w:rPr>
          <w:rFonts w:hint="eastAsia"/>
          <w:color w:val="auto"/>
        </w:rPr>
        <w:t>以下内容顺序编制，可</w:t>
      </w:r>
      <w:r>
        <w:rPr>
          <w:rFonts w:hint="eastAsia" w:ascii="宋体" w:hAnsi="宋体"/>
          <w:color w:val="auto"/>
        </w:rPr>
        <w:t>采用文字并结合图表形式说明施工方法，</w:t>
      </w:r>
      <w:r>
        <w:rPr>
          <w:color w:val="auto"/>
        </w:rPr>
        <w:t>施工组织</w:t>
      </w:r>
      <w:r>
        <w:rPr>
          <w:rFonts w:hint="eastAsia"/>
          <w:color w:val="auto"/>
        </w:rPr>
        <w:t>设计具体</w:t>
      </w:r>
      <w:r>
        <w:rPr>
          <w:color w:val="auto"/>
        </w:rPr>
        <w:t>内容</w:t>
      </w:r>
      <w:r>
        <w:rPr>
          <w:rFonts w:hint="eastAsia" w:cs="宋体"/>
          <w:color w:val="auto"/>
        </w:rPr>
        <w:t>如下：</w:t>
      </w:r>
    </w:p>
    <w:p w14:paraId="304B5F31">
      <w:pPr>
        <w:spacing w:line="360" w:lineRule="auto"/>
        <w:ind w:firstLine="420" w:firstLineChars="200"/>
        <w:rPr>
          <w:rFonts w:hint="eastAsia"/>
          <w:color w:val="auto"/>
        </w:rPr>
      </w:pPr>
      <w:r>
        <w:rPr>
          <w:rFonts w:hint="eastAsia"/>
          <w:color w:val="auto"/>
        </w:rPr>
        <w:t>（1）概述</w:t>
      </w:r>
    </w:p>
    <w:p w14:paraId="75CBC1D0">
      <w:pPr>
        <w:spacing w:line="360" w:lineRule="auto"/>
        <w:ind w:firstLine="420" w:firstLineChars="200"/>
        <w:rPr>
          <w:rFonts w:hint="eastAsia"/>
          <w:color w:val="auto"/>
        </w:rPr>
      </w:pPr>
      <w:r>
        <w:rPr>
          <w:rFonts w:hint="eastAsia"/>
          <w:color w:val="auto"/>
        </w:rPr>
        <w:t>（2）主要施工方法；</w:t>
      </w:r>
    </w:p>
    <w:p w14:paraId="6CDDCF7B">
      <w:pPr>
        <w:spacing w:line="360" w:lineRule="auto"/>
        <w:ind w:firstLine="420" w:firstLineChars="200"/>
        <w:rPr>
          <w:color w:val="auto"/>
        </w:rPr>
      </w:pPr>
      <w:r>
        <w:rPr>
          <w:rFonts w:hint="eastAsia"/>
          <w:color w:val="auto"/>
        </w:rPr>
        <w:t>（3）拟投入的主要物资计划</w:t>
      </w:r>
    </w:p>
    <w:p w14:paraId="092A2928">
      <w:pPr>
        <w:spacing w:line="360" w:lineRule="auto"/>
        <w:ind w:firstLine="420" w:firstLineChars="200"/>
        <w:rPr>
          <w:rFonts w:hint="eastAsia"/>
          <w:color w:val="auto"/>
        </w:rPr>
      </w:pPr>
      <w:r>
        <w:rPr>
          <w:rFonts w:hint="eastAsia"/>
          <w:color w:val="auto"/>
        </w:rPr>
        <w:t>（</w:t>
      </w:r>
      <w:r>
        <w:rPr>
          <w:color w:val="auto"/>
        </w:rPr>
        <w:t>4</w:t>
      </w:r>
      <w:r>
        <w:rPr>
          <w:rFonts w:hint="eastAsia"/>
          <w:color w:val="auto"/>
        </w:rPr>
        <w:t>）劳动力安排计划；</w:t>
      </w:r>
    </w:p>
    <w:p w14:paraId="1D581244">
      <w:pPr>
        <w:spacing w:line="360" w:lineRule="auto"/>
        <w:ind w:firstLine="420" w:firstLineChars="200"/>
        <w:rPr>
          <w:rFonts w:hint="eastAsia"/>
          <w:color w:val="auto"/>
        </w:rPr>
      </w:pPr>
      <w:r>
        <w:rPr>
          <w:rFonts w:hint="eastAsia"/>
          <w:color w:val="auto"/>
        </w:rPr>
        <w:t>（</w:t>
      </w:r>
      <w:r>
        <w:rPr>
          <w:color w:val="auto"/>
        </w:rPr>
        <w:t>5</w:t>
      </w:r>
      <w:r>
        <w:rPr>
          <w:rFonts w:hint="eastAsia"/>
          <w:color w:val="auto"/>
        </w:rPr>
        <w:t>）确保工程质量的技术组织措施；</w:t>
      </w:r>
    </w:p>
    <w:p w14:paraId="497CFE31">
      <w:pPr>
        <w:spacing w:line="360" w:lineRule="auto"/>
        <w:ind w:firstLine="420" w:firstLineChars="200"/>
        <w:rPr>
          <w:rFonts w:hint="eastAsia"/>
          <w:color w:val="auto"/>
        </w:rPr>
      </w:pPr>
      <w:r>
        <w:rPr>
          <w:rFonts w:hint="eastAsia"/>
          <w:color w:val="auto"/>
        </w:rPr>
        <w:t>（</w:t>
      </w:r>
      <w:r>
        <w:rPr>
          <w:color w:val="auto"/>
        </w:rPr>
        <w:t>6</w:t>
      </w:r>
      <w:r>
        <w:rPr>
          <w:rFonts w:hint="eastAsia"/>
          <w:color w:val="auto"/>
        </w:rPr>
        <w:t>）确保安全生产的技术组织措施；</w:t>
      </w:r>
    </w:p>
    <w:p w14:paraId="211D7303">
      <w:pPr>
        <w:spacing w:line="360" w:lineRule="auto"/>
        <w:ind w:firstLine="420" w:firstLineChars="200"/>
        <w:rPr>
          <w:rFonts w:hint="eastAsia"/>
          <w:color w:val="auto"/>
        </w:rPr>
      </w:pPr>
      <w:r>
        <w:rPr>
          <w:rFonts w:hint="eastAsia"/>
          <w:color w:val="auto"/>
        </w:rPr>
        <w:t>（</w:t>
      </w:r>
      <w:r>
        <w:rPr>
          <w:color w:val="auto"/>
        </w:rPr>
        <w:t>7</w:t>
      </w:r>
      <w:r>
        <w:rPr>
          <w:rFonts w:hint="eastAsia"/>
          <w:color w:val="auto"/>
        </w:rPr>
        <w:t>）确保工期的技术组织措施；</w:t>
      </w:r>
    </w:p>
    <w:p w14:paraId="12C28613">
      <w:pPr>
        <w:spacing w:line="360" w:lineRule="auto"/>
        <w:ind w:firstLine="420" w:firstLineChars="200"/>
        <w:rPr>
          <w:rFonts w:hint="eastAsia"/>
          <w:color w:val="auto"/>
        </w:rPr>
      </w:pPr>
      <w:r>
        <w:rPr>
          <w:rFonts w:hint="eastAsia"/>
          <w:color w:val="auto"/>
        </w:rPr>
        <w:t>（</w:t>
      </w:r>
      <w:r>
        <w:rPr>
          <w:color w:val="auto"/>
        </w:rPr>
        <w:t>8</w:t>
      </w:r>
      <w:r>
        <w:rPr>
          <w:rFonts w:hint="eastAsia"/>
          <w:color w:val="auto"/>
        </w:rPr>
        <w:t>）确保文明施工的技术组织措施；</w:t>
      </w:r>
    </w:p>
    <w:p w14:paraId="725C19C1">
      <w:pPr>
        <w:spacing w:line="360" w:lineRule="auto"/>
        <w:ind w:firstLine="420" w:firstLineChars="200"/>
        <w:rPr>
          <w:rFonts w:hint="eastAsia"/>
          <w:color w:val="auto"/>
        </w:rPr>
      </w:pPr>
      <w:r>
        <w:rPr>
          <w:rFonts w:hint="eastAsia"/>
          <w:color w:val="auto"/>
        </w:rPr>
        <w:t>（</w:t>
      </w:r>
      <w:r>
        <w:rPr>
          <w:color w:val="auto"/>
        </w:rPr>
        <w:t>9</w:t>
      </w:r>
      <w:r>
        <w:rPr>
          <w:rFonts w:hint="eastAsia"/>
          <w:color w:val="auto"/>
        </w:rPr>
        <w:t>）工程施工的重点和难点及保证措施；</w:t>
      </w:r>
    </w:p>
    <w:p w14:paraId="1B253936">
      <w:pPr>
        <w:spacing w:line="360" w:lineRule="auto"/>
        <w:ind w:firstLine="420" w:firstLineChars="200"/>
        <w:rPr>
          <w:color w:val="auto"/>
        </w:rPr>
      </w:pPr>
      <w:r>
        <w:rPr>
          <w:rFonts w:hint="eastAsia"/>
          <w:color w:val="auto"/>
        </w:rPr>
        <w:t>（1</w:t>
      </w:r>
      <w:r>
        <w:rPr>
          <w:color w:val="auto"/>
        </w:rPr>
        <w:t>0</w:t>
      </w:r>
      <w:r>
        <w:rPr>
          <w:rFonts w:hint="eastAsia"/>
          <w:color w:val="auto"/>
        </w:rPr>
        <w:t>）施工总平面布置图；</w:t>
      </w:r>
    </w:p>
    <w:p w14:paraId="31AF04B4">
      <w:pPr>
        <w:spacing w:line="360" w:lineRule="auto"/>
        <w:ind w:firstLine="420" w:firstLineChars="200"/>
        <w:rPr>
          <w:rFonts w:hint="eastAsia"/>
          <w:color w:val="auto"/>
        </w:rPr>
      </w:pPr>
      <w:r>
        <w:rPr>
          <w:rFonts w:hint="eastAsia"/>
          <w:color w:val="auto"/>
        </w:rPr>
        <w:t>（1</w:t>
      </w:r>
      <w:r>
        <w:rPr>
          <w:color w:val="auto"/>
        </w:rPr>
        <w:t>1</w:t>
      </w:r>
      <w:r>
        <w:rPr>
          <w:rFonts w:hint="eastAsia"/>
          <w:color w:val="auto"/>
        </w:rPr>
        <w:t>）其他（</w:t>
      </w:r>
      <w:r>
        <w:rPr>
          <w:color w:val="auto"/>
        </w:rPr>
        <w:t>如有）</w:t>
      </w:r>
      <w:r>
        <w:rPr>
          <w:rFonts w:hint="eastAsia"/>
          <w:color w:val="auto"/>
        </w:rPr>
        <w:t>（与第四章“评审程序、评审方法和评审标准”中的评审</w:t>
      </w:r>
      <w:r>
        <w:rPr>
          <w:color w:val="auto"/>
        </w:rPr>
        <w:t>标准一致</w:t>
      </w:r>
      <w:r>
        <w:rPr>
          <w:rFonts w:hint="eastAsia"/>
          <w:color w:val="auto"/>
        </w:rPr>
        <w:t>）</w:t>
      </w:r>
    </w:p>
    <w:p w14:paraId="79FE874C">
      <w:pPr>
        <w:spacing w:line="360" w:lineRule="auto"/>
        <w:ind w:firstLine="420" w:firstLineChars="200"/>
        <w:rPr>
          <w:color w:val="auto"/>
        </w:rPr>
      </w:pPr>
      <w:r>
        <w:rPr>
          <w:rFonts w:hint="eastAsia"/>
          <w:color w:val="auto"/>
        </w:rPr>
        <w:t>2. 技术标</w:t>
      </w:r>
      <w:r>
        <w:rPr>
          <w:color w:val="auto"/>
        </w:rPr>
        <w:t>施工组织</w:t>
      </w:r>
      <w:r>
        <w:rPr>
          <w:rFonts w:hint="eastAsia"/>
          <w:color w:val="auto"/>
        </w:rPr>
        <w:t>设计除采用文字表述外可附下列图表，图表及格式要求附后。</w:t>
      </w:r>
    </w:p>
    <w:p w14:paraId="62B7D49C">
      <w:pPr>
        <w:spacing w:line="360" w:lineRule="auto"/>
        <w:ind w:firstLine="420" w:firstLineChars="200"/>
        <w:rPr>
          <w:color w:val="auto"/>
        </w:rPr>
      </w:pPr>
      <w:r>
        <w:rPr>
          <w:rFonts w:hint="eastAsia"/>
          <w:color w:val="auto"/>
        </w:rPr>
        <w:t>附表一</w:t>
      </w:r>
      <w:r>
        <w:rPr>
          <w:color w:val="auto"/>
        </w:rPr>
        <w:t xml:space="preserve">  </w:t>
      </w:r>
      <w:r>
        <w:rPr>
          <w:rFonts w:hint="eastAsia"/>
          <w:color w:val="auto"/>
        </w:rPr>
        <w:t>劳动力计划表</w:t>
      </w:r>
    </w:p>
    <w:p w14:paraId="4CFCFD2F">
      <w:pPr>
        <w:spacing w:line="360" w:lineRule="auto"/>
        <w:ind w:firstLine="420" w:firstLineChars="200"/>
        <w:rPr>
          <w:color w:val="auto"/>
        </w:rPr>
      </w:pPr>
      <w:r>
        <w:rPr>
          <w:rFonts w:hint="eastAsia"/>
          <w:color w:val="auto"/>
        </w:rPr>
        <w:t>附表二</w:t>
      </w:r>
      <w:r>
        <w:rPr>
          <w:color w:val="auto"/>
        </w:rPr>
        <w:t xml:space="preserve">  </w:t>
      </w:r>
      <w:r>
        <w:rPr>
          <w:rFonts w:hint="eastAsia"/>
          <w:color w:val="auto"/>
        </w:rPr>
        <w:t>计划开、竣工日期和施工进度计划（网络图或横道图）</w:t>
      </w:r>
    </w:p>
    <w:p w14:paraId="0BAF02B1">
      <w:pPr>
        <w:spacing w:line="360" w:lineRule="auto"/>
        <w:ind w:firstLine="420" w:firstLineChars="200"/>
        <w:rPr>
          <w:color w:val="auto"/>
        </w:rPr>
      </w:pPr>
      <w:r>
        <w:rPr>
          <w:rFonts w:hint="eastAsia"/>
          <w:color w:val="auto"/>
        </w:rPr>
        <w:t>附表三</w:t>
      </w:r>
      <w:r>
        <w:rPr>
          <w:color w:val="auto"/>
        </w:rPr>
        <w:t xml:space="preserve">  </w:t>
      </w:r>
      <w:r>
        <w:rPr>
          <w:rFonts w:hint="eastAsia"/>
          <w:color w:val="auto"/>
        </w:rPr>
        <w:t>施工总平面图</w:t>
      </w:r>
    </w:p>
    <w:p w14:paraId="05380600">
      <w:pPr>
        <w:spacing w:line="360" w:lineRule="auto"/>
        <w:ind w:firstLine="420" w:firstLineChars="200"/>
        <w:rPr>
          <w:rFonts w:hint="eastAsia"/>
          <w:color w:val="auto"/>
        </w:rPr>
      </w:pPr>
      <w:r>
        <w:rPr>
          <w:rFonts w:hint="eastAsia"/>
          <w:color w:val="auto"/>
        </w:rPr>
        <w:t>附表四</w:t>
      </w:r>
      <w:r>
        <w:rPr>
          <w:color w:val="auto"/>
        </w:rPr>
        <w:t xml:space="preserve">  </w:t>
      </w:r>
      <w:r>
        <w:rPr>
          <w:rFonts w:hint="eastAsia"/>
          <w:color w:val="auto"/>
        </w:rPr>
        <w:t>临时用地表</w:t>
      </w:r>
    </w:p>
    <w:p w14:paraId="529ADC26">
      <w:pPr>
        <w:spacing w:line="360" w:lineRule="auto"/>
        <w:ind w:firstLine="420" w:firstLineChars="200"/>
        <w:rPr>
          <w:rFonts w:hint="eastAsia"/>
          <w:color w:val="auto"/>
        </w:rPr>
      </w:pPr>
    </w:p>
    <w:p w14:paraId="2675E15E">
      <w:pPr>
        <w:rPr>
          <w:color w:val="auto"/>
        </w:rPr>
      </w:pPr>
      <w:r>
        <w:rPr>
          <w:rFonts w:hint="eastAsia" w:cs="宋体"/>
          <w:color w:val="auto"/>
        </w:rPr>
        <w:t>附表一：劳动力计划表</w:t>
      </w:r>
    </w:p>
    <w:p w14:paraId="00DA445B">
      <w:pPr>
        <w:ind w:firstLine="7245" w:firstLineChars="3450"/>
        <w:rPr>
          <w:color w:val="auto"/>
        </w:rPr>
      </w:pPr>
      <w:r>
        <w:rPr>
          <w:color w:val="auto"/>
        </w:rPr>
        <w:t xml:space="preserve">    </w:t>
      </w:r>
      <w:r>
        <w:rPr>
          <w:rFonts w:hint="eastAsia" w:cs="宋体"/>
          <w:color w:val="auto"/>
        </w:rPr>
        <w:t>单位：人</w:t>
      </w:r>
    </w:p>
    <w:tbl>
      <w:tblPr>
        <w:tblStyle w:val="45"/>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79BF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6F6D6B72">
            <w:pPr>
              <w:spacing w:line="360" w:lineRule="auto"/>
              <w:jc w:val="center"/>
              <w:rPr>
                <w:color w:val="auto"/>
              </w:rPr>
            </w:pPr>
            <w:r>
              <w:rPr>
                <w:rFonts w:hint="eastAsia" w:cs="宋体"/>
                <w:color w:val="auto"/>
              </w:rPr>
              <w:t>工种</w:t>
            </w:r>
          </w:p>
        </w:tc>
        <w:tc>
          <w:tcPr>
            <w:tcW w:w="7248" w:type="dxa"/>
            <w:gridSpan w:val="6"/>
            <w:noWrap w:val="0"/>
            <w:vAlign w:val="center"/>
          </w:tcPr>
          <w:p w14:paraId="0EF79DAD">
            <w:pPr>
              <w:spacing w:line="360" w:lineRule="auto"/>
              <w:jc w:val="center"/>
              <w:rPr>
                <w:color w:val="auto"/>
              </w:rPr>
            </w:pPr>
            <w:r>
              <w:rPr>
                <w:rFonts w:hint="eastAsia" w:cs="宋体"/>
                <w:color w:val="auto"/>
              </w:rPr>
              <w:t>按工程施工阶段投入劳动力情况</w:t>
            </w:r>
          </w:p>
        </w:tc>
      </w:tr>
      <w:tr w14:paraId="7716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77A06CD8">
            <w:pPr>
              <w:spacing w:line="360" w:lineRule="auto"/>
              <w:jc w:val="center"/>
              <w:rPr>
                <w:color w:val="auto"/>
              </w:rPr>
            </w:pPr>
          </w:p>
        </w:tc>
        <w:tc>
          <w:tcPr>
            <w:tcW w:w="961" w:type="dxa"/>
            <w:noWrap w:val="0"/>
            <w:vAlign w:val="center"/>
          </w:tcPr>
          <w:p w14:paraId="5AECD9DE">
            <w:pPr>
              <w:spacing w:line="360" w:lineRule="auto"/>
              <w:jc w:val="center"/>
              <w:rPr>
                <w:color w:val="auto"/>
              </w:rPr>
            </w:pPr>
          </w:p>
        </w:tc>
        <w:tc>
          <w:tcPr>
            <w:tcW w:w="1257" w:type="dxa"/>
            <w:noWrap w:val="0"/>
            <w:vAlign w:val="center"/>
          </w:tcPr>
          <w:p w14:paraId="5CD9824E">
            <w:pPr>
              <w:spacing w:line="360" w:lineRule="auto"/>
              <w:jc w:val="center"/>
              <w:rPr>
                <w:color w:val="auto"/>
              </w:rPr>
            </w:pPr>
          </w:p>
        </w:tc>
        <w:tc>
          <w:tcPr>
            <w:tcW w:w="1257" w:type="dxa"/>
            <w:noWrap w:val="0"/>
            <w:vAlign w:val="center"/>
          </w:tcPr>
          <w:p w14:paraId="4A47BACA">
            <w:pPr>
              <w:spacing w:line="360" w:lineRule="auto"/>
              <w:jc w:val="center"/>
              <w:rPr>
                <w:color w:val="auto"/>
              </w:rPr>
            </w:pPr>
          </w:p>
        </w:tc>
        <w:tc>
          <w:tcPr>
            <w:tcW w:w="1258" w:type="dxa"/>
            <w:noWrap w:val="0"/>
            <w:vAlign w:val="center"/>
          </w:tcPr>
          <w:p w14:paraId="7B9A09F1">
            <w:pPr>
              <w:spacing w:line="360" w:lineRule="auto"/>
              <w:jc w:val="center"/>
              <w:rPr>
                <w:color w:val="auto"/>
              </w:rPr>
            </w:pPr>
          </w:p>
        </w:tc>
        <w:tc>
          <w:tcPr>
            <w:tcW w:w="1257" w:type="dxa"/>
            <w:noWrap w:val="0"/>
            <w:vAlign w:val="center"/>
          </w:tcPr>
          <w:p w14:paraId="546B970D">
            <w:pPr>
              <w:spacing w:line="360" w:lineRule="auto"/>
              <w:jc w:val="center"/>
              <w:rPr>
                <w:color w:val="auto"/>
              </w:rPr>
            </w:pPr>
          </w:p>
        </w:tc>
        <w:tc>
          <w:tcPr>
            <w:tcW w:w="1258" w:type="dxa"/>
            <w:noWrap w:val="0"/>
            <w:vAlign w:val="center"/>
          </w:tcPr>
          <w:p w14:paraId="73A43483">
            <w:pPr>
              <w:spacing w:line="360" w:lineRule="auto"/>
              <w:jc w:val="center"/>
              <w:rPr>
                <w:color w:val="auto"/>
              </w:rPr>
            </w:pPr>
          </w:p>
        </w:tc>
      </w:tr>
      <w:tr w14:paraId="1382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009781A5">
            <w:pPr>
              <w:spacing w:line="360" w:lineRule="auto"/>
              <w:jc w:val="center"/>
              <w:rPr>
                <w:color w:val="auto"/>
              </w:rPr>
            </w:pPr>
          </w:p>
        </w:tc>
        <w:tc>
          <w:tcPr>
            <w:tcW w:w="961" w:type="dxa"/>
            <w:noWrap w:val="0"/>
            <w:vAlign w:val="center"/>
          </w:tcPr>
          <w:p w14:paraId="7A53DBCC">
            <w:pPr>
              <w:spacing w:line="360" w:lineRule="auto"/>
              <w:jc w:val="center"/>
              <w:rPr>
                <w:color w:val="auto"/>
              </w:rPr>
            </w:pPr>
          </w:p>
        </w:tc>
        <w:tc>
          <w:tcPr>
            <w:tcW w:w="1257" w:type="dxa"/>
            <w:noWrap w:val="0"/>
            <w:vAlign w:val="center"/>
          </w:tcPr>
          <w:p w14:paraId="08FF4878">
            <w:pPr>
              <w:spacing w:line="360" w:lineRule="auto"/>
              <w:jc w:val="center"/>
              <w:rPr>
                <w:color w:val="auto"/>
              </w:rPr>
            </w:pPr>
          </w:p>
        </w:tc>
        <w:tc>
          <w:tcPr>
            <w:tcW w:w="1257" w:type="dxa"/>
            <w:noWrap w:val="0"/>
            <w:vAlign w:val="center"/>
          </w:tcPr>
          <w:p w14:paraId="4653BE10">
            <w:pPr>
              <w:spacing w:line="360" w:lineRule="auto"/>
              <w:jc w:val="center"/>
              <w:rPr>
                <w:color w:val="auto"/>
              </w:rPr>
            </w:pPr>
          </w:p>
        </w:tc>
        <w:tc>
          <w:tcPr>
            <w:tcW w:w="1258" w:type="dxa"/>
            <w:noWrap w:val="0"/>
            <w:vAlign w:val="center"/>
          </w:tcPr>
          <w:p w14:paraId="6678E3E1">
            <w:pPr>
              <w:spacing w:line="360" w:lineRule="auto"/>
              <w:jc w:val="center"/>
              <w:rPr>
                <w:color w:val="auto"/>
              </w:rPr>
            </w:pPr>
          </w:p>
        </w:tc>
        <w:tc>
          <w:tcPr>
            <w:tcW w:w="1257" w:type="dxa"/>
            <w:noWrap w:val="0"/>
            <w:vAlign w:val="center"/>
          </w:tcPr>
          <w:p w14:paraId="424B84EB">
            <w:pPr>
              <w:spacing w:line="360" w:lineRule="auto"/>
              <w:jc w:val="center"/>
              <w:rPr>
                <w:color w:val="auto"/>
              </w:rPr>
            </w:pPr>
          </w:p>
        </w:tc>
        <w:tc>
          <w:tcPr>
            <w:tcW w:w="1258" w:type="dxa"/>
            <w:noWrap w:val="0"/>
            <w:vAlign w:val="center"/>
          </w:tcPr>
          <w:p w14:paraId="27658196">
            <w:pPr>
              <w:spacing w:line="360" w:lineRule="auto"/>
              <w:jc w:val="center"/>
              <w:rPr>
                <w:color w:val="auto"/>
              </w:rPr>
            </w:pPr>
          </w:p>
        </w:tc>
      </w:tr>
      <w:tr w14:paraId="2153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500FAAD4">
            <w:pPr>
              <w:spacing w:line="360" w:lineRule="auto"/>
              <w:jc w:val="center"/>
              <w:rPr>
                <w:color w:val="auto"/>
              </w:rPr>
            </w:pPr>
          </w:p>
        </w:tc>
        <w:tc>
          <w:tcPr>
            <w:tcW w:w="961" w:type="dxa"/>
            <w:noWrap w:val="0"/>
            <w:vAlign w:val="center"/>
          </w:tcPr>
          <w:p w14:paraId="0B87220F">
            <w:pPr>
              <w:spacing w:line="360" w:lineRule="auto"/>
              <w:jc w:val="center"/>
              <w:rPr>
                <w:color w:val="auto"/>
              </w:rPr>
            </w:pPr>
          </w:p>
        </w:tc>
        <w:tc>
          <w:tcPr>
            <w:tcW w:w="1257" w:type="dxa"/>
            <w:noWrap w:val="0"/>
            <w:vAlign w:val="center"/>
          </w:tcPr>
          <w:p w14:paraId="493BB58B">
            <w:pPr>
              <w:spacing w:line="360" w:lineRule="auto"/>
              <w:jc w:val="center"/>
              <w:rPr>
                <w:color w:val="auto"/>
              </w:rPr>
            </w:pPr>
          </w:p>
        </w:tc>
        <w:tc>
          <w:tcPr>
            <w:tcW w:w="1257" w:type="dxa"/>
            <w:noWrap w:val="0"/>
            <w:vAlign w:val="center"/>
          </w:tcPr>
          <w:p w14:paraId="0634225D">
            <w:pPr>
              <w:spacing w:line="360" w:lineRule="auto"/>
              <w:jc w:val="center"/>
              <w:rPr>
                <w:color w:val="auto"/>
              </w:rPr>
            </w:pPr>
          </w:p>
        </w:tc>
        <w:tc>
          <w:tcPr>
            <w:tcW w:w="1258" w:type="dxa"/>
            <w:noWrap w:val="0"/>
            <w:vAlign w:val="center"/>
          </w:tcPr>
          <w:p w14:paraId="7FC9FC98">
            <w:pPr>
              <w:spacing w:line="360" w:lineRule="auto"/>
              <w:jc w:val="center"/>
              <w:rPr>
                <w:color w:val="auto"/>
              </w:rPr>
            </w:pPr>
          </w:p>
        </w:tc>
        <w:tc>
          <w:tcPr>
            <w:tcW w:w="1257" w:type="dxa"/>
            <w:noWrap w:val="0"/>
            <w:vAlign w:val="center"/>
          </w:tcPr>
          <w:p w14:paraId="4D2EE6DD">
            <w:pPr>
              <w:spacing w:line="360" w:lineRule="auto"/>
              <w:jc w:val="center"/>
              <w:rPr>
                <w:color w:val="auto"/>
              </w:rPr>
            </w:pPr>
          </w:p>
        </w:tc>
        <w:tc>
          <w:tcPr>
            <w:tcW w:w="1258" w:type="dxa"/>
            <w:noWrap w:val="0"/>
            <w:vAlign w:val="center"/>
          </w:tcPr>
          <w:p w14:paraId="6774E1C7">
            <w:pPr>
              <w:spacing w:line="360" w:lineRule="auto"/>
              <w:jc w:val="center"/>
              <w:rPr>
                <w:color w:val="auto"/>
              </w:rPr>
            </w:pPr>
          </w:p>
        </w:tc>
      </w:tr>
      <w:tr w14:paraId="44B3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5C8244DF">
            <w:pPr>
              <w:spacing w:line="360" w:lineRule="auto"/>
              <w:jc w:val="center"/>
              <w:rPr>
                <w:color w:val="auto"/>
              </w:rPr>
            </w:pPr>
          </w:p>
        </w:tc>
        <w:tc>
          <w:tcPr>
            <w:tcW w:w="961" w:type="dxa"/>
            <w:noWrap w:val="0"/>
            <w:vAlign w:val="center"/>
          </w:tcPr>
          <w:p w14:paraId="34BD5067">
            <w:pPr>
              <w:spacing w:line="360" w:lineRule="auto"/>
              <w:jc w:val="center"/>
              <w:rPr>
                <w:color w:val="auto"/>
              </w:rPr>
            </w:pPr>
          </w:p>
        </w:tc>
        <w:tc>
          <w:tcPr>
            <w:tcW w:w="1257" w:type="dxa"/>
            <w:noWrap w:val="0"/>
            <w:vAlign w:val="center"/>
          </w:tcPr>
          <w:p w14:paraId="2843FC4D">
            <w:pPr>
              <w:spacing w:line="360" w:lineRule="auto"/>
              <w:jc w:val="center"/>
              <w:rPr>
                <w:color w:val="auto"/>
              </w:rPr>
            </w:pPr>
          </w:p>
        </w:tc>
        <w:tc>
          <w:tcPr>
            <w:tcW w:w="1257" w:type="dxa"/>
            <w:noWrap w:val="0"/>
            <w:vAlign w:val="center"/>
          </w:tcPr>
          <w:p w14:paraId="67BCA097">
            <w:pPr>
              <w:spacing w:line="360" w:lineRule="auto"/>
              <w:jc w:val="center"/>
              <w:rPr>
                <w:color w:val="auto"/>
              </w:rPr>
            </w:pPr>
          </w:p>
        </w:tc>
        <w:tc>
          <w:tcPr>
            <w:tcW w:w="1258" w:type="dxa"/>
            <w:noWrap w:val="0"/>
            <w:vAlign w:val="center"/>
          </w:tcPr>
          <w:p w14:paraId="42C92447">
            <w:pPr>
              <w:spacing w:line="360" w:lineRule="auto"/>
              <w:jc w:val="center"/>
              <w:rPr>
                <w:color w:val="auto"/>
              </w:rPr>
            </w:pPr>
          </w:p>
        </w:tc>
        <w:tc>
          <w:tcPr>
            <w:tcW w:w="1257" w:type="dxa"/>
            <w:noWrap w:val="0"/>
            <w:vAlign w:val="center"/>
          </w:tcPr>
          <w:p w14:paraId="11CF4008">
            <w:pPr>
              <w:spacing w:line="360" w:lineRule="auto"/>
              <w:jc w:val="center"/>
              <w:rPr>
                <w:color w:val="auto"/>
              </w:rPr>
            </w:pPr>
          </w:p>
        </w:tc>
        <w:tc>
          <w:tcPr>
            <w:tcW w:w="1258" w:type="dxa"/>
            <w:noWrap w:val="0"/>
            <w:vAlign w:val="center"/>
          </w:tcPr>
          <w:p w14:paraId="0DAA3F89">
            <w:pPr>
              <w:spacing w:line="360" w:lineRule="auto"/>
              <w:jc w:val="center"/>
              <w:rPr>
                <w:color w:val="auto"/>
              </w:rPr>
            </w:pPr>
          </w:p>
        </w:tc>
      </w:tr>
      <w:tr w14:paraId="3726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751B8E8F">
            <w:pPr>
              <w:spacing w:line="360" w:lineRule="auto"/>
              <w:jc w:val="center"/>
              <w:rPr>
                <w:color w:val="auto"/>
              </w:rPr>
            </w:pPr>
          </w:p>
        </w:tc>
        <w:tc>
          <w:tcPr>
            <w:tcW w:w="961" w:type="dxa"/>
            <w:noWrap w:val="0"/>
            <w:vAlign w:val="center"/>
          </w:tcPr>
          <w:p w14:paraId="4D08FBB1">
            <w:pPr>
              <w:spacing w:line="360" w:lineRule="auto"/>
              <w:jc w:val="center"/>
              <w:rPr>
                <w:color w:val="auto"/>
              </w:rPr>
            </w:pPr>
          </w:p>
        </w:tc>
        <w:tc>
          <w:tcPr>
            <w:tcW w:w="1257" w:type="dxa"/>
            <w:noWrap w:val="0"/>
            <w:vAlign w:val="center"/>
          </w:tcPr>
          <w:p w14:paraId="763B76E9">
            <w:pPr>
              <w:spacing w:line="360" w:lineRule="auto"/>
              <w:jc w:val="center"/>
              <w:rPr>
                <w:color w:val="auto"/>
              </w:rPr>
            </w:pPr>
          </w:p>
        </w:tc>
        <w:tc>
          <w:tcPr>
            <w:tcW w:w="1257" w:type="dxa"/>
            <w:noWrap w:val="0"/>
            <w:vAlign w:val="center"/>
          </w:tcPr>
          <w:p w14:paraId="1BAF77F7">
            <w:pPr>
              <w:spacing w:line="360" w:lineRule="auto"/>
              <w:jc w:val="center"/>
              <w:rPr>
                <w:color w:val="auto"/>
              </w:rPr>
            </w:pPr>
          </w:p>
        </w:tc>
        <w:tc>
          <w:tcPr>
            <w:tcW w:w="1258" w:type="dxa"/>
            <w:noWrap w:val="0"/>
            <w:vAlign w:val="center"/>
          </w:tcPr>
          <w:p w14:paraId="0530095F">
            <w:pPr>
              <w:spacing w:line="360" w:lineRule="auto"/>
              <w:jc w:val="center"/>
              <w:rPr>
                <w:color w:val="auto"/>
              </w:rPr>
            </w:pPr>
          </w:p>
        </w:tc>
        <w:tc>
          <w:tcPr>
            <w:tcW w:w="1257" w:type="dxa"/>
            <w:noWrap w:val="0"/>
            <w:vAlign w:val="center"/>
          </w:tcPr>
          <w:p w14:paraId="042D7A12">
            <w:pPr>
              <w:spacing w:line="360" w:lineRule="auto"/>
              <w:jc w:val="center"/>
              <w:rPr>
                <w:color w:val="auto"/>
              </w:rPr>
            </w:pPr>
          </w:p>
        </w:tc>
        <w:tc>
          <w:tcPr>
            <w:tcW w:w="1258" w:type="dxa"/>
            <w:noWrap w:val="0"/>
            <w:vAlign w:val="center"/>
          </w:tcPr>
          <w:p w14:paraId="7A10C3C8">
            <w:pPr>
              <w:spacing w:line="360" w:lineRule="auto"/>
              <w:jc w:val="center"/>
              <w:rPr>
                <w:color w:val="auto"/>
              </w:rPr>
            </w:pPr>
          </w:p>
        </w:tc>
      </w:tr>
      <w:tr w14:paraId="7040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51881FF5">
            <w:pPr>
              <w:spacing w:line="360" w:lineRule="auto"/>
              <w:jc w:val="center"/>
              <w:rPr>
                <w:color w:val="auto"/>
              </w:rPr>
            </w:pPr>
          </w:p>
        </w:tc>
        <w:tc>
          <w:tcPr>
            <w:tcW w:w="961" w:type="dxa"/>
            <w:noWrap w:val="0"/>
            <w:vAlign w:val="center"/>
          </w:tcPr>
          <w:p w14:paraId="6CE81BE1">
            <w:pPr>
              <w:spacing w:line="360" w:lineRule="auto"/>
              <w:jc w:val="center"/>
              <w:rPr>
                <w:color w:val="auto"/>
              </w:rPr>
            </w:pPr>
          </w:p>
        </w:tc>
        <w:tc>
          <w:tcPr>
            <w:tcW w:w="1257" w:type="dxa"/>
            <w:noWrap w:val="0"/>
            <w:vAlign w:val="center"/>
          </w:tcPr>
          <w:p w14:paraId="026703DB">
            <w:pPr>
              <w:spacing w:line="360" w:lineRule="auto"/>
              <w:jc w:val="center"/>
              <w:rPr>
                <w:color w:val="auto"/>
              </w:rPr>
            </w:pPr>
          </w:p>
        </w:tc>
        <w:tc>
          <w:tcPr>
            <w:tcW w:w="1257" w:type="dxa"/>
            <w:noWrap w:val="0"/>
            <w:vAlign w:val="center"/>
          </w:tcPr>
          <w:p w14:paraId="7DD00E12">
            <w:pPr>
              <w:spacing w:line="360" w:lineRule="auto"/>
              <w:jc w:val="center"/>
              <w:rPr>
                <w:color w:val="auto"/>
              </w:rPr>
            </w:pPr>
          </w:p>
        </w:tc>
        <w:tc>
          <w:tcPr>
            <w:tcW w:w="1258" w:type="dxa"/>
            <w:noWrap w:val="0"/>
            <w:vAlign w:val="center"/>
          </w:tcPr>
          <w:p w14:paraId="4905D0B3">
            <w:pPr>
              <w:spacing w:line="360" w:lineRule="auto"/>
              <w:jc w:val="center"/>
              <w:rPr>
                <w:color w:val="auto"/>
              </w:rPr>
            </w:pPr>
          </w:p>
        </w:tc>
        <w:tc>
          <w:tcPr>
            <w:tcW w:w="1257" w:type="dxa"/>
            <w:noWrap w:val="0"/>
            <w:vAlign w:val="center"/>
          </w:tcPr>
          <w:p w14:paraId="3135E04F">
            <w:pPr>
              <w:spacing w:line="360" w:lineRule="auto"/>
              <w:jc w:val="center"/>
              <w:rPr>
                <w:color w:val="auto"/>
              </w:rPr>
            </w:pPr>
          </w:p>
        </w:tc>
        <w:tc>
          <w:tcPr>
            <w:tcW w:w="1258" w:type="dxa"/>
            <w:noWrap w:val="0"/>
            <w:vAlign w:val="center"/>
          </w:tcPr>
          <w:p w14:paraId="17082A94">
            <w:pPr>
              <w:spacing w:line="360" w:lineRule="auto"/>
              <w:jc w:val="center"/>
              <w:rPr>
                <w:color w:val="auto"/>
              </w:rPr>
            </w:pPr>
          </w:p>
        </w:tc>
      </w:tr>
    </w:tbl>
    <w:p w14:paraId="569F5D2E">
      <w:pPr>
        <w:rPr>
          <w:color w:val="auto"/>
        </w:rPr>
      </w:pPr>
    </w:p>
    <w:p w14:paraId="3C176134">
      <w:pPr>
        <w:rPr>
          <w:b/>
          <w:bCs/>
          <w:color w:val="auto"/>
        </w:rPr>
      </w:pPr>
    </w:p>
    <w:p w14:paraId="5FC3A480">
      <w:pPr>
        <w:rPr>
          <w:color w:val="auto"/>
        </w:rPr>
      </w:pPr>
      <w:r>
        <w:rPr>
          <w:rFonts w:hint="eastAsia" w:cs="宋体"/>
          <w:color w:val="auto"/>
        </w:rPr>
        <w:t>附表二：计划开、竣工日期和施工进度计划（网络图或横道图）</w:t>
      </w:r>
    </w:p>
    <w:p w14:paraId="72742965">
      <w:pPr>
        <w:spacing w:line="460" w:lineRule="exact"/>
        <w:ind w:left="-6" w:firstLine="420"/>
        <w:rPr>
          <w:color w:val="auto"/>
        </w:rPr>
      </w:pPr>
      <w:r>
        <w:rPr>
          <w:color w:val="auto"/>
        </w:rPr>
        <w:t xml:space="preserve">1. </w:t>
      </w:r>
      <w:r>
        <w:rPr>
          <w:rFonts w:hint="eastAsia" w:cs="宋体"/>
          <w:color w:val="auto"/>
        </w:rPr>
        <w:t>供应商应提交施工进度计划，说明按磋商文件要求的工期进行施工的各个关键日期。成交的供应商还应按合同条件有关条款的要求提交详细的施工进度计划。</w:t>
      </w:r>
    </w:p>
    <w:p w14:paraId="775AD1BC">
      <w:pPr>
        <w:spacing w:line="460" w:lineRule="exact"/>
        <w:ind w:left="-6" w:firstLine="420"/>
        <w:rPr>
          <w:color w:val="auto"/>
        </w:rPr>
      </w:pPr>
      <w:r>
        <w:rPr>
          <w:color w:val="auto"/>
        </w:rPr>
        <w:t xml:space="preserve">2. </w:t>
      </w:r>
      <w:r>
        <w:rPr>
          <w:rFonts w:hint="eastAsia" w:cs="宋体"/>
          <w:color w:val="auto"/>
        </w:rPr>
        <w:t>施工进度计划可采用网络图（或横道图）表示，说明计划开工日期和各分项工程各阶段的完工日期和分包合同签订的日期。</w:t>
      </w:r>
    </w:p>
    <w:p w14:paraId="5CA6E2AD">
      <w:pPr>
        <w:spacing w:line="460" w:lineRule="exact"/>
        <w:ind w:left="-6" w:firstLine="420"/>
        <w:rPr>
          <w:color w:val="auto"/>
        </w:rPr>
      </w:pPr>
      <w:r>
        <w:rPr>
          <w:color w:val="auto"/>
        </w:rPr>
        <w:t xml:space="preserve">3. </w:t>
      </w:r>
      <w:r>
        <w:rPr>
          <w:rFonts w:hint="eastAsia" w:cs="宋体"/>
          <w:color w:val="auto"/>
        </w:rPr>
        <w:t>施工进度计划应与施工组织设计相适应。</w:t>
      </w:r>
    </w:p>
    <w:p w14:paraId="7ED803D2">
      <w:pPr>
        <w:spacing w:line="360" w:lineRule="auto"/>
        <w:ind w:left="-6" w:firstLine="420"/>
        <w:rPr>
          <w:color w:val="auto"/>
        </w:rPr>
      </w:pPr>
    </w:p>
    <w:p w14:paraId="0385FF73">
      <w:pPr>
        <w:rPr>
          <w:color w:val="auto"/>
        </w:rPr>
      </w:pPr>
    </w:p>
    <w:p w14:paraId="58C9AF54">
      <w:pPr>
        <w:rPr>
          <w:color w:val="auto"/>
        </w:rPr>
      </w:pPr>
      <w:r>
        <w:rPr>
          <w:rFonts w:hint="eastAsia" w:cs="宋体"/>
          <w:color w:val="auto"/>
        </w:rPr>
        <w:t>附表三：施工总平面图</w:t>
      </w:r>
    </w:p>
    <w:p w14:paraId="3DA114CE">
      <w:pPr>
        <w:spacing w:line="460" w:lineRule="exact"/>
        <w:ind w:firstLine="420" w:firstLineChars="200"/>
        <w:rPr>
          <w:color w:val="auto"/>
        </w:rPr>
      </w:pPr>
      <w:r>
        <w:rPr>
          <w:rFonts w:hint="eastAsia" w:cs="宋体"/>
          <w:color w:val="auto"/>
        </w:rPr>
        <w:t>供应商应递交一份施工总平面图，绘出现场临时设施布置图表并附文字说明，说明临时设施、加工车间、现场办公、设备及仓储、供电、供水、卫生、生活、道路、消防等设施的情况和布置。</w:t>
      </w:r>
    </w:p>
    <w:p w14:paraId="08556D41">
      <w:pPr>
        <w:rPr>
          <w:color w:val="auto"/>
        </w:rPr>
      </w:pPr>
    </w:p>
    <w:p w14:paraId="7F796FFC">
      <w:pPr>
        <w:rPr>
          <w:color w:val="auto"/>
        </w:rPr>
      </w:pPr>
    </w:p>
    <w:p w14:paraId="1114C0BE">
      <w:pPr>
        <w:rPr>
          <w:color w:val="auto"/>
        </w:rPr>
      </w:pPr>
      <w:r>
        <w:rPr>
          <w:rFonts w:hint="eastAsia" w:cs="宋体"/>
          <w:color w:val="auto"/>
        </w:rPr>
        <w:t>附表四：临时用地表</w:t>
      </w:r>
    </w:p>
    <w:tbl>
      <w:tblPr>
        <w:tblStyle w:val="45"/>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5860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2E282A7B">
            <w:pPr>
              <w:jc w:val="center"/>
              <w:rPr>
                <w:color w:val="auto"/>
              </w:rPr>
            </w:pPr>
            <w:r>
              <w:rPr>
                <w:rFonts w:hint="eastAsia" w:cs="宋体"/>
                <w:color w:val="auto"/>
              </w:rPr>
              <w:t>用途</w:t>
            </w:r>
          </w:p>
        </w:tc>
        <w:tc>
          <w:tcPr>
            <w:tcW w:w="2357" w:type="dxa"/>
            <w:noWrap w:val="0"/>
            <w:vAlign w:val="center"/>
          </w:tcPr>
          <w:p w14:paraId="66C5B34D">
            <w:pPr>
              <w:jc w:val="center"/>
              <w:rPr>
                <w:color w:val="auto"/>
              </w:rPr>
            </w:pPr>
            <w:r>
              <w:rPr>
                <w:rFonts w:hint="eastAsia" w:cs="宋体"/>
                <w:color w:val="auto"/>
              </w:rPr>
              <w:t>面积（平方米）</w:t>
            </w:r>
          </w:p>
        </w:tc>
        <w:tc>
          <w:tcPr>
            <w:tcW w:w="2356" w:type="dxa"/>
            <w:noWrap w:val="0"/>
            <w:vAlign w:val="center"/>
          </w:tcPr>
          <w:p w14:paraId="7AA29D2C">
            <w:pPr>
              <w:jc w:val="center"/>
              <w:rPr>
                <w:color w:val="auto"/>
              </w:rPr>
            </w:pPr>
            <w:r>
              <w:rPr>
                <w:rFonts w:hint="eastAsia" w:cs="宋体"/>
                <w:color w:val="auto"/>
              </w:rPr>
              <w:t>位置</w:t>
            </w:r>
          </w:p>
        </w:tc>
        <w:tc>
          <w:tcPr>
            <w:tcW w:w="2136" w:type="dxa"/>
            <w:noWrap w:val="0"/>
            <w:vAlign w:val="center"/>
          </w:tcPr>
          <w:p w14:paraId="3076326C">
            <w:pPr>
              <w:jc w:val="center"/>
              <w:rPr>
                <w:color w:val="auto"/>
              </w:rPr>
            </w:pPr>
            <w:r>
              <w:rPr>
                <w:rFonts w:hint="eastAsia" w:cs="宋体"/>
                <w:color w:val="auto"/>
              </w:rPr>
              <w:t>需用时间</w:t>
            </w:r>
          </w:p>
        </w:tc>
      </w:tr>
      <w:tr w14:paraId="1C59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613DE8A9">
            <w:pPr>
              <w:rPr>
                <w:color w:val="auto"/>
              </w:rPr>
            </w:pPr>
          </w:p>
        </w:tc>
        <w:tc>
          <w:tcPr>
            <w:tcW w:w="2357" w:type="dxa"/>
            <w:noWrap w:val="0"/>
            <w:vAlign w:val="top"/>
          </w:tcPr>
          <w:p w14:paraId="5D0B763B">
            <w:pPr>
              <w:rPr>
                <w:color w:val="auto"/>
              </w:rPr>
            </w:pPr>
          </w:p>
        </w:tc>
        <w:tc>
          <w:tcPr>
            <w:tcW w:w="2356" w:type="dxa"/>
            <w:noWrap w:val="0"/>
            <w:vAlign w:val="top"/>
          </w:tcPr>
          <w:p w14:paraId="04269EFA">
            <w:pPr>
              <w:rPr>
                <w:color w:val="auto"/>
              </w:rPr>
            </w:pPr>
          </w:p>
        </w:tc>
        <w:tc>
          <w:tcPr>
            <w:tcW w:w="2136" w:type="dxa"/>
            <w:noWrap w:val="0"/>
            <w:vAlign w:val="top"/>
          </w:tcPr>
          <w:p w14:paraId="1EFA068A">
            <w:pPr>
              <w:rPr>
                <w:color w:val="auto"/>
              </w:rPr>
            </w:pPr>
          </w:p>
        </w:tc>
      </w:tr>
      <w:tr w14:paraId="488B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6315A09F">
            <w:pPr>
              <w:rPr>
                <w:color w:val="auto"/>
              </w:rPr>
            </w:pPr>
          </w:p>
        </w:tc>
        <w:tc>
          <w:tcPr>
            <w:tcW w:w="2357" w:type="dxa"/>
            <w:noWrap w:val="0"/>
            <w:vAlign w:val="top"/>
          </w:tcPr>
          <w:p w14:paraId="52F2AA7B">
            <w:pPr>
              <w:rPr>
                <w:color w:val="auto"/>
              </w:rPr>
            </w:pPr>
          </w:p>
        </w:tc>
        <w:tc>
          <w:tcPr>
            <w:tcW w:w="2356" w:type="dxa"/>
            <w:noWrap w:val="0"/>
            <w:vAlign w:val="top"/>
          </w:tcPr>
          <w:p w14:paraId="61862FD5">
            <w:pPr>
              <w:rPr>
                <w:color w:val="auto"/>
              </w:rPr>
            </w:pPr>
          </w:p>
        </w:tc>
        <w:tc>
          <w:tcPr>
            <w:tcW w:w="2136" w:type="dxa"/>
            <w:noWrap w:val="0"/>
            <w:vAlign w:val="top"/>
          </w:tcPr>
          <w:p w14:paraId="1C73D200">
            <w:pPr>
              <w:rPr>
                <w:color w:val="auto"/>
              </w:rPr>
            </w:pPr>
          </w:p>
        </w:tc>
      </w:tr>
      <w:tr w14:paraId="2E76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30ED6D9D">
            <w:pPr>
              <w:rPr>
                <w:color w:val="auto"/>
              </w:rPr>
            </w:pPr>
          </w:p>
        </w:tc>
        <w:tc>
          <w:tcPr>
            <w:tcW w:w="2357" w:type="dxa"/>
            <w:noWrap w:val="0"/>
            <w:vAlign w:val="top"/>
          </w:tcPr>
          <w:p w14:paraId="2C34E0FA">
            <w:pPr>
              <w:rPr>
                <w:color w:val="auto"/>
              </w:rPr>
            </w:pPr>
          </w:p>
        </w:tc>
        <w:tc>
          <w:tcPr>
            <w:tcW w:w="2356" w:type="dxa"/>
            <w:noWrap w:val="0"/>
            <w:vAlign w:val="top"/>
          </w:tcPr>
          <w:p w14:paraId="6513F30B">
            <w:pPr>
              <w:rPr>
                <w:color w:val="auto"/>
              </w:rPr>
            </w:pPr>
          </w:p>
        </w:tc>
        <w:tc>
          <w:tcPr>
            <w:tcW w:w="2136" w:type="dxa"/>
            <w:noWrap w:val="0"/>
            <w:vAlign w:val="top"/>
          </w:tcPr>
          <w:p w14:paraId="59E6AEF2">
            <w:pPr>
              <w:rPr>
                <w:color w:val="auto"/>
              </w:rPr>
            </w:pPr>
          </w:p>
        </w:tc>
      </w:tr>
      <w:tr w14:paraId="61F2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656B4BB5">
            <w:pPr>
              <w:rPr>
                <w:color w:val="auto"/>
              </w:rPr>
            </w:pPr>
          </w:p>
        </w:tc>
        <w:tc>
          <w:tcPr>
            <w:tcW w:w="2357" w:type="dxa"/>
            <w:noWrap w:val="0"/>
            <w:vAlign w:val="top"/>
          </w:tcPr>
          <w:p w14:paraId="07AB9156">
            <w:pPr>
              <w:rPr>
                <w:color w:val="auto"/>
              </w:rPr>
            </w:pPr>
          </w:p>
        </w:tc>
        <w:tc>
          <w:tcPr>
            <w:tcW w:w="2356" w:type="dxa"/>
            <w:noWrap w:val="0"/>
            <w:vAlign w:val="top"/>
          </w:tcPr>
          <w:p w14:paraId="4585EE83">
            <w:pPr>
              <w:rPr>
                <w:color w:val="auto"/>
              </w:rPr>
            </w:pPr>
          </w:p>
        </w:tc>
        <w:tc>
          <w:tcPr>
            <w:tcW w:w="2136" w:type="dxa"/>
            <w:noWrap w:val="0"/>
            <w:vAlign w:val="top"/>
          </w:tcPr>
          <w:p w14:paraId="40EA3840">
            <w:pPr>
              <w:rPr>
                <w:color w:val="auto"/>
              </w:rPr>
            </w:pPr>
          </w:p>
        </w:tc>
      </w:tr>
    </w:tbl>
    <w:p w14:paraId="17B945DA">
      <w:pPr>
        <w:spacing w:line="360" w:lineRule="auto"/>
        <w:ind w:firstLine="880" w:firstLineChars="200"/>
        <w:rPr>
          <w:rFonts w:ascii="方正小标宋简体" w:hAnsi="方正小标宋简体" w:eastAsia="方正小标宋简体" w:cs="方正小标宋简体"/>
          <w:bCs/>
          <w:color w:val="auto"/>
          <w:sz w:val="44"/>
          <w:szCs w:val="44"/>
        </w:rPr>
      </w:pPr>
    </w:p>
    <w:p w14:paraId="67AC2F54">
      <w:pPr>
        <w:spacing w:line="360" w:lineRule="auto"/>
        <w:rPr>
          <w:rFonts w:hint="eastAsia" w:ascii="宋体" w:hAnsi="宋体"/>
          <w:color w:val="auto"/>
          <w:szCs w:val="21"/>
        </w:rPr>
      </w:pPr>
    </w:p>
    <w:p w14:paraId="769F82A7">
      <w:pPr>
        <w:adjustRightInd w:val="0"/>
        <w:snapToGrid w:val="0"/>
        <w:spacing w:line="360" w:lineRule="auto"/>
        <w:jc w:val="center"/>
        <w:rPr>
          <w:rFonts w:hint="eastAsia" w:ascii="宋体" w:hAnsi="宋体"/>
          <w:b/>
          <w:color w:val="auto"/>
          <w:sz w:val="32"/>
          <w:szCs w:val="32"/>
        </w:rPr>
      </w:pPr>
      <w:r>
        <w:rPr>
          <w:rFonts w:ascii="宋体" w:hAnsi="宋体"/>
          <w:b/>
          <w:bCs/>
          <w:color w:val="auto"/>
          <w:sz w:val="24"/>
        </w:rPr>
        <w:br w:type="page"/>
      </w:r>
      <w:r>
        <w:rPr>
          <w:rFonts w:hint="eastAsia" w:ascii="宋体" w:hAnsi="宋体" w:cs="方正小标宋简体"/>
          <w:b/>
          <w:bCs/>
          <w:color w:val="auto"/>
          <w:sz w:val="32"/>
          <w:szCs w:val="32"/>
        </w:rPr>
        <w:t>项目管理机构配备情况表及主要人员简历表</w:t>
      </w:r>
    </w:p>
    <w:p w14:paraId="0FB48A17">
      <w:pPr>
        <w:snapToGrid w:val="0"/>
        <w:spacing w:before="156" w:beforeLines="50" w:after="50" w:line="360" w:lineRule="auto"/>
        <w:jc w:val="center"/>
        <w:rPr>
          <w:rFonts w:hint="eastAsia" w:ascii="宋体" w:hAnsi="宋体"/>
          <w:b/>
          <w:color w:val="auto"/>
          <w:sz w:val="28"/>
          <w:szCs w:val="28"/>
        </w:rPr>
      </w:pPr>
      <w:r>
        <w:rPr>
          <w:rFonts w:hint="eastAsia" w:ascii="宋体" w:hAnsi="宋体"/>
          <w:b/>
          <w:color w:val="auto"/>
          <w:sz w:val="28"/>
          <w:szCs w:val="28"/>
        </w:rPr>
        <w:t>（一）项目管理机构配备情况表</w:t>
      </w:r>
    </w:p>
    <w:p w14:paraId="3B20C75A">
      <w:pPr>
        <w:pStyle w:val="27"/>
        <w:spacing w:line="360" w:lineRule="auto"/>
        <w:contextualSpacing/>
        <w:rPr>
          <w:rFonts w:hint="eastAsia"/>
          <w:color w:val="auto"/>
          <w:sz w:val="24"/>
          <w:szCs w:val="24"/>
        </w:rPr>
      </w:pPr>
      <w:r>
        <w:rPr>
          <w:rFonts w:hint="eastAsia" w:hAnsi="宋体" w:cs="仿宋_GB2312"/>
          <w:color w:val="auto"/>
          <w:sz w:val="24"/>
        </w:rPr>
        <w:t>分标（如有）</w:t>
      </w:r>
      <w:r>
        <w:rPr>
          <w:rFonts w:hint="eastAsia"/>
          <w:color w:val="auto"/>
          <w:sz w:val="24"/>
          <w:szCs w:val="24"/>
        </w:rPr>
        <w:t>：</w:t>
      </w:r>
      <w:r>
        <w:rPr>
          <w:rFonts w:hint="eastAsia"/>
          <w:color w:val="auto"/>
          <w:sz w:val="24"/>
          <w:szCs w:val="24"/>
          <w:u w:val="single"/>
        </w:rPr>
        <w:t xml:space="preserve">         </w:t>
      </w:r>
    </w:p>
    <w:tbl>
      <w:tblPr>
        <w:tblStyle w:val="45"/>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16"/>
        <w:gridCol w:w="1148"/>
        <w:gridCol w:w="1148"/>
        <w:gridCol w:w="1148"/>
        <w:gridCol w:w="744"/>
        <w:gridCol w:w="1167"/>
        <w:gridCol w:w="1276"/>
      </w:tblGrid>
      <w:tr w14:paraId="193B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4AE20E39">
            <w:pPr>
              <w:ind w:left="223" w:hanging="222" w:hangingChars="106"/>
              <w:jc w:val="center"/>
              <w:rPr>
                <w:color w:val="auto"/>
              </w:rPr>
            </w:pPr>
            <w:r>
              <w:rPr>
                <w:color w:val="auto"/>
              </w:rPr>
              <w:t>岗位</w:t>
            </w:r>
          </w:p>
        </w:tc>
        <w:tc>
          <w:tcPr>
            <w:tcW w:w="670" w:type="dxa"/>
            <w:vMerge w:val="restart"/>
            <w:noWrap w:val="0"/>
            <w:vAlign w:val="center"/>
          </w:tcPr>
          <w:p w14:paraId="1D38A623">
            <w:pPr>
              <w:ind w:left="223" w:hanging="222" w:hangingChars="106"/>
              <w:jc w:val="center"/>
              <w:rPr>
                <w:color w:val="auto"/>
              </w:rPr>
            </w:pPr>
            <w:r>
              <w:rPr>
                <w:color w:val="auto"/>
              </w:rPr>
              <w:t>姓名</w:t>
            </w:r>
          </w:p>
        </w:tc>
        <w:tc>
          <w:tcPr>
            <w:tcW w:w="816" w:type="dxa"/>
            <w:vMerge w:val="restart"/>
            <w:noWrap w:val="0"/>
            <w:vAlign w:val="center"/>
          </w:tcPr>
          <w:p w14:paraId="7C701156">
            <w:pPr>
              <w:ind w:left="223" w:hanging="222" w:hangingChars="106"/>
              <w:jc w:val="center"/>
              <w:rPr>
                <w:color w:val="auto"/>
              </w:rPr>
            </w:pPr>
            <w:r>
              <w:rPr>
                <w:color w:val="auto"/>
              </w:rPr>
              <w:t>职称</w:t>
            </w:r>
          </w:p>
        </w:tc>
        <w:tc>
          <w:tcPr>
            <w:tcW w:w="4188" w:type="dxa"/>
            <w:gridSpan w:val="4"/>
            <w:noWrap w:val="0"/>
            <w:vAlign w:val="center"/>
          </w:tcPr>
          <w:p w14:paraId="08D3EFB8">
            <w:pPr>
              <w:ind w:left="223" w:hanging="222" w:hangingChars="106"/>
              <w:jc w:val="center"/>
              <w:rPr>
                <w:color w:val="auto"/>
              </w:rPr>
            </w:pPr>
            <w:r>
              <w:rPr>
                <w:color w:val="auto"/>
              </w:rPr>
              <w:t>执业或职业资格</w:t>
            </w:r>
          </w:p>
        </w:tc>
        <w:tc>
          <w:tcPr>
            <w:tcW w:w="2443" w:type="dxa"/>
            <w:gridSpan w:val="2"/>
            <w:noWrap w:val="0"/>
            <w:vAlign w:val="center"/>
          </w:tcPr>
          <w:p w14:paraId="03FC77F8">
            <w:pPr>
              <w:jc w:val="left"/>
              <w:rPr>
                <w:color w:val="auto"/>
              </w:rPr>
            </w:pPr>
            <w:r>
              <w:rPr>
                <w:color w:val="auto"/>
              </w:rPr>
              <w:t>承担完工</w:t>
            </w:r>
            <w:r>
              <w:rPr>
                <w:rFonts w:hint="eastAsia"/>
                <w:color w:val="auto"/>
              </w:rPr>
              <w:t>、</w:t>
            </w:r>
            <w:r>
              <w:rPr>
                <w:color w:val="auto"/>
              </w:rPr>
              <w:t>在建工程情况</w:t>
            </w:r>
          </w:p>
        </w:tc>
      </w:tr>
      <w:tr w14:paraId="2289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6475FC4F">
            <w:pPr>
              <w:ind w:left="223" w:hanging="222" w:hangingChars="106"/>
              <w:jc w:val="center"/>
              <w:rPr>
                <w:color w:val="auto"/>
              </w:rPr>
            </w:pPr>
          </w:p>
        </w:tc>
        <w:tc>
          <w:tcPr>
            <w:tcW w:w="670" w:type="dxa"/>
            <w:vMerge w:val="continue"/>
            <w:noWrap w:val="0"/>
            <w:vAlign w:val="center"/>
          </w:tcPr>
          <w:p w14:paraId="3FE4DC6E">
            <w:pPr>
              <w:ind w:left="223" w:hanging="222" w:hangingChars="106"/>
              <w:jc w:val="center"/>
              <w:rPr>
                <w:color w:val="auto"/>
              </w:rPr>
            </w:pPr>
          </w:p>
        </w:tc>
        <w:tc>
          <w:tcPr>
            <w:tcW w:w="816" w:type="dxa"/>
            <w:vMerge w:val="continue"/>
            <w:noWrap w:val="0"/>
            <w:vAlign w:val="center"/>
          </w:tcPr>
          <w:p w14:paraId="7B9EF337">
            <w:pPr>
              <w:ind w:left="223" w:hanging="222" w:hangingChars="106"/>
              <w:jc w:val="center"/>
              <w:rPr>
                <w:color w:val="auto"/>
              </w:rPr>
            </w:pPr>
          </w:p>
        </w:tc>
        <w:tc>
          <w:tcPr>
            <w:tcW w:w="1148" w:type="dxa"/>
            <w:noWrap w:val="0"/>
            <w:vAlign w:val="center"/>
          </w:tcPr>
          <w:p w14:paraId="0199C72A">
            <w:pPr>
              <w:ind w:left="223" w:hanging="222" w:hangingChars="106"/>
              <w:jc w:val="center"/>
              <w:rPr>
                <w:color w:val="auto"/>
              </w:rPr>
            </w:pPr>
            <w:r>
              <w:rPr>
                <w:color w:val="auto"/>
              </w:rPr>
              <w:t>证书名称</w:t>
            </w:r>
          </w:p>
        </w:tc>
        <w:tc>
          <w:tcPr>
            <w:tcW w:w="1148" w:type="dxa"/>
            <w:noWrap w:val="0"/>
            <w:vAlign w:val="center"/>
          </w:tcPr>
          <w:p w14:paraId="644880AE">
            <w:pPr>
              <w:ind w:left="223" w:hanging="222" w:hangingChars="106"/>
              <w:jc w:val="center"/>
              <w:rPr>
                <w:color w:val="auto"/>
              </w:rPr>
            </w:pPr>
            <w:r>
              <w:rPr>
                <w:color w:val="auto"/>
              </w:rPr>
              <w:t>级别</w:t>
            </w:r>
          </w:p>
        </w:tc>
        <w:tc>
          <w:tcPr>
            <w:tcW w:w="1148" w:type="dxa"/>
            <w:noWrap w:val="0"/>
            <w:vAlign w:val="center"/>
          </w:tcPr>
          <w:p w14:paraId="3DAE8FBD">
            <w:pPr>
              <w:ind w:left="223" w:hanging="222" w:hangingChars="106"/>
              <w:jc w:val="center"/>
              <w:rPr>
                <w:color w:val="auto"/>
              </w:rPr>
            </w:pPr>
            <w:r>
              <w:rPr>
                <w:color w:val="auto"/>
              </w:rPr>
              <w:t>证号</w:t>
            </w:r>
          </w:p>
        </w:tc>
        <w:tc>
          <w:tcPr>
            <w:tcW w:w="744" w:type="dxa"/>
            <w:noWrap w:val="0"/>
            <w:vAlign w:val="center"/>
          </w:tcPr>
          <w:p w14:paraId="1645D461">
            <w:pPr>
              <w:ind w:left="223" w:hanging="222" w:hangingChars="106"/>
              <w:jc w:val="center"/>
              <w:rPr>
                <w:color w:val="auto"/>
              </w:rPr>
            </w:pPr>
            <w:r>
              <w:rPr>
                <w:color w:val="auto"/>
              </w:rPr>
              <w:t>专业</w:t>
            </w:r>
          </w:p>
        </w:tc>
        <w:tc>
          <w:tcPr>
            <w:tcW w:w="1167" w:type="dxa"/>
            <w:noWrap w:val="0"/>
            <w:vAlign w:val="center"/>
          </w:tcPr>
          <w:p w14:paraId="5588FA9F">
            <w:pPr>
              <w:jc w:val="center"/>
              <w:rPr>
                <w:color w:val="auto"/>
              </w:rPr>
            </w:pPr>
            <w:r>
              <w:rPr>
                <w:rFonts w:hint="eastAsia"/>
                <w:color w:val="auto"/>
              </w:rPr>
              <w:t>完工/在建</w:t>
            </w:r>
          </w:p>
        </w:tc>
        <w:tc>
          <w:tcPr>
            <w:tcW w:w="1276" w:type="dxa"/>
            <w:noWrap w:val="0"/>
            <w:vAlign w:val="center"/>
          </w:tcPr>
          <w:p w14:paraId="26EB5085">
            <w:pPr>
              <w:jc w:val="center"/>
              <w:rPr>
                <w:color w:val="auto"/>
              </w:rPr>
            </w:pPr>
            <w:r>
              <w:rPr>
                <w:color w:val="auto"/>
              </w:rPr>
              <w:t>主要项目</w:t>
            </w:r>
          </w:p>
          <w:p w14:paraId="3146B853">
            <w:pPr>
              <w:jc w:val="center"/>
              <w:rPr>
                <w:color w:val="auto"/>
              </w:rPr>
            </w:pPr>
            <w:r>
              <w:rPr>
                <w:color w:val="auto"/>
              </w:rPr>
              <w:t>名称</w:t>
            </w:r>
          </w:p>
        </w:tc>
      </w:tr>
      <w:tr w14:paraId="0E0B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77DC36E3">
            <w:pPr>
              <w:pStyle w:val="105"/>
              <w:spacing w:line="240" w:lineRule="auto"/>
              <w:ind w:firstLine="0"/>
              <w:rPr>
                <w:color w:val="auto"/>
                <w:sz w:val="21"/>
                <w:szCs w:val="21"/>
              </w:rPr>
            </w:pPr>
            <w:r>
              <w:rPr>
                <w:rFonts w:ascii="Times New Roman" w:hAnsi="Times New Roman" w:eastAsia="Times New Roman" w:cs="Times New Roman"/>
                <w:color w:val="auto"/>
                <w:sz w:val="21"/>
                <w:szCs w:val="21"/>
                <w:lang w:val="en-US" w:eastAsia="en-US" w:bidi="en-US"/>
              </w:rPr>
              <w:t>1.</w:t>
            </w:r>
            <w:r>
              <w:rPr>
                <w:color w:val="auto"/>
                <w:sz w:val="21"/>
                <w:szCs w:val="21"/>
              </w:rPr>
              <w:t>项目经理</w:t>
            </w:r>
          </w:p>
        </w:tc>
        <w:tc>
          <w:tcPr>
            <w:tcW w:w="670" w:type="dxa"/>
            <w:noWrap w:val="0"/>
            <w:vAlign w:val="center"/>
          </w:tcPr>
          <w:p w14:paraId="6477314F">
            <w:pPr>
              <w:ind w:left="223" w:hanging="222" w:hangingChars="106"/>
              <w:jc w:val="center"/>
              <w:rPr>
                <w:color w:val="auto"/>
                <w:szCs w:val="21"/>
              </w:rPr>
            </w:pPr>
          </w:p>
        </w:tc>
        <w:tc>
          <w:tcPr>
            <w:tcW w:w="816" w:type="dxa"/>
            <w:noWrap w:val="0"/>
            <w:vAlign w:val="center"/>
          </w:tcPr>
          <w:p w14:paraId="159CABB2">
            <w:pPr>
              <w:ind w:left="223" w:hanging="222" w:hangingChars="106"/>
              <w:jc w:val="center"/>
              <w:rPr>
                <w:color w:val="auto"/>
                <w:szCs w:val="21"/>
              </w:rPr>
            </w:pPr>
          </w:p>
        </w:tc>
        <w:tc>
          <w:tcPr>
            <w:tcW w:w="1148" w:type="dxa"/>
            <w:noWrap w:val="0"/>
            <w:vAlign w:val="center"/>
          </w:tcPr>
          <w:p w14:paraId="0F402C21">
            <w:pPr>
              <w:ind w:left="223" w:hanging="222" w:hangingChars="106"/>
              <w:jc w:val="center"/>
              <w:rPr>
                <w:color w:val="auto"/>
                <w:szCs w:val="21"/>
              </w:rPr>
            </w:pPr>
          </w:p>
        </w:tc>
        <w:tc>
          <w:tcPr>
            <w:tcW w:w="1148" w:type="dxa"/>
            <w:noWrap w:val="0"/>
            <w:vAlign w:val="center"/>
          </w:tcPr>
          <w:p w14:paraId="0404FE2B">
            <w:pPr>
              <w:ind w:left="223" w:hanging="222" w:hangingChars="106"/>
              <w:jc w:val="center"/>
              <w:rPr>
                <w:color w:val="auto"/>
                <w:szCs w:val="21"/>
              </w:rPr>
            </w:pPr>
          </w:p>
        </w:tc>
        <w:tc>
          <w:tcPr>
            <w:tcW w:w="1148" w:type="dxa"/>
            <w:noWrap w:val="0"/>
            <w:vAlign w:val="center"/>
          </w:tcPr>
          <w:p w14:paraId="38EDF6FF">
            <w:pPr>
              <w:ind w:left="223" w:hanging="222" w:hangingChars="106"/>
              <w:jc w:val="center"/>
              <w:rPr>
                <w:color w:val="auto"/>
                <w:szCs w:val="21"/>
              </w:rPr>
            </w:pPr>
          </w:p>
        </w:tc>
        <w:tc>
          <w:tcPr>
            <w:tcW w:w="744" w:type="dxa"/>
            <w:noWrap w:val="0"/>
            <w:vAlign w:val="center"/>
          </w:tcPr>
          <w:p w14:paraId="4AFCCAEF">
            <w:pPr>
              <w:ind w:left="223" w:hanging="222" w:hangingChars="106"/>
              <w:jc w:val="center"/>
              <w:rPr>
                <w:color w:val="auto"/>
                <w:szCs w:val="21"/>
              </w:rPr>
            </w:pPr>
          </w:p>
        </w:tc>
        <w:tc>
          <w:tcPr>
            <w:tcW w:w="1167" w:type="dxa"/>
            <w:noWrap w:val="0"/>
            <w:vAlign w:val="center"/>
          </w:tcPr>
          <w:p w14:paraId="4D8120F4">
            <w:pPr>
              <w:ind w:left="223" w:hanging="222" w:hangingChars="106"/>
              <w:jc w:val="center"/>
              <w:rPr>
                <w:color w:val="auto"/>
                <w:szCs w:val="21"/>
              </w:rPr>
            </w:pPr>
          </w:p>
        </w:tc>
        <w:tc>
          <w:tcPr>
            <w:tcW w:w="1276" w:type="dxa"/>
            <w:noWrap w:val="0"/>
            <w:vAlign w:val="center"/>
          </w:tcPr>
          <w:p w14:paraId="64FE2061">
            <w:pPr>
              <w:ind w:left="223" w:hanging="222" w:hangingChars="106"/>
              <w:jc w:val="center"/>
              <w:rPr>
                <w:color w:val="auto"/>
                <w:szCs w:val="21"/>
              </w:rPr>
            </w:pPr>
          </w:p>
        </w:tc>
      </w:tr>
      <w:tr w14:paraId="65CA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3CB2657">
            <w:pPr>
              <w:pStyle w:val="105"/>
              <w:spacing w:line="240" w:lineRule="auto"/>
              <w:ind w:firstLine="0"/>
              <w:rPr>
                <w:color w:val="auto"/>
                <w:sz w:val="21"/>
                <w:szCs w:val="21"/>
              </w:rPr>
            </w:pPr>
            <w:r>
              <w:rPr>
                <w:rFonts w:ascii="Times New Roman" w:hAnsi="Times New Roman" w:eastAsia="Times New Roman" w:cs="Times New Roman"/>
                <w:color w:val="auto"/>
                <w:sz w:val="21"/>
                <w:szCs w:val="21"/>
                <w:lang w:val="en-US" w:bidi="en-US"/>
              </w:rPr>
              <w:t>2.</w:t>
            </w:r>
            <w:r>
              <w:rPr>
                <w:rFonts w:hint="eastAsia" w:ascii="Times New Roman" w:hAnsi="Times New Roman" w:eastAsia="Times New Roman" w:cs="Times New Roman"/>
                <w:color w:val="auto"/>
                <w:sz w:val="21"/>
                <w:szCs w:val="21"/>
                <w:lang w:val="en-US" w:bidi="en-US"/>
              </w:rPr>
              <w:t>技术负责人（项目总工）</w:t>
            </w:r>
          </w:p>
        </w:tc>
        <w:tc>
          <w:tcPr>
            <w:tcW w:w="670" w:type="dxa"/>
            <w:noWrap w:val="0"/>
            <w:vAlign w:val="center"/>
          </w:tcPr>
          <w:p w14:paraId="6BD779EF">
            <w:pPr>
              <w:ind w:left="223" w:hanging="222" w:hangingChars="106"/>
              <w:jc w:val="center"/>
              <w:rPr>
                <w:color w:val="auto"/>
                <w:szCs w:val="21"/>
              </w:rPr>
            </w:pPr>
          </w:p>
        </w:tc>
        <w:tc>
          <w:tcPr>
            <w:tcW w:w="816" w:type="dxa"/>
            <w:noWrap w:val="0"/>
            <w:vAlign w:val="center"/>
          </w:tcPr>
          <w:p w14:paraId="32FCD537">
            <w:pPr>
              <w:ind w:left="223" w:hanging="222" w:hangingChars="106"/>
              <w:jc w:val="center"/>
              <w:rPr>
                <w:color w:val="auto"/>
                <w:szCs w:val="21"/>
              </w:rPr>
            </w:pPr>
          </w:p>
        </w:tc>
        <w:tc>
          <w:tcPr>
            <w:tcW w:w="1148" w:type="dxa"/>
            <w:noWrap w:val="0"/>
            <w:vAlign w:val="center"/>
          </w:tcPr>
          <w:p w14:paraId="19E9E2D6">
            <w:pPr>
              <w:ind w:left="223" w:hanging="222" w:hangingChars="106"/>
              <w:jc w:val="center"/>
              <w:rPr>
                <w:color w:val="auto"/>
                <w:szCs w:val="21"/>
              </w:rPr>
            </w:pPr>
          </w:p>
        </w:tc>
        <w:tc>
          <w:tcPr>
            <w:tcW w:w="1148" w:type="dxa"/>
            <w:noWrap w:val="0"/>
            <w:vAlign w:val="center"/>
          </w:tcPr>
          <w:p w14:paraId="272A6DFC">
            <w:pPr>
              <w:ind w:left="223" w:hanging="222" w:hangingChars="106"/>
              <w:jc w:val="center"/>
              <w:rPr>
                <w:color w:val="auto"/>
                <w:szCs w:val="21"/>
              </w:rPr>
            </w:pPr>
          </w:p>
        </w:tc>
        <w:tc>
          <w:tcPr>
            <w:tcW w:w="1148" w:type="dxa"/>
            <w:noWrap w:val="0"/>
            <w:vAlign w:val="center"/>
          </w:tcPr>
          <w:p w14:paraId="0EEE88D9">
            <w:pPr>
              <w:ind w:left="223" w:hanging="222" w:hangingChars="106"/>
              <w:jc w:val="center"/>
              <w:rPr>
                <w:color w:val="auto"/>
                <w:szCs w:val="21"/>
              </w:rPr>
            </w:pPr>
          </w:p>
        </w:tc>
        <w:tc>
          <w:tcPr>
            <w:tcW w:w="744" w:type="dxa"/>
            <w:noWrap w:val="0"/>
            <w:vAlign w:val="center"/>
          </w:tcPr>
          <w:p w14:paraId="5684A609">
            <w:pPr>
              <w:ind w:left="223" w:hanging="222" w:hangingChars="106"/>
              <w:jc w:val="center"/>
              <w:rPr>
                <w:color w:val="auto"/>
                <w:szCs w:val="21"/>
              </w:rPr>
            </w:pPr>
          </w:p>
        </w:tc>
        <w:tc>
          <w:tcPr>
            <w:tcW w:w="1167" w:type="dxa"/>
            <w:noWrap w:val="0"/>
            <w:vAlign w:val="center"/>
          </w:tcPr>
          <w:p w14:paraId="549D47E1">
            <w:pPr>
              <w:ind w:left="223" w:hanging="222" w:hangingChars="106"/>
              <w:jc w:val="center"/>
              <w:rPr>
                <w:color w:val="auto"/>
                <w:szCs w:val="21"/>
              </w:rPr>
            </w:pPr>
          </w:p>
        </w:tc>
        <w:tc>
          <w:tcPr>
            <w:tcW w:w="1276" w:type="dxa"/>
            <w:noWrap w:val="0"/>
            <w:vAlign w:val="center"/>
          </w:tcPr>
          <w:p w14:paraId="102463CA">
            <w:pPr>
              <w:ind w:left="223" w:hanging="222" w:hangingChars="106"/>
              <w:jc w:val="center"/>
              <w:rPr>
                <w:color w:val="auto"/>
                <w:szCs w:val="21"/>
              </w:rPr>
            </w:pPr>
          </w:p>
        </w:tc>
      </w:tr>
      <w:tr w14:paraId="10E1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42DFFAC">
            <w:pPr>
              <w:pStyle w:val="105"/>
              <w:spacing w:line="240" w:lineRule="auto"/>
              <w:ind w:firstLine="0"/>
              <w:rPr>
                <w:color w:val="auto"/>
                <w:sz w:val="21"/>
                <w:szCs w:val="21"/>
              </w:rPr>
            </w:pPr>
            <w:r>
              <w:rPr>
                <w:rFonts w:ascii="Times New Roman" w:hAnsi="Times New Roman" w:eastAsia="Times New Roman" w:cs="Times New Roman"/>
                <w:color w:val="auto"/>
                <w:sz w:val="21"/>
                <w:szCs w:val="21"/>
                <w:lang w:val="en-US" w:eastAsia="en-US" w:bidi="en-US"/>
              </w:rPr>
              <w:t>3.</w:t>
            </w:r>
            <w:r>
              <w:rPr>
                <w:rFonts w:hint="eastAsia"/>
                <w:color w:val="auto"/>
                <w:sz w:val="21"/>
                <w:szCs w:val="21"/>
              </w:rPr>
              <w:t xml:space="preserve"> 施工员</w:t>
            </w:r>
          </w:p>
        </w:tc>
        <w:tc>
          <w:tcPr>
            <w:tcW w:w="670" w:type="dxa"/>
            <w:noWrap w:val="0"/>
            <w:vAlign w:val="center"/>
          </w:tcPr>
          <w:p w14:paraId="0B017D37">
            <w:pPr>
              <w:ind w:left="223" w:hanging="222" w:hangingChars="106"/>
              <w:jc w:val="center"/>
              <w:rPr>
                <w:color w:val="auto"/>
                <w:szCs w:val="21"/>
              </w:rPr>
            </w:pPr>
          </w:p>
        </w:tc>
        <w:tc>
          <w:tcPr>
            <w:tcW w:w="816" w:type="dxa"/>
            <w:noWrap w:val="0"/>
            <w:vAlign w:val="center"/>
          </w:tcPr>
          <w:p w14:paraId="3F78CA6A">
            <w:pPr>
              <w:ind w:left="223" w:hanging="222" w:hangingChars="106"/>
              <w:jc w:val="center"/>
              <w:rPr>
                <w:color w:val="auto"/>
                <w:szCs w:val="21"/>
              </w:rPr>
            </w:pPr>
          </w:p>
        </w:tc>
        <w:tc>
          <w:tcPr>
            <w:tcW w:w="1148" w:type="dxa"/>
            <w:noWrap w:val="0"/>
            <w:vAlign w:val="center"/>
          </w:tcPr>
          <w:p w14:paraId="65F21138">
            <w:pPr>
              <w:ind w:left="223" w:hanging="222" w:hangingChars="106"/>
              <w:jc w:val="center"/>
              <w:rPr>
                <w:color w:val="auto"/>
                <w:szCs w:val="21"/>
              </w:rPr>
            </w:pPr>
          </w:p>
        </w:tc>
        <w:tc>
          <w:tcPr>
            <w:tcW w:w="1148" w:type="dxa"/>
            <w:noWrap w:val="0"/>
            <w:vAlign w:val="center"/>
          </w:tcPr>
          <w:p w14:paraId="3CCE3B6A">
            <w:pPr>
              <w:ind w:left="223" w:hanging="222" w:hangingChars="106"/>
              <w:jc w:val="center"/>
              <w:rPr>
                <w:color w:val="auto"/>
                <w:szCs w:val="21"/>
              </w:rPr>
            </w:pPr>
          </w:p>
        </w:tc>
        <w:tc>
          <w:tcPr>
            <w:tcW w:w="1148" w:type="dxa"/>
            <w:noWrap w:val="0"/>
            <w:vAlign w:val="center"/>
          </w:tcPr>
          <w:p w14:paraId="03719530">
            <w:pPr>
              <w:ind w:left="223" w:hanging="222" w:hangingChars="106"/>
              <w:jc w:val="center"/>
              <w:rPr>
                <w:color w:val="auto"/>
                <w:szCs w:val="21"/>
              </w:rPr>
            </w:pPr>
          </w:p>
        </w:tc>
        <w:tc>
          <w:tcPr>
            <w:tcW w:w="744" w:type="dxa"/>
            <w:noWrap w:val="0"/>
            <w:vAlign w:val="center"/>
          </w:tcPr>
          <w:p w14:paraId="17F2EC16">
            <w:pPr>
              <w:ind w:left="223" w:hanging="222" w:hangingChars="106"/>
              <w:jc w:val="center"/>
              <w:rPr>
                <w:color w:val="auto"/>
                <w:szCs w:val="21"/>
              </w:rPr>
            </w:pPr>
          </w:p>
        </w:tc>
        <w:tc>
          <w:tcPr>
            <w:tcW w:w="1167" w:type="dxa"/>
            <w:noWrap w:val="0"/>
            <w:vAlign w:val="center"/>
          </w:tcPr>
          <w:p w14:paraId="34E6B774">
            <w:pPr>
              <w:ind w:left="223" w:hanging="222" w:hangingChars="106"/>
              <w:jc w:val="center"/>
              <w:rPr>
                <w:color w:val="auto"/>
                <w:szCs w:val="21"/>
              </w:rPr>
            </w:pPr>
          </w:p>
        </w:tc>
        <w:tc>
          <w:tcPr>
            <w:tcW w:w="1276" w:type="dxa"/>
            <w:noWrap w:val="0"/>
            <w:vAlign w:val="center"/>
          </w:tcPr>
          <w:p w14:paraId="37786B4D">
            <w:pPr>
              <w:ind w:left="223" w:hanging="222" w:hangingChars="106"/>
              <w:jc w:val="center"/>
              <w:rPr>
                <w:color w:val="auto"/>
                <w:szCs w:val="21"/>
              </w:rPr>
            </w:pPr>
          </w:p>
        </w:tc>
      </w:tr>
      <w:tr w14:paraId="0756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471BA85">
            <w:pPr>
              <w:pStyle w:val="105"/>
              <w:spacing w:line="240" w:lineRule="auto"/>
              <w:ind w:firstLine="0"/>
              <w:rPr>
                <w:color w:val="auto"/>
                <w:sz w:val="21"/>
                <w:szCs w:val="21"/>
              </w:rPr>
            </w:pPr>
            <w:r>
              <w:rPr>
                <w:rFonts w:ascii="Times New Roman" w:hAnsi="Times New Roman" w:eastAsia="Times New Roman" w:cs="Times New Roman"/>
                <w:color w:val="auto"/>
                <w:sz w:val="21"/>
                <w:szCs w:val="21"/>
                <w:lang w:val="en-US" w:eastAsia="en-US" w:bidi="en-US"/>
              </w:rPr>
              <w:t>4.</w:t>
            </w:r>
            <w:r>
              <w:rPr>
                <w:color w:val="auto"/>
                <w:sz w:val="21"/>
                <w:szCs w:val="21"/>
              </w:rPr>
              <w:t>安全员</w:t>
            </w:r>
          </w:p>
        </w:tc>
        <w:tc>
          <w:tcPr>
            <w:tcW w:w="670" w:type="dxa"/>
            <w:noWrap w:val="0"/>
            <w:vAlign w:val="center"/>
          </w:tcPr>
          <w:p w14:paraId="0C71D2DD">
            <w:pPr>
              <w:ind w:left="223" w:hanging="222" w:hangingChars="106"/>
              <w:jc w:val="center"/>
              <w:rPr>
                <w:color w:val="auto"/>
                <w:szCs w:val="21"/>
              </w:rPr>
            </w:pPr>
          </w:p>
        </w:tc>
        <w:tc>
          <w:tcPr>
            <w:tcW w:w="816" w:type="dxa"/>
            <w:noWrap w:val="0"/>
            <w:vAlign w:val="center"/>
          </w:tcPr>
          <w:p w14:paraId="07508A88">
            <w:pPr>
              <w:ind w:left="223" w:hanging="222" w:hangingChars="106"/>
              <w:jc w:val="center"/>
              <w:rPr>
                <w:color w:val="auto"/>
                <w:szCs w:val="21"/>
              </w:rPr>
            </w:pPr>
          </w:p>
        </w:tc>
        <w:tc>
          <w:tcPr>
            <w:tcW w:w="1148" w:type="dxa"/>
            <w:noWrap w:val="0"/>
            <w:vAlign w:val="center"/>
          </w:tcPr>
          <w:p w14:paraId="77DCBA86">
            <w:pPr>
              <w:ind w:left="223" w:hanging="222" w:hangingChars="106"/>
              <w:jc w:val="center"/>
              <w:rPr>
                <w:color w:val="auto"/>
                <w:szCs w:val="21"/>
              </w:rPr>
            </w:pPr>
          </w:p>
        </w:tc>
        <w:tc>
          <w:tcPr>
            <w:tcW w:w="1148" w:type="dxa"/>
            <w:noWrap w:val="0"/>
            <w:vAlign w:val="center"/>
          </w:tcPr>
          <w:p w14:paraId="6C5DE692">
            <w:pPr>
              <w:ind w:left="223" w:hanging="222" w:hangingChars="106"/>
              <w:jc w:val="center"/>
              <w:rPr>
                <w:color w:val="auto"/>
                <w:szCs w:val="21"/>
              </w:rPr>
            </w:pPr>
          </w:p>
        </w:tc>
        <w:tc>
          <w:tcPr>
            <w:tcW w:w="1148" w:type="dxa"/>
            <w:noWrap w:val="0"/>
            <w:vAlign w:val="center"/>
          </w:tcPr>
          <w:p w14:paraId="2D891386">
            <w:pPr>
              <w:ind w:left="223" w:hanging="222" w:hangingChars="106"/>
              <w:jc w:val="center"/>
              <w:rPr>
                <w:color w:val="auto"/>
                <w:szCs w:val="21"/>
              </w:rPr>
            </w:pPr>
          </w:p>
        </w:tc>
        <w:tc>
          <w:tcPr>
            <w:tcW w:w="744" w:type="dxa"/>
            <w:noWrap w:val="0"/>
            <w:vAlign w:val="center"/>
          </w:tcPr>
          <w:p w14:paraId="3A74D6CE">
            <w:pPr>
              <w:ind w:left="223" w:hanging="222" w:hangingChars="106"/>
              <w:jc w:val="center"/>
              <w:rPr>
                <w:color w:val="auto"/>
                <w:szCs w:val="21"/>
              </w:rPr>
            </w:pPr>
          </w:p>
        </w:tc>
        <w:tc>
          <w:tcPr>
            <w:tcW w:w="1167" w:type="dxa"/>
            <w:noWrap w:val="0"/>
            <w:vAlign w:val="center"/>
          </w:tcPr>
          <w:p w14:paraId="67702AF3">
            <w:pPr>
              <w:ind w:left="223" w:hanging="222" w:hangingChars="106"/>
              <w:jc w:val="center"/>
              <w:rPr>
                <w:color w:val="auto"/>
                <w:szCs w:val="21"/>
              </w:rPr>
            </w:pPr>
          </w:p>
        </w:tc>
        <w:tc>
          <w:tcPr>
            <w:tcW w:w="1276" w:type="dxa"/>
            <w:noWrap w:val="0"/>
            <w:vAlign w:val="center"/>
          </w:tcPr>
          <w:p w14:paraId="154F74DE">
            <w:pPr>
              <w:ind w:left="223" w:hanging="222" w:hangingChars="106"/>
              <w:jc w:val="center"/>
              <w:rPr>
                <w:color w:val="auto"/>
                <w:szCs w:val="21"/>
              </w:rPr>
            </w:pPr>
          </w:p>
        </w:tc>
      </w:tr>
      <w:tr w14:paraId="5B6F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375B9BD0">
            <w:pPr>
              <w:jc w:val="left"/>
              <w:rPr>
                <w:color w:val="auto"/>
                <w:szCs w:val="21"/>
              </w:rPr>
            </w:pPr>
            <w:r>
              <w:rPr>
                <w:rFonts w:hint="eastAsia"/>
                <w:color w:val="auto"/>
                <w:szCs w:val="21"/>
              </w:rPr>
              <w:t>5.</w:t>
            </w:r>
            <w:r>
              <w:rPr>
                <w:color w:val="auto"/>
                <w:szCs w:val="21"/>
              </w:rPr>
              <w:t xml:space="preserve"> 质量员</w:t>
            </w:r>
          </w:p>
        </w:tc>
        <w:tc>
          <w:tcPr>
            <w:tcW w:w="670" w:type="dxa"/>
            <w:noWrap w:val="0"/>
            <w:vAlign w:val="center"/>
          </w:tcPr>
          <w:p w14:paraId="05C4969C">
            <w:pPr>
              <w:ind w:left="223" w:hanging="222" w:hangingChars="106"/>
              <w:jc w:val="center"/>
              <w:rPr>
                <w:color w:val="auto"/>
                <w:szCs w:val="21"/>
              </w:rPr>
            </w:pPr>
          </w:p>
        </w:tc>
        <w:tc>
          <w:tcPr>
            <w:tcW w:w="816" w:type="dxa"/>
            <w:noWrap w:val="0"/>
            <w:vAlign w:val="center"/>
          </w:tcPr>
          <w:p w14:paraId="72416455">
            <w:pPr>
              <w:ind w:left="223" w:hanging="222" w:hangingChars="106"/>
              <w:jc w:val="center"/>
              <w:rPr>
                <w:color w:val="auto"/>
                <w:szCs w:val="21"/>
              </w:rPr>
            </w:pPr>
          </w:p>
        </w:tc>
        <w:tc>
          <w:tcPr>
            <w:tcW w:w="1148" w:type="dxa"/>
            <w:noWrap w:val="0"/>
            <w:vAlign w:val="center"/>
          </w:tcPr>
          <w:p w14:paraId="00B03B89">
            <w:pPr>
              <w:ind w:left="223" w:hanging="222" w:hangingChars="106"/>
              <w:jc w:val="center"/>
              <w:rPr>
                <w:color w:val="auto"/>
                <w:szCs w:val="21"/>
              </w:rPr>
            </w:pPr>
          </w:p>
        </w:tc>
        <w:tc>
          <w:tcPr>
            <w:tcW w:w="1148" w:type="dxa"/>
            <w:noWrap w:val="0"/>
            <w:vAlign w:val="center"/>
          </w:tcPr>
          <w:p w14:paraId="679A4AED">
            <w:pPr>
              <w:ind w:left="223" w:hanging="222" w:hangingChars="106"/>
              <w:jc w:val="center"/>
              <w:rPr>
                <w:color w:val="auto"/>
                <w:szCs w:val="21"/>
              </w:rPr>
            </w:pPr>
          </w:p>
        </w:tc>
        <w:tc>
          <w:tcPr>
            <w:tcW w:w="1148" w:type="dxa"/>
            <w:noWrap w:val="0"/>
            <w:vAlign w:val="center"/>
          </w:tcPr>
          <w:p w14:paraId="0E6B63F3">
            <w:pPr>
              <w:ind w:left="223" w:hanging="222" w:hangingChars="106"/>
              <w:jc w:val="center"/>
              <w:rPr>
                <w:color w:val="auto"/>
                <w:szCs w:val="21"/>
              </w:rPr>
            </w:pPr>
          </w:p>
        </w:tc>
        <w:tc>
          <w:tcPr>
            <w:tcW w:w="744" w:type="dxa"/>
            <w:noWrap w:val="0"/>
            <w:vAlign w:val="center"/>
          </w:tcPr>
          <w:p w14:paraId="20C5FF59">
            <w:pPr>
              <w:ind w:left="223" w:hanging="222" w:hangingChars="106"/>
              <w:jc w:val="center"/>
              <w:rPr>
                <w:color w:val="auto"/>
                <w:szCs w:val="21"/>
              </w:rPr>
            </w:pPr>
          </w:p>
        </w:tc>
        <w:tc>
          <w:tcPr>
            <w:tcW w:w="1167" w:type="dxa"/>
            <w:noWrap w:val="0"/>
            <w:vAlign w:val="center"/>
          </w:tcPr>
          <w:p w14:paraId="7D411237">
            <w:pPr>
              <w:ind w:left="223" w:hanging="222" w:hangingChars="106"/>
              <w:jc w:val="center"/>
              <w:rPr>
                <w:color w:val="auto"/>
                <w:szCs w:val="21"/>
              </w:rPr>
            </w:pPr>
          </w:p>
        </w:tc>
        <w:tc>
          <w:tcPr>
            <w:tcW w:w="1276" w:type="dxa"/>
            <w:noWrap w:val="0"/>
            <w:vAlign w:val="center"/>
          </w:tcPr>
          <w:p w14:paraId="6B7F09E2">
            <w:pPr>
              <w:ind w:left="223" w:hanging="222" w:hangingChars="106"/>
              <w:jc w:val="center"/>
              <w:rPr>
                <w:color w:val="auto"/>
                <w:szCs w:val="21"/>
              </w:rPr>
            </w:pPr>
          </w:p>
        </w:tc>
      </w:tr>
      <w:tr w14:paraId="30A5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C6BC065">
            <w:pPr>
              <w:jc w:val="left"/>
              <w:rPr>
                <w:color w:val="auto"/>
                <w:szCs w:val="21"/>
              </w:rPr>
            </w:pPr>
            <w:r>
              <w:rPr>
                <w:rFonts w:hint="eastAsia"/>
                <w:color w:val="auto"/>
                <w:szCs w:val="21"/>
              </w:rPr>
              <w:t>6.材料员</w:t>
            </w:r>
          </w:p>
        </w:tc>
        <w:tc>
          <w:tcPr>
            <w:tcW w:w="670" w:type="dxa"/>
            <w:noWrap w:val="0"/>
            <w:vAlign w:val="center"/>
          </w:tcPr>
          <w:p w14:paraId="0444582F">
            <w:pPr>
              <w:ind w:left="223" w:hanging="222" w:hangingChars="106"/>
              <w:jc w:val="center"/>
              <w:rPr>
                <w:color w:val="auto"/>
                <w:szCs w:val="21"/>
              </w:rPr>
            </w:pPr>
          </w:p>
        </w:tc>
        <w:tc>
          <w:tcPr>
            <w:tcW w:w="816" w:type="dxa"/>
            <w:noWrap w:val="0"/>
            <w:vAlign w:val="center"/>
          </w:tcPr>
          <w:p w14:paraId="6CF3E04B">
            <w:pPr>
              <w:ind w:left="223" w:hanging="222" w:hangingChars="106"/>
              <w:jc w:val="center"/>
              <w:rPr>
                <w:color w:val="auto"/>
                <w:szCs w:val="21"/>
              </w:rPr>
            </w:pPr>
          </w:p>
        </w:tc>
        <w:tc>
          <w:tcPr>
            <w:tcW w:w="1148" w:type="dxa"/>
            <w:noWrap w:val="0"/>
            <w:vAlign w:val="center"/>
          </w:tcPr>
          <w:p w14:paraId="4BB52881">
            <w:pPr>
              <w:ind w:left="223" w:hanging="222" w:hangingChars="106"/>
              <w:jc w:val="center"/>
              <w:rPr>
                <w:color w:val="auto"/>
                <w:szCs w:val="21"/>
              </w:rPr>
            </w:pPr>
          </w:p>
        </w:tc>
        <w:tc>
          <w:tcPr>
            <w:tcW w:w="1148" w:type="dxa"/>
            <w:noWrap w:val="0"/>
            <w:vAlign w:val="center"/>
          </w:tcPr>
          <w:p w14:paraId="434D5262">
            <w:pPr>
              <w:ind w:left="223" w:hanging="222" w:hangingChars="106"/>
              <w:jc w:val="center"/>
              <w:rPr>
                <w:color w:val="auto"/>
                <w:szCs w:val="21"/>
              </w:rPr>
            </w:pPr>
          </w:p>
        </w:tc>
        <w:tc>
          <w:tcPr>
            <w:tcW w:w="1148" w:type="dxa"/>
            <w:noWrap w:val="0"/>
            <w:vAlign w:val="center"/>
          </w:tcPr>
          <w:p w14:paraId="1F0E4436">
            <w:pPr>
              <w:ind w:left="223" w:hanging="222" w:hangingChars="106"/>
              <w:jc w:val="center"/>
              <w:rPr>
                <w:color w:val="auto"/>
                <w:szCs w:val="21"/>
              </w:rPr>
            </w:pPr>
          </w:p>
        </w:tc>
        <w:tc>
          <w:tcPr>
            <w:tcW w:w="744" w:type="dxa"/>
            <w:noWrap w:val="0"/>
            <w:vAlign w:val="center"/>
          </w:tcPr>
          <w:p w14:paraId="2D3628EE">
            <w:pPr>
              <w:ind w:left="223" w:hanging="222" w:hangingChars="106"/>
              <w:jc w:val="center"/>
              <w:rPr>
                <w:color w:val="auto"/>
                <w:szCs w:val="21"/>
              </w:rPr>
            </w:pPr>
          </w:p>
        </w:tc>
        <w:tc>
          <w:tcPr>
            <w:tcW w:w="1167" w:type="dxa"/>
            <w:noWrap w:val="0"/>
            <w:vAlign w:val="center"/>
          </w:tcPr>
          <w:p w14:paraId="16B448E9">
            <w:pPr>
              <w:ind w:left="223" w:hanging="222" w:hangingChars="106"/>
              <w:jc w:val="center"/>
              <w:rPr>
                <w:color w:val="auto"/>
                <w:szCs w:val="21"/>
              </w:rPr>
            </w:pPr>
          </w:p>
        </w:tc>
        <w:tc>
          <w:tcPr>
            <w:tcW w:w="1276" w:type="dxa"/>
            <w:noWrap w:val="0"/>
            <w:vAlign w:val="center"/>
          </w:tcPr>
          <w:p w14:paraId="1A8B28CA">
            <w:pPr>
              <w:ind w:left="223" w:hanging="222" w:hangingChars="106"/>
              <w:jc w:val="center"/>
              <w:rPr>
                <w:color w:val="auto"/>
                <w:szCs w:val="21"/>
              </w:rPr>
            </w:pPr>
          </w:p>
        </w:tc>
      </w:tr>
      <w:tr w14:paraId="2E0E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C268967">
            <w:pPr>
              <w:ind w:left="223" w:hanging="222" w:hangingChars="106"/>
              <w:jc w:val="center"/>
              <w:rPr>
                <w:color w:val="auto"/>
                <w:szCs w:val="21"/>
              </w:rPr>
            </w:pPr>
          </w:p>
        </w:tc>
        <w:tc>
          <w:tcPr>
            <w:tcW w:w="670" w:type="dxa"/>
            <w:noWrap w:val="0"/>
            <w:vAlign w:val="center"/>
          </w:tcPr>
          <w:p w14:paraId="177BB090">
            <w:pPr>
              <w:ind w:left="223" w:hanging="222" w:hangingChars="106"/>
              <w:jc w:val="center"/>
              <w:rPr>
                <w:color w:val="auto"/>
                <w:szCs w:val="21"/>
              </w:rPr>
            </w:pPr>
          </w:p>
        </w:tc>
        <w:tc>
          <w:tcPr>
            <w:tcW w:w="816" w:type="dxa"/>
            <w:noWrap w:val="0"/>
            <w:vAlign w:val="center"/>
          </w:tcPr>
          <w:p w14:paraId="4A38A335">
            <w:pPr>
              <w:ind w:left="223" w:hanging="222" w:hangingChars="106"/>
              <w:jc w:val="center"/>
              <w:rPr>
                <w:color w:val="auto"/>
                <w:szCs w:val="21"/>
              </w:rPr>
            </w:pPr>
          </w:p>
        </w:tc>
        <w:tc>
          <w:tcPr>
            <w:tcW w:w="1148" w:type="dxa"/>
            <w:noWrap w:val="0"/>
            <w:vAlign w:val="center"/>
          </w:tcPr>
          <w:p w14:paraId="622D69F4">
            <w:pPr>
              <w:ind w:left="223" w:hanging="222" w:hangingChars="106"/>
              <w:jc w:val="center"/>
              <w:rPr>
                <w:color w:val="auto"/>
                <w:szCs w:val="21"/>
              </w:rPr>
            </w:pPr>
          </w:p>
        </w:tc>
        <w:tc>
          <w:tcPr>
            <w:tcW w:w="1148" w:type="dxa"/>
            <w:noWrap w:val="0"/>
            <w:vAlign w:val="center"/>
          </w:tcPr>
          <w:p w14:paraId="6DFB8AC8">
            <w:pPr>
              <w:ind w:left="223" w:hanging="222" w:hangingChars="106"/>
              <w:jc w:val="center"/>
              <w:rPr>
                <w:color w:val="auto"/>
                <w:szCs w:val="21"/>
              </w:rPr>
            </w:pPr>
          </w:p>
        </w:tc>
        <w:tc>
          <w:tcPr>
            <w:tcW w:w="1148" w:type="dxa"/>
            <w:noWrap w:val="0"/>
            <w:vAlign w:val="center"/>
          </w:tcPr>
          <w:p w14:paraId="2C7FDD33">
            <w:pPr>
              <w:ind w:left="223" w:hanging="222" w:hangingChars="106"/>
              <w:jc w:val="center"/>
              <w:rPr>
                <w:color w:val="auto"/>
                <w:szCs w:val="21"/>
              </w:rPr>
            </w:pPr>
          </w:p>
        </w:tc>
        <w:tc>
          <w:tcPr>
            <w:tcW w:w="744" w:type="dxa"/>
            <w:noWrap w:val="0"/>
            <w:vAlign w:val="center"/>
          </w:tcPr>
          <w:p w14:paraId="2A0B658A">
            <w:pPr>
              <w:ind w:left="223" w:hanging="222" w:hangingChars="106"/>
              <w:jc w:val="center"/>
              <w:rPr>
                <w:color w:val="auto"/>
                <w:szCs w:val="21"/>
              </w:rPr>
            </w:pPr>
          </w:p>
        </w:tc>
        <w:tc>
          <w:tcPr>
            <w:tcW w:w="1167" w:type="dxa"/>
            <w:noWrap w:val="0"/>
            <w:vAlign w:val="center"/>
          </w:tcPr>
          <w:p w14:paraId="638203F3">
            <w:pPr>
              <w:ind w:left="223" w:hanging="222" w:hangingChars="106"/>
              <w:jc w:val="center"/>
              <w:rPr>
                <w:color w:val="auto"/>
                <w:szCs w:val="21"/>
              </w:rPr>
            </w:pPr>
          </w:p>
        </w:tc>
        <w:tc>
          <w:tcPr>
            <w:tcW w:w="1276" w:type="dxa"/>
            <w:noWrap w:val="0"/>
            <w:vAlign w:val="center"/>
          </w:tcPr>
          <w:p w14:paraId="052EB334">
            <w:pPr>
              <w:ind w:left="223" w:hanging="222" w:hangingChars="106"/>
              <w:jc w:val="center"/>
              <w:rPr>
                <w:color w:val="auto"/>
                <w:szCs w:val="21"/>
              </w:rPr>
            </w:pPr>
          </w:p>
        </w:tc>
      </w:tr>
    </w:tbl>
    <w:p w14:paraId="0BF985E6">
      <w:pPr>
        <w:spacing w:line="360" w:lineRule="auto"/>
        <w:contextualSpacing/>
        <w:jc w:val="left"/>
        <w:rPr>
          <w:rFonts w:ascii="宋体" w:hAnsi="宋体"/>
          <w:color w:val="auto"/>
          <w:sz w:val="24"/>
          <w:szCs w:val="20"/>
        </w:rPr>
      </w:pPr>
      <w:r>
        <w:rPr>
          <w:rFonts w:hint="eastAsia" w:ascii="宋体" w:hAnsi="宋体"/>
          <w:color w:val="auto"/>
          <w:sz w:val="24"/>
          <w:szCs w:val="20"/>
        </w:rPr>
        <w:t>备注：</w:t>
      </w:r>
    </w:p>
    <w:p w14:paraId="7CB36017">
      <w:pPr>
        <w:spacing w:line="360" w:lineRule="auto"/>
        <w:ind w:firstLine="480" w:firstLineChars="200"/>
        <w:contextualSpacing/>
        <w:jc w:val="left"/>
        <w:rPr>
          <w:rFonts w:hint="eastAsia"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本表所列岗位的所有管理人员的情况均应如实填写。可按以上格式扩展为多页填写。</w:t>
      </w:r>
    </w:p>
    <w:p w14:paraId="3CC4E97D">
      <w:pPr>
        <w:spacing w:line="360" w:lineRule="auto"/>
        <w:ind w:firstLine="480" w:firstLineChars="200"/>
        <w:contextualSpacing/>
        <w:jc w:val="left"/>
        <w:rPr>
          <w:rFonts w:hint="eastAsia" w:ascii="宋体" w:hAnsi="宋体"/>
          <w:color w:val="auto"/>
          <w:sz w:val="24"/>
          <w:szCs w:val="20"/>
        </w:rPr>
      </w:pPr>
      <w:r>
        <w:rPr>
          <w:rFonts w:hint="eastAsia" w:ascii="宋体" w:hAnsi="宋体"/>
          <w:color w:val="auto"/>
          <w:sz w:val="24"/>
          <w:szCs w:val="20"/>
        </w:rPr>
        <w:t>2</w:t>
      </w:r>
      <w:r>
        <w:rPr>
          <w:rFonts w:ascii="宋体" w:hAnsi="宋体"/>
          <w:color w:val="auto"/>
          <w:sz w:val="24"/>
          <w:szCs w:val="20"/>
        </w:rPr>
        <w:t>.</w:t>
      </w:r>
      <w:r>
        <w:rPr>
          <w:rFonts w:hint="eastAsia" w:ascii="宋体" w:hAnsi="宋体"/>
          <w:color w:val="auto"/>
          <w:sz w:val="24"/>
          <w:szCs w:val="20"/>
        </w:rPr>
        <w:t>供应商应当在本表后附所有管理人员的职称证（如有）、执业或职业资格证书（如有）复印件并加盖供应商电子签章。</w:t>
      </w:r>
    </w:p>
    <w:p w14:paraId="1E344D86">
      <w:pPr>
        <w:spacing w:line="360" w:lineRule="auto"/>
        <w:ind w:firstLine="480" w:firstLineChars="200"/>
        <w:contextualSpacing/>
        <w:rPr>
          <w:rFonts w:hint="eastAsia" w:ascii="宋体" w:hAnsi="宋体"/>
          <w:color w:val="auto"/>
          <w:spacing w:val="20"/>
          <w:sz w:val="24"/>
          <w:szCs w:val="20"/>
          <w:u w:val="single"/>
        </w:rPr>
      </w:pPr>
      <w:r>
        <w:rPr>
          <w:rFonts w:hint="eastAsia" w:ascii="宋体" w:hAnsi="宋体"/>
          <w:color w:val="auto"/>
          <w:sz w:val="24"/>
        </w:rPr>
        <w:t>法定代表人或者委托代理人（签字或者电子签名）</w:t>
      </w:r>
      <w:r>
        <w:rPr>
          <w:rFonts w:hint="eastAsia" w:ascii="宋体" w:hAnsi="宋体"/>
          <w:color w:val="auto"/>
          <w:spacing w:val="20"/>
          <w:sz w:val="24"/>
        </w:rPr>
        <w:t>：</w:t>
      </w:r>
      <w:r>
        <w:rPr>
          <w:rFonts w:hint="eastAsia" w:ascii="宋体" w:hAnsi="宋体"/>
          <w:color w:val="auto"/>
          <w:spacing w:val="20"/>
          <w:sz w:val="24"/>
          <w:u w:val="single"/>
        </w:rPr>
        <w:t xml:space="preserve">        </w:t>
      </w:r>
    </w:p>
    <w:p w14:paraId="7EFF1C07">
      <w:pPr>
        <w:spacing w:line="360" w:lineRule="auto"/>
        <w:ind w:firstLine="560" w:firstLineChars="200"/>
        <w:contextualSpacing/>
        <w:jc w:val="left"/>
        <w:rPr>
          <w:rFonts w:hint="eastAsia" w:ascii="宋体" w:hAnsi="宋体"/>
          <w:color w:val="auto"/>
          <w:sz w:val="24"/>
          <w:szCs w:val="20"/>
        </w:rPr>
      </w:pPr>
      <w:r>
        <w:rPr>
          <w:rFonts w:hint="eastAsia" w:ascii="宋体" w:hAnsi="宋体"/>
          <w:color w:val="auto"/>
          <w:spacing w:val="20"/>
          <w:sz w:val="24"/>
        </w:rPr>
        <w:t>供应商（电子签章）：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日 期：</w:t>
      </w:r>
      <w:r>
        <w:rPr>
          <w:rFonts w:hint="eastAsia" w:ascii="宋体" w:hAnsi="宋体"/>
          <w:color w:val="auto"/>
          <w:spacing w:val="20"/>
          <w:sz w:val="24"/>
          <w:u w:val="single"/>
        </w:rPr>
        <w:t xml:space="preserve">         </w:t>
      </w:r>
    </w:p>
    <w:p w14:paraId="162D1583">
      <w:pPr>
        <w:spacing w:line="360" w:lineRule="auto"/>
        <w:jc w:val="center"/>
        <w:rPr>
          <w:rFonts w:hint="eastAsia" w:ascii="宋体" w:hAnsi="宋体"/>
          <w:b/>
          <w:color w:val="auto"/>
          <w:sz w:val="28"/>
          <w:szCs w:val="28"/>
        </w:rPr>
      </w:pPr>
      <w:r>
        <w:rPr>
          <w:rFonts w:ascii="宋体" w:hAnsi="宋体"/>
          <w:b/>
          <w:color w:val="auto"/>
          <w:sz w:val="32"/>
          <w:szCs w:val="32"/>
        </w:rPr>
        <w:br w:type="page"/>
      </w:r>
      <w:r>
        <w:rPr>
          <w:rFonts w:hint="eastAsia" w:ascii="宋体" w:hAnsi="宋体"/>
          <w:b/>
          <w:color w:val="auto"/>
          <w:sz w:val="28"/>
          <w:szCs w:val="28"/>
        </w:rPr>
        <w:t>（二）拟投入的主要人员简历表</w:t>
      </w:r>
    </w:p>
    <w:p w14:paraId="660BE11F">
      <w:pPr>
        <w:spacing w:line="360" w:lineRule="auto"/>
        <w:ind w:firstLine="562" w:firstLineChars="200"/>
        <w:jc w:val="center"/>
        <w:rPr>
          <w:color w:val="auto"/>
          <w:sz w:val="28"/>
          <w:szCs w:val="28"/>
          <w:u w:val="single"/>
        </w:rPr>
      </w:pPr>
      <w:r>
        <w:rPr>
          <w:rFonts w:hint="eastAsia" w:cs="宋体"/>
          <w:b/>
          <w:color w:val="auto"/>
          <w:sz w:val="28"/>
          <w:szCs w:val="28"/>
        </w:rPr>
        <w:t>项目经理简历表</w:t>
      </w:r>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66"/>
        <w:gridCol w:w="1209"/>
        <w:gridCol w:w="142"/>
        <w:gridCol w:w="242"/>
        <w:gridCol w:w="1088"/>
        <w:gridCol w:w="88"/>
        <w:gridCol w:w="409"/>
        <w:gridCol w:w="1108"/>
        <w:gridCol w:w="36"/>
        <w:gridCol w:w="79"/>
        <w:gridCol w:w="1405"/>
        <w:gridCol w:w="11"/>
      </w:tblGrid>
      <w:tr w14:paraId="636F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14:paraId="4728B472">
            <w:pPr>
              <w:jc w:val="center"/>
              <w:rPr>
                <w:color w:val="auto"/>
              </w:rPr>
            </w:pPr>
            <w:r>
              <w:rPr>
                <w:rFonts w:hint="eastAsia" w:cs="宋体"/>
                <w:color w:val="auto"/>
              </w:rPr>
              <w:t>姓名</w:t>
            </w:r>
          </w:p>
        </w:tc>
        <w:tc>
          <w:tcPr>
            <w:tcW w:w="2318" w:type="dxa"/>
            <w:gridSpan w:val="5"/>
            <w:noWrap w:val="0"/>
            <w:vAlign w:val="center"/>
          </w:tcPr>
          <w:p w14:paraId="4A615C1C">
            <w:pPr>
              <w:jc w:val="center"/>
              <w:rPr>
                <w:color w:val="auto"/>
              </w:rPr>
            </w:pPr>
          </w:p>
        </w:tc>
        <w:tc>
          <w:tcPr>
            <w:tcW w:w="1893" w:type="dxa"/>
            <w:gridSpan w:val="5"/>
            <w:noWrap w:val="0"/>
            <w:vAlign w:val="center"/>
          </w:tcPr>
          <w:p w14:paraId="402C0C82">
            <w:pPr>
              <w:jc w:val="center"/>
              <w:rPr>
                <w:color w:val="auto"/>
              </w:rPr>
            </w:pPr>
            <w:r>
              <w:rPr>
                <w:rFonts w:hint="eastAsia" w:cs="宋体"/>
                <w:color w:val="auto"/>
              </w:rPr>
              <w:t>性别</w:t>
            </w:r>
          </w:p>
        </w:tc>
        <w:tc>
          <w:tcPr>
            <w:tcW w:w="1585" w:type="dxa"/>
            <w:gridSpan w:val="3"/>
            <w:noWrap w:val="0"/>
            <w:vAlign w:val="center"/>
          </w:tcPr>
          <w:p w14:paraId="3E065DF1">
            <w:pPr>
              <w:jc w:val="center"/>
              <w:rPr>
                <w:color w:val="auto"/>
              </w:rPr>
            </w:pPr>
          </w:p>
        </w:tc>
        <w:tc>
          <w:tcPr>
            <w:tcW w:w="1108" w:type="dxa"/>
            <w:noWrap w:val="0"/>
            <w:vAlign w:val="center"/>
          </w:tcPr>
          <w:p w14:paraId="0F907BD8">
            <w:pPr>
              <w:jc w:val="center"/>
              <w:rPr>
                <w:color w:val="auto"/>
              </w:rPr>
            </w:pPr>
            <w:r>
              <w:rPr>
                <w:rFonts w:hint="eastAsia" w:cs="宋体"/>
                <w:color w:val="auto"/>
              </w:rPr>
              <w:t>年龄</w:t>
            </w:r>
          </w:p>
        </w:tc>
        <w:tc>
          <w:tcPr>
            <w:tcW w:w="1531" w:type="dxa"/>
            <w:gridSpan w:val="4"/>
            <w:noWrap w:val="0"/>
            <w:vAlign w:val="center"/>
          </w:tcPr>
          <w:p w14:paraId="51B2D63E">
            <w:pPr>
              <w:jc w:val="center"/>
              <w:rPr>
                <w:color w:val="auto"/>
              </w:rPr>
            </w:pPr>
          </w:p>
        </w:tc>
      </w:tr>
      <w:tr w14:paraId="2A32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14:paraId="0554D61F">
            <w:pPr>
              <w:jc w:val="center"/>
              <w:rPr>
                <w:color w:val="auto"/>
              </w:rPr>
            </w:pPr>
            <w:r>
              <w:rPr>
                <w:rFonts w:hint="eastAsia" w:cs="宋体"/>
                <w:color w:val="auto"/>
              </w:rPr>
              <w:t>岗位</w:t>
            </w:r>
          </w:p>
        </w:tc>
        <w:tc>
          <w:tcPr>
            <w:tcW w:w="2318" w:type="dxa"/>
            <w:gridSpan w:val="5"/>
            <w:noWrap w:val="0"/>
            <w:vAlign w:val="center"/>
          </w:tcPr>
          <w:p w14:paraId="4689B829">
            <w:pPr>
              <w:jc w:val="center"/>
              <w:rPr>
                <w:color w:val="auto"/>
              </w:rPr>
            </w:pPr>
            <w:r>
              <w:rPr>
                <w:rFonts w:hint="eastAsia"/>
                <w:color w:val="auto"/>
              </w:rPr>
              <w:t>项目经理</w:t>
            </w:r>
          </w:p>
        </w:tc>
        <w:tc>
          <w:tcPr>
            <w:tcW w:w="1893" w:type="dxa"/>
            <w:gridSpan w:val="5"/>
            <w:noWrap w:val="0"/>
            <w:vAlign w:val="center"/>
          </w:tcPr>
          <w:p w14:paraId="5B0D4B11">
            <w:pPr>
              <w:jc w:val="center"/>
              <w:rPr>
                <w:color w:val="auto"/>
              </w:rPr>
            </w:pPr>
            <w:r>
              <w:rPr>
                <w:rFonts w:hint="eastAsia" w:cs="宋体"/>
                <w:color w:val="auto"/>
              </w:rPr>
              <w:t>职称</w:t>
            </w:r>
          </w:p>
        </w:tc>
        <w:tc>
          <w:tcPr>
            <w:tcW w:w="1585" w:type="dxa"/>
            <w:gridSpan w:val="3"/>
            <w:noWrap w:val="0"/>
            <w:vAlign w:val="center"/>
          </w:tcPr>
          <w:p w14:paraId="0C79E79F">
            <w:pPr>
              <w:jc w:val="center"/>
              <w:rPr>
                <w:color w:val="auto"/>
              </w:rPr>
            </w:pPr>
          </w:p>
        </w:tc>
        <w:tc>
          <w:tcPr>
            <w:tcW w:w="1108" w:type="dxa"/>
            <w:noWrap w:val="0"/>
            <w:vAlign w:val="center"/>
          </w:tcPr>
          <w:p w14:paraId="7F2CC9B4">
            <w:pPr>
              <w:jc w:val="center"/>
              <w:rPr>
                <w:color w:val="auto"/>
              </w:rPr>
            </w:pPr>
            <w:r>
              <w:rPr>
                <w:rFonts w:hint="eastAsia" w:cs="宋体"/>
                <w:color w:val="auto"/>
              </w:rPr>
              <w:t>学历</w:t>
            </w:r>
          </w:p>
        </w:tc>
        <w:tc>
          <w:tcPr>
            <w:tcW w:w="1531" w:type="dxa"/>
            <w:gridSpan w:val="4"/>
            <w:noWrap w:val="0"/>
            <w:vAlign w:val="center"/>
          </w:tcPr>
          <w:p w14:paraId="03BACD47">
            <w:pPr>
              <w:jc w:val="center"/>
              <w:rPr>
                <w:color w:val="auto"/>
              </w:rPr>
            </w:pPr>
          </w:p>
        </w:tc>
      </w:tr>
      <w:tr w14:paraId="5FB3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14:paraId="02BD4777">
            <w:pPr>
              <w:jc w:val="center"/>
              <w:rPr>
                <w:rFonts w:hint="eastAsia" w:cs="宋体"/>
                <w:color w:val="auto"/>
              </w:rPr>
            </w:pPr>
            <w:r>
              <w:rPr>
                <w:rFonts w:hint="eastAsia" w:cs="宋体"/>
                <w:color w:val="auto"/>
              </w:rPr>
              <w:t>从业开始时间</w:t>
            </w:r>
          </w:p>
        </w:tc>
        <w:tc>
          <w:tcPr>
            <w:tcW w:w="2318" w:type="dxa"/>
            <w:gridSpan w:val="5"/>
            <w:noWrap w:val="0"/>
            <w:vAlign w:val="center"/>
          </w:tcPr>
          <w:p w14:paraId="0E855DA9">
            <w:pPr>
              <w:jc w:val="center"/>
              <w:rPr>
                <w:color w:val="auto"/>
              </w:rPr>
            </w:pPr>
          </w:p>
        </w:tc>
        <w:tc>
          <w:tcPr>
            <w:tcW w:w="1893" w:type="dxa"/>
            <w:gridSpan w:val="5"/>
            <w:noWrap w:val="0"/>
            <w:vAlign w:val="center"/>
          </w:tcPr>
          <w:p w14:paraId="5890DEEA">
            <w:pPr>
              <w:jc w:val="center"/>
              <w:rPr>
                <w:rFonts w:hint="eastAsia" w:cs="宋体"/>
                <w:color w:val="auto"/>
              </w:rPr>
            </w:pPr>
            <w:r>
              <w:rPr>
                <w:rFonts w:hint="eastAsia" w:cs="宋体"/>
                <w:color w:val="auto"/>
              </w:rPr>
              <w:t>职称</w:t>
            </w:r>
            <w:r>
              <w:rPr>
                <w:rFonts w:cs="宋体"/>
                <w:color w:val="auto"/>
              </w:rPr>
              <w:t>获</w:t>
            </w:r>
            <w:r>
              <w:rPr>
                <w:rFonts w:hint="eastAsia" w:cs="宋体"/>
                <w:color w:val="auto"/>
              </w:rPr>
              <w:t>得</w:t>
            </w:r>
            <w:r>
              <w:rPr>
                <w:rFonts w:cs="宋体"/>
                <w:color w:val="auto"/>
              </w:rPr>
              <w:t>时间</w:t>
            </w:r>
          </w:p>
        </w:tc>
        <w:tc>
          <w:tcPr>
            <w:tcW w:w="1585" w:type="dxa"/>
            <w:gridSpan w:val="3"/>
            <w:noWrap w:val="0"/>
            <w:vAlign w:val="center"/>
          </w:tcPr>
          <w:p w14:paraId="05BD54A4">
            <w:pPr>
              <w:jc w:val="center"/>
              <w:rPr>
                <w:color w:val="auto"/>
              </w:rPr>
            </w:pPr>
          </w:p>
        </w:tc>
        <w:tc>
          <w:tcPr>
            <w:tcW w:w="1108" w:type="dxa"/>
            <w:noWrap w:val="0"/>
            <w:vAlign w:val="center"/>
          </w:tcPr>
          <w:p w14:paraId="03E70AFC">
            <w:pPr>
              <w:jc w:val="center"/>
              <w:rPr>
                <w:rFonts w:hint="eastAsia" w:cs="宋体"/>
                <w:color w:val="auto"/>
              </w:rPr>
            </w:pPr>
            <w:r>
              <w:rPr>
                <w:rFonts w:hint="eastAsia" w:cs="宋体"/>
                <w:color w:val="auto"/>
              </w:rPr>
              <w:t>毕业时间</w:t>
            </w:r>
          </w:p>
        </w:tc>
        <w:tc>
          <w:tcPr>
            <w:tcW w:w="1531" w:type="dxa"/>
            <w:gridSpan w:val="4"/>
            <w:noWrap w:val="0"/>
            <w:vAlign w:val="center"/>
          </w:tcPr>
          <w:p w14:paraId="4F32B334">
            <w:pPr>
              <w:jc w:val="center"/>
              <w:rPr>
                <w:color w:val="auto"/>
              </w:rPr>
            </w:pPr>
          </w:p>
        </w:tc>
      </w:tr>
      <w:tr w14:paraId="3345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19DD3F09">
            <w:pPr>
              <w:jc w:val="center"/>
              <w:rPr>
                <w:color w:val="auto"/>
              </w:rPr>
            </w:pPr>
            <w:r>
              <w:rPr>
                <w:rFonts w:hint="eastAsia" w:cs="宋体"/>
                <w:color w:val="auto"/>
              </w:rPr>
              <w:t>担任项目经理年限</w:t>
            </w:r>
          </w:p>
        </w:tc>
        <w:tc>
          <w:tcPr>
            <w:tcW w:w="2563" w:type="dxa"/>
            <w:gridSpan w:val="6"/>
            <w:noWrap w:val="0"/>
            <w:vAlign w:val="center"/>
          </w:tcPr>
          <w:p w14:paraId="4CC7A9E3">
            <w:pPr>
              <w:jc w:val="center"/>
              <w:rPr>
                <w:color w:val="auto"/>
              </w:rPr>
            </w:pPr>
          </w:p>
        </w:tc>
        <w:tc>
          <w:tcPr>
            <w:tcW w:w="1209" w:type="dxa"/>
            <w:noWrap w:val="0"/>
            <w:vAlign w:val="center"/>
          </w:tcPr>
          <w:p w14:paraId="378615DB">
            <w:pPr>
              <w:jc w:val="center"/>
              <w:rPr>
                <w:color w:val="auto"/>
              </w:rPr>
            </w:pPr>
            <w:r>
              <w:rPr>
                <w:rFonts w:hint="eastAsia"/>
                <w:color w:val="auto"/>
              </w:rPr>
              <w:t>身份</w:t>
            </w:r>
            <w:r>
              <w:rPr>
                <w:color w:val="auto"/>
              </w:rPr>
              <w:t>证号码</w:t>
            </w:r>
          </w:p>
        </w:tc>
        <w:tc>
          <w:tcPr>
            <w:tcW w:w="4608" w:type="dxa"/>
            <w:gridSpan w:val="10"/>
            <w:noWrap w:val="0"/>
            <w:vAlign w:val="center"/>
          </w:tcPr>
          <w:p w14:paraId="0511411D">
            <w:pPr>
              <w:jc w:val="center"/>
              <w:rPr>
                <w:color w:val="auto"/>
              </w:rPr>
            </w:pPr>
          </w:p>
        </w:tc>
      </w:tr>
      <w:tr w14:paraId="4667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72AFCA81">
            <w:pPr>
              <w:jc w:val="center"/>
              <w:rPr>
                <w:color w:val="auto"/>
              </w:rPr>
            </w:pPr>
            <w:r>
              <w:rPr>
                <w:rFonts w:hint="eastAsia"/>
                <w:color w:val="auto"/>
              </w:rPr>
              <w:t>证书名称</w:t>
            </w:r>
          </w:p>
        </w:tc>
        <w:tc>
          <w:tcPr>
            <w:tcW w:w="1275" w:type="dxa"/>
            <w:gridSpan w:val="2"/>
            <w:noWrap w:val="0"/>
            <w:vAlign w:val="center"/>
          </w:tcPr>
          <w:p w14:paraId="583E1F05">
            <w:pPr>
              <w:jc w:val="center"/>
              <w:rPr>
                <w:color w:val="auto"/>
              </w:rPr>
            </w:pPr>
            <w:r>
              <w:rPr>
                <w:rFonts w:hint="eastAsia"/>
                <w:color w:val="auto"/>
              </w:rPr>
              <w:t>注册专业</w:t>
            </w:r>
          </w:p>
        </w:tc>
        <w:tc>
          <w:tcPr>
            <w:tcW w:w="1222" w:type="dxa"/>
            <w:gridSpan w:val="3"/>
            <w:noWrap w:val="0"/>
            <w:vAlign w:val="center"/>
          </w:tcPr>
          <w:p w14:paraId="7E784BCE">
            <w:pPr>
              <w:jc w:val="center"/>
              <w:rPr>
                <w:color w:val="auto"/>
              </w:rPr>
            </w:pPr>
            <w:r>
              <w:rPr>
                <w:color w:val="auto"/>
              </w:rPr>
              <w:t>级别</w:t>
            </w:r>
          </w:p>
        </w:tc>
        <w:tc>
          <w:tcPr>
            <w:tcW w:w="1417" w:type="dxa"/>
            <w:gridSpan w:val="3"/>
            <w:noWrap w:val="0"/>
            <w:vAlign w:val="center"/>
          </w:tcPr>
          <w:p w14:paraId="61B09334">
            <w:pPr>
              <w:jc w:val="center"/>
              <w:rPr>
                <w:color w:val="auto"/>
              </w:rPr>
            </w:pPr>
            <w:r>
              <w:rPr>
                <w:rFonts w:hint="eastAsia" w:cs="宋体"/>
                <w:color w:val="auto"/>
              </w:rPr>
              <w:t>证书编号</w:t>
            </w:r>
          </w:p>
        </w:tc>
        <w:tc>
          <w:tcPr>
            <w:tcW w:w="1418" w:type="dxa"/>
            <w:gridSpan w:val="3"/>
            <w:noWrap w:val="0"/>
            <w:vAlign w:val="center"/>
          </w:tcPr>
          <w:p w14:paraId="5C266F8B">
            <w:pPr>
              <w:jc w:val="center"/>
              <w:rPr>
                <w:color w:val="auto"/>
              </w:rPr>
            </w:pPr>
            <w:r>
              <w:rPr>
                <w:rFonts w:hint="eastAsia"/>
                <w:color w:val="auto"/>
              </w:rPr>
              <w:t>注册时间</w:t>
            </w:r>
          </w:p>
        </w:tc>
        <w:tc>
          <w:tcPr>
            <w:tcW w:w="1632" w:type="dxa"/>
            <w:gridSpan w:val="4"/>
            <w:noWrap w:val="0"/>
            <w:vAlign w:val="center"/>
          </w:tcPr>
          <w:p w14:paraId="53A63E05">
            <w:pPr>
              <w:jc w:val="center"/>
              <w:rPr>
                <w:color w:val="auto"/>
              </w:rPr>
            </w:pPr>
            <w:r>
              <w:rPr>
                <w:rFonts w:hint="eastAsia"/>
                <w:color w:val="auto"/>
              </w:rPr>
              <w:t>注册单位</w:t>
            </w:r>
          </w:p>
        </w:tc>
        <w:tc>
          <w:tcPr>
            <w:tcW w:w="1416" w:type="dxa"/>
            <w:gridSpan w:val="2"/>
            <w:noWrap w:val="0"/>
            <w:vAlign w:val="center"/>
          </w:tcPr>
          <w:p w14:paraId="5B51AE09">
            <w:pPr>
              <w:jc w:val="center"/>
              <w:rPr>
                <w:color w:val="auto"/>
              </w:rPr>
            </w:pPr>
            <w:r>
              <w:rPr>
                <w:rFonts w:hint="eastAsia"/>
                <w:color w:val="auto"/>
              </w:rPr>
              <w:t>注册有效期</w:t>
            </w:r>
          </w:p>
        </w:tc>
      </w:tr>
      <w:tr w14:paraId="4A05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1BBDA478">
            <w:pPr>
              <w:jc w:val="center"/>
              <w:rPr>
                <w:rFonts w:hint="eastAsia"/>
                <w:color w:val="auto"/>
              </w:rPr>
            </w:pPr>
          </w:p>
        </w:tc>
        <w:tc>
          <w:tcPr>
            <w:tcW w:w="1275" w:type="dxa"/>
            <w:gridSpan w:val="2"/>
            <w:noWrap w:val="0"/>
            <w:vAlign w:val="center"/>
          </w:tcPr>
          <w:p w14:paraId="2677104C">
            <w:pPr>
              <w:jc w:val="center"/>
              <w:rPr>
                <w:rFonts w:hint="eastAsia"/>
                <w:color w:val="auto"/>
              </w:rPr>
            </w:pPr>
          </w:p>
        </w:tc>
        <w:tc>
          <w:tcPr>
            <w:tcW w:w="1222" w:type="dxa"/>
            <w:gridSpan w:val="3"/>
            <w:noWrap w:val="0"/>
            <w:vAlign w:val="center"/>
          </w:tcPr>
          <w:p w14:paraId="19A8A865">
            <w:pPr>
              <w:jc w:val="center"/>
              <w:rPr>
                <w:rFonts w:hint="eastAsia" w:cs="宋体"/>
                <w:color w:val="auto"/>
              </w:rPr>
            </w:pPr>
          </w:p>
        </w:tc>
        <w:tc>
          <w:tcPr>
            <w:tcW w:w="1417" w:type="dxa"/>
            <w:gridSpan w:val="3"/>
            <w:noWrap w:val="0"/>
            <w:vAlign w:val="center"/>
          </w:tcPr>
          <w:p w14:paraId="0554A2D4">
            <w:pPr>
              <w:jc w:val="center"/>
              <w:rPr>
                <w:rFonts w:hint="eastAsia"/>
                <w:color w:val="auto"/>
              </w:rPr>
            </w:pPr>
          </w:p>
        </w:tc>
        <w:tc>
          <w:tcPr>
            <w:tcW w:w="1418" w:type="dxa"/>
            <w:gridSpan w:val="3"/>
            <w:noWrap w:val="0"/>
            <w:vAlign w:val="center"/>
          </w:tcPr>
          <w:p w14:paraId="4B3791D5">
            <w:pPr>
              <w:jc w:val="center"/>
              <w:rPr>
                <w:rFonts w:hint="eastAsia"/>
                <w:color w:val="auto"/>
              </w:rPr>
            </w:pPr>
          </w:p>
        </w:tc>
        <w:tc>
          <w:tcPr>
            <w:tcW w:w="1632" w:type="dxa"/>
            <w:gridSpan w:val="4"/>
            <w:noWrap w:val="0"/>
            <w:vAlign w:val="center"/>
          </w:tcPr>
          <w:p w14:paraId="251196E8">
            <w:pPr>
              <w:jc w:val="center"/>
              <w:rPr>
                <w:rFonts w:hint="eastAsia"/>
                <w:color w:val="auto"/>
              </w:rPr>
            </w:pPr>
          </w:p>
        </w:tc>
        <w:tc>
          <w:tcPr>
            <w:tcW w:w="1416" w:type="dxa"/>
            <w:gridSpan w:val="2"/>
            <w:noWrap w:val="0"/>
            <w:vAlign w:val="center"/>
          </w:tcPr>
          <w:p w14:paraId="4D43580A">
            <w:pPr>
              <w:jc w:val="center"/>
              <w:rPr>
                <w:rFonts w:hint="eastAsia"/>
                <w:color w:val="auto"/>
              </w:rPr>
            </w:pPr>
          </w:p>
        </w:tc>
      </w:tr>
      <w:tr w14:paraId="4760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4A80373F">
            <w:pPr>
              <w:jc w:val="center"/>
              <w:rPr>
                <w:rFonts w:hint="eastAsia"/>
                <w:color w:val="auto"/>
              </w:rPr>
            </w:pPr>
            <w:r>
              <w:rPr>
                <w:rFonts w:hint="eastAsia"/>
                <w:color w:val="auto"/>
              </w:rPr>
              <w:t>安全生产考核合格证书</w:t>
            </w:r>
          </w:p>
        </w:tc>
        <w:tc>
          <w:tcPr>
            <w:tcW w:w="1275" w:type="dxa"/>
            <w:gridSpan w:val="2"/>
            <w:noWrap w:val="0"/>
            <w:vAlign w:val="center"/>
          </w:tcPr>
          <w:p w14:paraId="3F326F36">
            <w:pPr>
              <w:jc w:val="center"/>
              <w:rPr>
                <w:rFonts w:hint="eastAsia"/>
                <w:color w:val="auto"/>
              </w:rPr>
            </w:pPr>
          </w:p>
        </w:tc>
        <w:tc>
          <w:tcPr>
            <w:tcW w:w="1222" w:type="dxa"/>
            <w:gridSpan w:val="3"/>
            <w:noWrap w:val="0"/>
            <w:vAlign w:val="center"/>
          </w:tcPr>
          <w:p w14:paraId="5DB3CC92">
            <w:pPr>
              <w:jc w:val="center"/>
              <w:rPr>
                <w:rFonts w:hint="eastAsia" w:cs="宋体"/>
                <w:color w:val="auto"/>
              </w:rPr>
            </w:pPr>
            <w:r>
              <w:rPr>
                <w:rFonts w:hint="eastAsia"/>
                <w:color w:val="auto"/>
              </w:rPr>
              <w:t>B类</w:t>
            </w:r>
          </w:p>
        </w:tc>
        <w:tc>
          <w:tcPr>
            <w:tcW w:w="1417" w:type="dxa"/>
            <w:gridSpan w:val="3"/>
            <w:noWrap w:val="0"/>
            <w:vAlign w:val="center"/>
          </w:tcPr>
          <w:p w14:paraId="6C9B7C0E">
            <w:pPr>
              <w:jc w:val="center"/>
              <w:rPr>
                <w:rFonts w:hint="eastAsia"/>
                <w:color w:val="auto"/>
              </w:rPr>
            </w:pPr>
          </w:p>
        </w:tc>
        <w:tc>
          <w:tcPr>
            <w:tcW w:w="1418" w:type="dxa"/>
            <w:gridSpan w:val="3"/>
            <w:noWrap w:val="0"/>
            <w:vAlign w:val="center"/>
          </w:tcPr>
          <w:p w14:paraId="6DAA6F68">
            <w:pPr>
              <w:jc w:val="center"/>
              <w:rPr>
                <w:rFonts w:hint="eastAsia"/>
                <w:color w:val="auto"/>
              </w:rPr>
            </w:pPr>
          </w:p>
        </w:tc>
        <w:tc>
          <w:tcPr>
            <w:tcW w:w="1632" w:type="dxa"/>
            <w:gridSpan w:val="4"/>
            <w:noWrap w:val="0"/>
            <w:vAlign w:val="center"/>
          </w:tcPr>
          <w:p w14:paraId="1C731A88">
            <w:pPr>
              <w:jc w:val="center"/>
              <w:rPr>
                <w:rFonts w:hint="eastAsia"/>
                <w:color w:val="auto"/>
              </w:rPr>
            </w:pPr>
          </w:p>
        </w:tc>
        <w:tc>
          <w:tcPr>
            <w:tcW w:w="1416" w:type="dxa"/>
            <w:gridSpan w:val="2"/>
            <w:noWrap w:val="0"/>
            <w:vAlign w:val="center"/>
          </w:tcPr>
          <w:p w14:paraId="2F4C856F">
            <w:pPr>
              <w:jc w:val="center"/>
              <w:rPr>
                <w:rFonts w:hint="eastAsia"/>
                <w:color w:val="auto"/>
              </w:rPr>
            </w:pPr>
          </w:p>
        </w:tc>
      </w:tr>
      <w:tr w14:paraId="2241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0"/>
            <w:vAlign w:val="center"/>
          </w:tcPr>
          <w:p w14:paraId="017F195F">
            <w:pPr>
              <w:jc w:val="center"/>
              <w:rPr>
                <w:color w:val="auto"/>
              </w:rPr>
            </w:pPr>
            <w:r>
              <w:rPr>
                <w:rFonts w:hint="eastAsia" w:cs="宋体"/>
                <w:color w:val="auto"/>
              </w:rPr>
              <w:t>在建和已完工程项目情况</w:t>
            </w:r>
          </w:p>
        </w:tc>
      </w:tr>
      <w:tr w14:paraId="2DBD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29ACF485">
            <w:pPr>
              <w:jc w:val="center"/>
              <w:rPr>
                <w:color w:val="auto"/>
              </w:rPr>
            </w:pPr>
          </w:p>
        </w:tc>
        <w:tc>
          <w:tcPr>
            <w:tcW w:w="1548" w:type="dxa"/>
            <w:gridSpan w:val="2"/>
            <w:noWrap w:val="0"/>
            <w:vAlign w:val="center"/>
          </w:tcPr>
          <w:p w14:paraId="756A411A">
            <w:pPr>
              <w:jc w:val="center"/>
              <w:rPr>
                <w:rFonts w:hint="eastAsia"/>
                <w:color w:val="auto"/>
              </w:rPr>
            </w:pPr>
            <w:r>
              <w:rPr>
                <w:rFonts w:hint="eastAsia"/>
                <w:color w:val="auto"/>
              </w:rPr>
              <w:t>项目1</w:t>
            </w:r>
          </w:p>
        </w:tc>
        <w:tc>
          <w:tcPr>
            <w:tcW w:w="1837" w:type="dxa"/>
            <w:gridSpan w:val="4"/>
            <w:noWrap w:val="0"/>
            <w:vAlign w:val="center"/>
          </w:tcPr>
          <w:p w14:paraId="4F46ABF7">
            <w:pPr>
              <w:jc w:val="center"/>
              <w:rPr>
                <w:color w:val="auto"/>
              </w:rPr>
            </w:pPr>
            <w:r>
              <w:rPr>
                <w:rFonts w:hint="eastAsia"/>
                <w:color w:val="auto"/>
              </w:rPr>
              <w:t>项目2</w:t>
            </w:r>
          </w:p>
        </w:tc>
        <w:tc>
          <w:tcPr>
            <w:tcW w:w="1472" w:type="dxa"/>
            <w:gridSpan w:val="3"/>
            <w:noWrap w:val="0"/>
            <w:vAlign w:val="center"/>
          </w:tcPr>
          <w:p w14:paraId="4BDAF8E9">
            <w:pPr>
              <w:jc w:val="center"/>
              <w:rPr>
                <w:color w:val="auto"/>
              </w:rPr>
            </w:pPr>
            <w:r>
              <w:rPr>
                <w:rFonts w:hint="eastAsia"/>
                <w:color w:val="auto"/>
              </w:rPr>
              <w:t>项目3</w:t>
            </w:r>
          </w:p>
        </w:tc>
        <w:tc>
          <w:tcPr>
            <w:tcW w:w="1641" w:type="dxa"/>
            <w:gridSpan w:val="4"/>
            <w:noWrap w:val="0"/>
            <w:vAlign w:val="center"/>
          </w:tcPr>
          <w:p w14:paraId="4D36FBB1">
            <w:pPr>
              <w:jc w:val="center"/>
              <w:rPr>
                <w:color w:val="auto"/>
              </w:rPr>
            </w:pPr>
            <w:r>
              <w:rPr>
                <w:rFonts w:hint="eastAsia"/>
                <w:color w:val="auto"/>
              </w:rPr>
              <w:t>项目4</w:t>
            </w:r>
          </w:p>
        </w:tc>
        <w:tc>
          <w:tcPr>
            <w:tcW w:w="1484" w:type="dxa"/>
            <w:gridSpan w:val="2"/>
            <w:noWrap w:val="0"/>
            <w:vAlign w:val="center"/>
          </w:tcPr>
          <w:p w14:paraId="0B48507E">
            <w:pPr>
              <w:jc w:val="center"/>
              <w:rPr>
                <w:color w:val="auto"/>
              </w:rPr>
            </w:pPr>
            <w:r>
              <w:rPr>
                <w:rFonts w:hint="eastAsia"/>
                <w:color w:val="auto"/>
              </w:rPr>
              <w:t>……</w:t>
            </w:r>
          </w:p>
        </w:tc>
      </w:tr>
      <w:tr w14:paraId="6BAB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5675D1AE">
            <w:pPr>
              <w:jc w:val="center"/>
              <w:rPr>
                <w:color w:val="auto"/>
              </w:rPr>
            </w:pPr>
            <w:r>
              <w:rPr>
                <w:rFonts w:hint="eastAsia"/>
                <w:color w:val="auto"/>
              </w:rPr>
              <w:t>项目名称</w:t>
            </w:r>
          </w:p>
        </w:tc>
        <w:tc>
          <w:tcPr>
            <w:tcW w:w="1548" w:type="dxa"/>
            <w:gridSpan w:val="2"/>
            <w:noWrap w:val="0"/>
            <w:vAlign w:val="center"/>
          </w:tcPr>
          <w:p w14:paraId="486E86C3">
            <w:pPr>
              <w:jc w:val="center"/>
              <w:rPr>
                <w:color w:val="auto"/>
              </w:rPr>
            </w:pPr>
          </w:p>
        </w:tc>
        <w:tc>
          <w:tcPr>
            <w:tcW w:w="1837" w:type="dxa"/>
            <w:gridSpan w:val="4"/>
            <w:noWrap w:val="0"/>
            <w:vAlign w:val="center"/>
          </w:tcPr>
          <w:p w14:paraId="2E77E876">
            <w:pPr>
              <w:jc w:val="center"/>
              <w:rPr>
                <w:color w:val="auto"/>
              </w:rPr>
            </w:pPr>
          </w:p>
        </w:tc>
        <w:tc>
          <w:tcPr>
            <w:tcW w:w="1472" w:type="dxa"/>
            <w:gridSpan w:val="3"/>
            <w:noWrap w:val="0"/>
            <w:vAlign w:val="center"/>
          </w:tcPr>
          <w:p w14:paraId="07331CD9">
            <w:pPr>
              <w:jc w:val="center"/>
              <w:rPr>
                <w:color w:val="auto"/>
              </w:rPr>
            </w:pPr>
          </w:p>
        </w:tc>
        <w:tc>
          <w:tcPr>
            <w:tcW w:w="1641" w:type="dxa"/>
            <w:gridSpan w:val="4"/>
            <w:noWrap w:val="0"/>
            <w:vAlign w:val="center"/>
          </w:tcPr>
          <w:p w14:paraId="211A8A3A">
            <w:pPr>
              <w:jc w:val="center"/>
              <w:rPr>
                <w:color w:val="auto"/>
              </w:rPr>
            </w:pPr>
          </w:p>
        </w:tc>
        <w:tc>
          <w:tcPr>
            <w:tcW w:w="1484" w:type="dxa"/>
            <w:gridSpan w:val="2"/>
            <w:noWrap w:val="0"/>
            <w:vAlign w:val="center"/>
          </w:tcPr>
          <w:p w14:paraId="3CEC6761">
            <w:pPr>
              <w:jc w:val="center"/>
              <w:rPr>
                <w:color w:val="auto"/>
              </w:rPr>
            </w:pPr>
          </w:p>
        </w:tc>
      </w:tr>
      <w:tr w14:paraId="30A4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0788AD42">
            <w:pPr>
              <w:jc w:val="center"/>
              <w:rPr>
                <w:color w:val="auto"/>
              </w:rPr>
            </w:pPr>
            <w:r>
              <w:rPr>
                <w:rFonts w:hint="eastAsia" w:cs="宋体"/>
                <w:color w:val="auto"/>
              </w:rPr>
              <w:t>建设单位</w:t>
            </w:r>
          </w:p>
        </w:tc>
        <w:tc>
          <w:tcPr>
            <w:tcW w:w="1548" w:type="dxa"/>
            <w:gridSpan w:val="2"/>
            <w:noWrap w:val="0"/>
            <w:vAlign w:val="center"/>
          </w:tcPr>
          <w:p w14:paraId="38D7EACD">
            <w:pPr>
              <w:jc w:val="center"/>
              <w:rPr>
                <w:color w:val="auto"/>
              </w:rPr>
            </w:pPr>
          </w:p>
        </w:tc>
        <w:tc>
          <w:tcPr>
            <w:tcW w:w="1837" w:type="dxa"/>
            <w:gridSpan w:val="4"/>
            <w:noWrap w:val="0"/>
            <w:vAlign w:val="center"/>
          </w:tcPr>
          <w:p w14:paraId="278E11E6">
            <w:pPr>
              <w:jc w:val="center"/>
              <w:rPr>
                <w:color w:val="auto"/>
              </w:rPr>
            </w:pPr>
          </w:p>
        </w:tc>
        <w:tc>
          <w:tcPr>
            <w:tcW w:w="1472" w:type="dxa"/>
            <w:gridSpan w:val="3"/>
            <w:noWrap w:val="0"/>
            <w:vAlign w:val="center"/>
          </w:tcPr>
          <w:p w14:paraId="137E2B5E">
            <w:pPr>
              <w:jc w:val="center"/>
              <w:rPr>
                <w:color w:val="auto"/>
              </w:rPr>
            </w:pPr>
          </w:p>
        </w:tc>
        <w:tc>
          <w:tcPr>
            <w:tcW w:w="1641" w:type="dxa"/>
            <w:gridSpan w:val="4"/>
            <w:noWrap w:val="0"/>
            <w:vAlign w:val="center"/>
          </w:tcPr>
          <w:p w14:paraId="1BBE26CE">
            <w:pPr>
              <w:jc w:val="center"/>
              <w:rPr>
                <w:color w:val="auto"/>
              </w:rPr>
            </w:pPr>
          </w:p>
        </w:tc>
        <w:tc>
          <w:tcPr>
            <w:tcW w:w="1484" w:type="dxa"/>
            <w:gridSpan w:val="2"/>
            <w:noWrap w:val="0"/>
            <w:vAlign w:val="center"/>
          </w:tcPr>
          <w:p w14:paraId="0206A893">
            <w:pPr>
              <w:jc w:val="center"/>
              <w:rPr>
                <w:color w:val="auto"/>
              </w:rPr>
            </w:pPr>
          </w:p>
        </w:tc>
      </w:tr>
      <w:tr w14:paraId="5346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750B12FD">
            <w:pPr>
              <w:jc w:val="center"/>
              <w:rPr>
                <w:color w:val="auto"/>
              </w:rPr>
            </w:pPr>
            <w:r>
              <w:rPr>
                <w:rFonts w:hint="eastAsia" w:cs="宋体"/>
                <w:color w:val="auto"/>
              </w:rPr>
              <w:t>建设规模</w:t>
            </w:r>
          </w:p>
        </w:tc>
        <w:tc>
          <w:tcPr>
            <w:tcW w:w="1548" w:type="dxa"/>
            <w:gridSpan w:val="2"/>
            <w:noWrap w:val="0"/>
            <w:vAlign w:val="center"/>
          </w:tcPr>
          <w:p w14:paraId="47DFB927">
            <w:pPr>
              <w:jc w:val="center"/>
              <w:rPr>
                <w:color w:val="auto"/>
              </w:rPr>
            </w:pPr>
          </w:p>
        </w:tc>
        <w:tc>
          <w:tcPr>
            <w:tcW w:w="1837" w:type="dxa"/>
            <w:gridSpan w:val="4"/>
            <w:noWrap w:val="0"/>
            <w:vAlign w:val="center"/>
          </w:tcPr>
          <w:p w14:paraId="0D973E42">
            <w:pPr>
              <w:jc w:val="center"/>
              <w:rPr>
                <w:color w:val="auto"/>
              </w:rPr>
            </w:pPr>
          </w:p>
        </w:tc>
        <w:tc>
          <w:tcPr>
            <w:tcW w:w="1472" w:type="dxa"/>
            <w:gridSpan w:val="3"/>
            <w:noWrap w:val="0"/>
            <w:vAlign w:val="center"/>
          </w:tcPr>
          <w:p w14:paraId="097D498D">
            <w:pPr>
              <w:jc w:val="center"/>
              <w:rPr>
                <w:color w:val="auto"/>
              </w:rPr>
            </w:pPr>
          </w:p>
        </w:tc>
        <w:tc>
          <w:tcPr>
            <w:tcW w:w="1641" w:type="dxa"/>
            <w:gridSpan w:val="4"/>
            <w:noWrap w:val="0"/>
            <w:vAlign w:val="center"/>
          </w:tcPr>
          <w:p w14:paraId="61F06644">
            <w:pPr>
              <w:jc w:val="center"/>
              <w:rPr>
                <w:color w:val="auto"/>
              </w:rPr>
            </w:pPr>
          </w:p>
        </w:tc>
        <w:tc>
          <w:tcPr>
            <w:tcW w:w="1484" w:type="dxa"/>
            <w:gridSpan w:val="2"/>
            <w:noWrap w:val="0"/>
            <w:vAlign w:val="center"/>
          </w:tcPr>
          <w:p w14:paraId="4BFB97E5">
            <w:pPr>
              <w:jc w:val="center"/>
              <w:rPr>
                <w:color w:val="auto"/>
              </w:rPr>
            </w:pPr>
          </w:p>
        </w:tc>
      </w:tr>
      <w:tr w14:paraId="5796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7D52808B">
            <w:pPr>
              <w:jc w:val="center"/>
              <w:rPr>
                <w:rFonts w:hint="eastAsia" w:ascii="宋体" w:hAnsi="宋体" w:cs="宋体"/>
                <w:color w:val="auto"/>
                <w:sz w:val="27"/>
                <w:szCs w:val="27"/>
                <w:lang w:bidi="ar"/>
              </w:rPr>
            </w:pPr>
            <w:r>
              <w:rPr>
                <w:rFonts w:hint="eastAsia" w:cs="宋体"/>
                <w:color w:val="auto"/>
              </w:rPr>
              <w:t>开工日期</w:t>
            </w:r>
          </w:p>
        </w:tc>
        <w:tc>
          <w:tcPr>
            <w:tcW w:w="1548" w:type="dxa"/>
            <w:gridSpan w:val="2"/>
            <w:noWrap w:val="0"/>
            <w:vAlign w:val="center"/>
          </w:tcPr>
          <w:p w14:paraId="40374906">
            <w:pPr>
              <w:jc w:val="center"/>
              <w:rPr>
                <w:color w:val="auto"/>
              </w:rPr>
            </w:pPr>
          </w:p>
        </w:tc>
        <w:tc>
          <w:tcPr>
            <w:tcW w:w="1837" w:type="dxa"/>
            <w:gridSpan w:val="4"/>
            <w:noWrap w:val="0"/>
            <w:vAlign w:val="center"/>
          </w:tcPr>
          <w:p w14:paraId="0650FE81">
            <w:pPr>
              <w:jc w:val="center"/>
              <w:rPr>
                <w:color w:val="auto"/>
              </w:rPr>
            </w:pPr>
          </w:p>
        </w:tc>
        <w:tc>
          <w:tcPr>
            <w:tcW w:w="1472" w:type="dxa"/>
            <w:gridSpan w:val="3"/>
            <w:noWrap w:val="0"/>
            <w:vAlign w:val="center"/>
          </w:tcPr>
          <w:p w14:paraId="7EB4F752">
            <w:pPr>
              <w:jc w:val="center"/>
              <w:rPr>
                <w:color w:val="auto"/>
              </w:rPr>
            </w:pPr>
          </w:p>
        </w:tc>
        <w:tc>
          <w:tcPr>
            <w:tcW w:w="1641" w:type="dxa"/>
            <w:gridSpan w:val="4"/>
            <w:noWrap w:val="0"/>
            <w:vAlign w:val="center"/>
          </w:tcPr>
          <w:p w14:paraId="1447FE53">
            <w:pPr>
              <w:jc w:val="center"/>
              <w:rPr>
                <w:color w:val="auto"/>
              </w:rPr>
            </w:pPr>
          </w:p>
        </w:tc>
        <w:tc>
          <w:tcPr>
            <w:tcW w:w="1484" w:type="dxa"/>
            <w:gridSpan w:val="2"/>
            <w:noWrap w:val="0"/>
            <w:vAlign w:val="center"/>
          </w:tcPr>
          <w:p w14:paraId="75AAAFD5">
            <w:pPr>
              <w:jc w:val="center"/>
              <w:rPr>
                <w:color w:val="auto"/>
              </w:rPr>
            </w:pPr>
          </w:p>
        </w:tc>
      </w:tr>
      <w:tr w14:paraId="5ABC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E269972">
            <w:pPr>
              <w:jc w:val="center"/>
              <w:rPr>
                <w:color w:val="auto"/>
              </w:rPr>
            </w:pPr>
            <w:r>
              <w:rPr>
                <w:rFonts w:hint="eastAsia" w:cs="宋体"/>
                <w:color w:val="auto"/>
              </w:rPr>
              <w:t>竣工日期</w:t>
            </w:r>
          </w:p>
        </w:tc>
        <w:tc>
          <w:tcPr>
            <w:tcW w:w="1548" w:type="dxa"/>
            <w:gridSpan w:val="2"/>
            <w:noWrap w:val="0"/>
            <w:vAlign w:val="center"/>
          </w:tcPr>
          <w:p w14:paraId="73DFA39E">
            <w:pPr>
              <w:jc w:val="center"/>
              <w:rPr>
                <w:color w:val="auto"/>
              </w:rPr>
            </w:pPr>
          </w:p>
        </w:tc>
        <w:tc>
          <w:tcPr>
            <w:tcW w:w="1837" w:type="dxa"/>
            <w:gridSpan w:val="4"/>
            <w:noWrap w:val="0"/>
            <w:vAlign w:val="center"/>
          </w:tcPr>
          <w:p w14:paraId="2A876A51">
            <w:pPr>
              <w:jc w:val="center"/>
              <w:rPr>
                <w:color w:val="auto"/>
              </w:rPr>
            </w:pPr>
          </w:p>
        </w:tc>
        <w:tc>
          <w:tcPr>
            <w:tcW w:w="1472" w:type="dxa"/>
            <w:gridSpan w:val="3"/>
            <w:noWrap w:val="0"/>
            <w:vAlign w:val="center"/>
          </w:tcPr>
          <w:p w14:paraId="1ECDE22C">
            <w:pPr>
              <w:jc w:val="center"/>
              <w:rPr>
                <w:color w:val="auto"/>
              </w:rPr>
            </w:pPr>
          </w:p>
        </w:tc>
        <w:tc>
          <w:tcPr>
            <w:tcW w:w="1641" w:type="dxa"/>
            <w:gridSpan w:val="4"/>
            <w:noWrap w:val="0"/>
            <w:vAlign w:val="center"/>
          </w:tcPr>
          <w:p w14:paraId="4A33C210">
            <w:pPr>
              <w:jc w:val="center"/>
              <w:rPr>
                <w:color w:val="auto"/>
              </w:rPr>
            </w:pPr>
          </w:p>
        </w:tc>
        <w:tc>
          <w:tcPr>
            <w:tcW w:w="1484" w:type="dxa"/>
            <w:gridSpan w:val="2"/>
            <w:noWrap w:val="0"/>
            <w:vAlign w:val="center"/>
          </w:tcPr>
          <w:p w14:paraId="10E941FD">
            <w:pPr>
              <w:jc w:val="center"/>
              <w:rPr>
                <w:color w:val="auto"/>
              </w:rPr>
            </w:pPr>
          </w:p>
        </w:tc>
      </w:tr>
      <w:tr w14:paraId="2417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8687E5A">
            <w:pPr>
              <w:jc w:val="center"/>
              <w:rPr>
                <w:rFonts w:hint="eastAsia" w:cs="宋体"/>
                <w:color w:val="auto"/>
              </w:rPr>
            </w:pPr>
            <w:r>
              <w:rPr>
                <w:rFonts w:hint="eastAsia" w:cs="宋体"/>
                <w:color w:val="auto"/>
              </w:rPr>
              <w:t>人员角色</w:t>
            </w:r>
          </w:p>
        </w:tc>
        <w:tc>
          <w:tcPr>
            <w:tcW w:w="1548" w:type="dxa"/>
            <w:gridSpan w:val="2"/>
            <w:noWrap w:val="0"/>
            <w:vAlign w:val="center"/>
          </w:tcPr>
          <w:p w14:paraId="1FA36475">
            <w:pPr>
              <w:jc w:val="center"/>
              <w:rPr>
                <w:color w:val="auto"/>
              </w:rPr>
            </w:pPr>
          </w:p>
        </w:tc>
        <w:tc>
          <w:tcPr>
            <w:tcW w:w="1837" w:type="dxa"/>
            <w:gridSpan w:val="4"/>
            <w:noWrap w:val="0"/>
            <w:vAlign w:val="center"/>
          </w:tcPr>
          <w:p w14:paraId="7BD447D0">
            <w:pPr>
              <w:jc w:val="center"/>
              <w:rPr>
                <w:color w:val="auto"/>
              </w:rPr>
            </w:pPr>
          </w:p>
        </w:tc>
        <w:tc>
          <w:tcPr>
            <w:tcW w:w="1472" w:type="dxa"/>
            <w:gridSpan w:val="3"/>
            <w:noWrap w:val="0"/>
            <w:vAlign w:val="center"/>
          </w:tcPr>
          <w:p w14:paraId="3D475C71">
            <w:pPr>
              <w:jc w:val="center"/>
              <w:rPr>
                <w:color w:val="auto"/>
              </w:rPr>
            </w:pPr>
          </w:p>
        </w:tc>
        <w:tc>
          <w:tcPr>
            <w:tcW w:w="1641" w:type="dxa"/>
            <w:gridSpan w:val="4"/>
            <w:noWrap w:val="0"/>
            <w:vAlign w:val="center"/>
          </w:tcPr>
          <w:p w14:paraId="49212A10">
            <w:pPr>
              <w:jc w:val="center"/>
              <w:rPr>
                <w:color w:val="auto"/>
              </w:rPr>
            </w:pPr>
          </w:p>
        </w:tc>
        <w:tc>
          <w:tcPr>
            <w:tcW w:w="1484" w:type="dxa"/>
            <w:gridSpan w:val="2"/>
            <w:noWrap w:val="0"/>
            <w:vAlign w:val="center"/>
          </w:tcPr>
          <w:p w14:paraId="115FCAAD">
            <w:pPr>
              <w:jc w:val="center"/>
              <w:rPr>
                <w:color w:val="auto"/>
              </w:rPr>
            </w:pPr>
          </w:p>
        </w:tc>
      </w:tr>
      <w:tr w14:paraId="47FE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22FE847A">
            <w:pPr>
              <w:jc w:val="center"/>
              <w:rPr>
                <w:rFonts w:hint="eastAsia" w:cs="宋体"/>
                <w:color w:val="auto"/>
              </w:rPr>
            </w:pPr>
            <w:r>
              <w:rPr>
                <w:rFonts w:hint="eastAsia" w:cs="宋体"/>
                <w:color w:val="auto"/>
              </w:rPr>
              <w:t>在建或已完</w:t>
            </w:r>
          </w:p>
        </w:tc>
        <w:tc>
          <w:tcPr>
            <w:tcW w:w="1548" w:type="dxa"/>
            <w:gridSpan w:val="2"/>
            <w:noWrap w:val="0"/>
            <w:vAlign w:val="center"/>
          </w:tcPr>
          <w:p w14:paraId="2251FA1B">
            <w:pPr>
              <w:jc w:val="center"/>
              <w:rPr>
                <w:color w:val="auto"/>
              </w:rPr>
            </w:pPr>
          </w:p>
        </w:tc>
        <w:tc>
          <w:tcPr>
            <w:tcW w:w="1837" w:type="dxa"/>
            <w:gridSpan w:val="4"/>
            <w:noWrap w:val="0"/>
            <w:vAlign w:val="center"/>
          </w:tcPr>
          <w:p w14:paraId="3A1C529D">
            <w:pPr>
              <w:jc w:val="center"/>
              <w:rPr>
                <w:color w:val="auto"/>
              </w:rPr>
            </w:pPr>
          </w:p>
        </w:tc>
        <w:tc>
          <w:tcPr>
            <w:tcW w:w="1472" w:type="dxa"/>
            <w:gridSpan w:val="3"/>
            <w:noWrap w:val="0"/>
            <w:vAlign w:val="center"/>
          </w:tcPr>
          <w:p w14:paraId="3C3D1EB2">
            <w:pPr>
              <w:jc w:val="center"/>
              <w:rPr>
                <w:color w:val="auto"/>
              </w:rPr>
            </w:pPr>
          </w:p>
        </w:tc>
        <w:tc>
          <w:tcPr>
            <w:tcW w:w="1641" w:type="dxa"/>
            <w:gridSpan w:val="4"/>
            <w:noWrap w:val="0"/>
            <w:vAlign w:val="center"/>
          </w:tcPr>
          <w:p w14:paraId="1083F3E3">
            <w:pPr>
              <w:jc w:val="center"/>
              <w:rPr>
                <w:color w:val="auto"/>
              </w:rPr>
            </w:pPr>
          </w:p>
        </w:tc>
        <w:tc>
          <w:tcPr>
            <w:tcW w:w="1484" w:type="dxa"/>
            <w:gridSpan w:val="2"/>
            <w:noWrap w:val="0"/>
            <w:vAlign w:val="center"/>
          </w:tcPr>
          <w:p w14:paraId="53B7B9BD">
            <w:pPr>
              <w:jc w:val="center"/>
              <w:rPr>
                <w:color w:val="auto"/>
              </w:rPr>
            </w:pPr>
          </w:p>
        </w:tc>
      </w:tr>
      <w:tr w14:paraId="1FAA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435FBB9">
            <w:pPr>
              <w:jc w:val="center"/>
              <w:rPr>
                <w:rFonts w:hint="eastAsia" w:cs="宋体"/>
                <w:color w:val="auto"/>
              </w:rPr>
            </w:pPr>
            <w:r>
              <w:rPr>
                <w:rFonts w:hint="eastAsia" w:cs="宋体"/>
                <w:color w:val="auto"/>
              </w:rPr>
              <w:t>工程质量</w:t>
            </w:r>
          </w:p>
        </w:tc>
        <w:tc>
          <w:tcPr>
            <w:tcW w:w="1548" w:type="dxa"/>
            <w:gridSpan w:val="2"/>
            <w:noWrap w:val="0"/>
            <w:vAlign w:val="center"/>
          </w:tcPr>
          <w:p w14:paraId="485E4738">
            <w:pPr>
              <w:jc w:val="center"/>
              <w:rPr>
                <w:color w:val="auto"/>
              </w:rPr>
            </w:pPr>
          </w:p>
        </w:tc>
        <w:tc>
          <w:tcPr>
            <w:tcW w:w="1837" w:type="dxa"/>
            <w:gridSpan w:val="4"/>
            <w:noWrap w:val="0"/>
            <w:vAlign w:val="center"/>
          </w:tcPr>
          <w:p w14:paraId="17374EBD">
            <w:pPr>
              <w:jc w:val="center"/>
              <w:rPr>
                <w:color w:val="auto"/>
              </w:rPr>
            </w:pPr>
          </w:p>
        </w:tc>
        <w:tc>
          <w:tcPr>
            <w:tcW w:w="1472" w:type="dxa"/>
            <w:gridSpan w:val="3"/>
            <w:noWrap w:val="0"/>
            <w:vAlign w:val="center"/>
          </w:tcPr>
          <w:p w14:paraId="7B70D296">
            <w:pPr>
              <w:jc w:val="center"/>
              <w:rPr>
                <w:color w:val="auto"/>
              </w:rPr>
            </w:pPr>
          </w:p>
        </w:tc>
        <w:tc>
          <w:tcPr>
            <w:tcW w:w="1641" w:type="dxa"/>
            <w:gridSpan w:val="4"/>
            <w:noWrap w:val="0"/>
            <w:vAlign w:val="center"/>
          </w:tcPr>
          <w:p w14:paraId="5A57755A">
            <w:pPr>
              <w:jc w:val="center"/>
              <w:rPr>
                <w:color w:val="auto"/>
              </w:rPr>
            </w:pPr>
          </w:p>
        </w:tc>
        <w:tc>
          <w:tcPr>
            <w:tcW w:w="1484" w:type="dxa"/>
            <w:gridSpan w:val="2"/>
            <w:noWrap w:val="0"/>
            <w:vAlign w:val="center"/>
          </w:tcPr>
          <w:p w14:paraId="0CC43D4C">
            <w:pPr>
              <w:jc w:val="center"/>
              <w:rPr>
                <w:color w:val="auto"/>
              </w:rPr>
            </w:pPr>
          </w:p>
        </w:tc>
      </w:tr>
      <w:tr w14:paraId="14A5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0170176C">
            <w:pPr>
              <w:jc w:val="center"/>
              <w:rPr>
                <w:rFonts w:hint="eastAsia" w:cs="宋体"/>
                <w:color w:val="auto"/>
              </w:rPr>
            </w:pPr>
            <w:r>
              <w:rPr>
                <w:rFonts w:hint="eastAsia" w:cs="宋体"/>
                <w:color w:val="auto"/>
              </w:rPr>
              <w:t>受奖情况</w:t>
            </w:r>
          </w:p>
        </w:tc>
        <w:tc>
          <w:tcPr>
            <w:tcW w:w="1548" w:type="dxa"/>
            <w:gridSpan w:val="2"/>
            <w:noWrap w:val="0"/>
            <w:vAlign w:val="center"/>
          </w:tcPr>
          <w:p w14:paraId="3B2BE572">
            <w:pPr>
              <w:jc w:val="center"/>
              <w:rPr>
                <w:color w:val="auto"/>
              </w:rPr>
            </w:pPr>
          </w:p>
        </w:tc>
        <w:tc>
          <w:tcPr>
            <w:tcW w:w="1837" w:type="dxa"/>
            <w:gridSpan w:val="4"/>
            <w:noWrap w:val="0"/>
            <w:vAlign w:val="center"/>
          </w:tcPr>
          <w:p w14:paraId="08F28F4D">
            <w:pPr>
              <w:jc w:val="center"/>
              <w:rPr>
                <w:color w:val="auto"/>
              </w:rPr>
            </w:pPr>
          </w:p>
        </w:tc>
        <w:tc>
          <w:tcPr>
            <w:tcW w:w="1472" w:type="dxa"/>
            <w:gridSpan w:val="3"/>
            <w:noWrap w:val="0"/>
            <w:vAlign w:val="center"/>
          </w:tcPr>
          <w:p w14:paraId="401890B6">
            <w:pPr>
              <w:jc w:val="center"/>
              <w:rPr>
                <w:color w:val="auto"/>
              </w:rPr>
            </w:pPr>
          </w:p>
        </w:tc>
        <w:tc>
          <w:tcPr>
            <w:tcW w:w="1641" w:type="dxa"/>
            <w:gridSpan w:val="4"/>
            <w:noWrap w:val="0"/>
            <w:vAlign w:val="center"/>
          </w:tcPr>
          <w:p w14:paraId="5B67F1CD">
            <w:pPr>
              <w:jc w:val="center"/>
              <w:rPr>
                <w:color w:val="auto"/>
              </w:rPr>
            </w:pPr>
          </w:p>
        </w:tc>
        <w:tc>
          <w:tcPr>
            <w:tcW w:w="1484" w:type="dxa"/>
            <w:gridSpan w:val="2"/>
            <w:noWrap w:val="0"/>
            <w:vAlign w:val="center"/>
          </w:tcPr>
          <w:p w14:paraId="70B8A7E4">
            <w:pPr>
              <w:jc w:val="center"/>
              <w:rPr>
                <w:color w:val="auto"/>
              </w:rPr>
            </w:pPr>
          </w:p>
        </w:tc>
      </w:tr>
    </w:tbl>
    <w:p w14:paraId="625A1B63">
      <w:pPr>
        <w:rPr>
          <w:rFonts w:ascii="宋体" w:hAnsi="宋体"/>
          <w:color w:val="auto"/>
          <w:szCs w:val="21"/>
        </w:rPr>
      </w:pPr>
      <w:r>
        <w:rPr>
          <w:rFonts w:hint="eastAsia" w:ascii="宋体" w:hAnsi="宋体" w:cs="楷体_GB2312"/>
          <w:color w:val="auto"/>
          <w:szCs w:val="21"/>
        </w:rPr>
        <w:t>备注：</w:t>
      </w:r>
    </w:p>
    <w:p w14:paraId="7D2D7B27">
      <w:pPr>
        <w:spacing w:line="360" w:lineRule="auto"/>
        <w:ind w:firstLine="420" w:firstLineChars="200"/>
        <w:rPr>
          <w:rFonts w:hint="eastAsia" w:ascii="宋体" w:hAnsi="宋体"/>
          <w:color w:val="auto"/>
          <w:szCs w:val="21"/>
        </w:rPr>
      </w:pPr>
      <w:r>
        <w:rPr>
          <w:rFonts w:hint="eastAsia" w:ascii="宋体" w:hAnsi="宋体"/>
          <w:color w:val="auto"/>
          <w:szCs w:val="21"/>
        </w:rPr>
        <w:t>1.项目</w:t>
      </w:r>
      <w:r>
        <w:rPr>
          <w:rFonts w:ascii="宋体" w:hAnsi="宋体"/>
          <w:color w:val="auto"/>
          <w:szCs w:val="21"/>
        </w:rPr>
        <w:t>数</w:t>
      </w:r>
      <w:r>
        <w:rPr>
          <w:rFonts w:hint="eastAsia" w:ascii="宋体" w:hAnsi="宋体"/>
          <w:color w:val="auto"/>
          <w:szCs w:val="21"/>
        </w:rPr>
        <w:t>可</w:t>
      </w:r>
      <w:r>
        <w:rPr>
          <w:rFonts w:ascii="宋体" w:hAnsi="宋体"/>
          <w:color w:val="auto"/>
          <w:szCs w:val="21"/>
        </w:rPr>
        <w:t>以根据需要增加</w:t>
      </w:r>
      <w:r>
        <w:rPr>
          <w:rFonts w:hint="eastAsia" w:ascii="宋体" w:hAnsi="宋体"/>
          <w:color w:val="auto"/>
          <w:szCs w:val="21"/>
        </w:rPr>
        <w:t>。</w:t>
      </w:r>
    </w:p>
    <w:p w14:paraId="3C986D0B">
      <w:pPr>
        <w:spacing w:line="360" w:lineRule="auto"/>
        <w:ind w:firstLine="420" w:firstLineChars="200"/>
        <w:rPr>
          <w:rFonts w:hint="eastAsia" w:ascii="宋体" w:hAnsi="宋体"/>
          <w:color w:val="auto"/>
          <w:szCs w:val="21"/>
        </w:rPr>
      </w:pPr>
      <w:r>
        <w:rPr>
          <w:rFonts w:hint="eastAsia" w:ascii="宋体" w:hAnsi="宋体"/>
          <w:color w:val="auto"/>
          <w:szCs w:val="21"/>
        </w:rPr>
        <w:t>2.本表后附项目经理的学历证、安全生产考核合格证（B类）、本表所列证书复印件并加盖供应商电子签章。</w:t>
      </w:r>
    </w:p>
    <w:p w14:paraId="41B704B6">
      <w:pPr>
        <w:spacing w:before="156" w:beforeLines="50"/>
        <w:ind w:firstLine="643" w:firstLineChars="200"/>
        <w:jc w:val="center"/>
        <w:rPr>
          <w:color w:val="auto"/>
          <w:sz w:val="28"/>
          <w:szCs w:val="28"/>
          <w:u w:val="single"/>
        </w:rPr>
      </w:pPr>
      <w:r>
        <w:rPr>
          <w:rFonts w:cs="宋体"/>
          <w:b/>
          <w:color w:val="auto"/>
          <w:sz w:val="32"/>
          <w:szCs w:val="32"/>
        </w:rPr>
        <w:br w:type="page"/>
      </w:r>
      <w:r>
        <w:rPr>
          <w:rFonts w:hint="eastAsia" w:cs="宋体"/>
          <w:b/>
          <w:color w:val="auto"/>
          <w:sz w:val="32"/>
          <w:szCs w:val="32"/>
        </w:rPr>
        <w:t>项目技术负责人（项目总工）简历表</w:t>
      </w:r>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768F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0992CF0F">
            <w:pPr>
              <w:jc w:val="center"/>
              <w:rPr>
                <w:color w:val="auto"/>
              </w:rPr>
            </w:pPr>
            <w:r>
              <w:rPr>
                <w:rFonts w:hint="eastAsia" w:cs="宋体"/>
                <w:color w:val="auto"/>
              </w:rPr>
              <w:t>姓名</w:t>
            </w:r>
          </w:p>
        </w:tc>
        <w:tc>
          <w:tcPr>
            <w:tcW w:w="2340" w:type="dxa"/>
            <w:gridSpan w:val="5"/>
            <w:noWrap w:val="0"/>
            <w:vAlign w:val="center"/>
          </w:tcPr>
          <w:p w14:paraId="7BDEC19D">
            <w:pPr>
              <w:jc w:val="center"/>
              <w:rPr>
                <w:color w:val="auto"/>
              </w:rPr>
            </w:pPr>
          </w:p>
        </w:tc>
        <w:tc>
          <w:tcPr>
            <w:tcW w:w="1893" w:type="dxa"/>
            <w:gridSpan w:val="5"/>
            <w:noWrap w:val="0"/>
            <w:vAlign w:val="center"/>
          </w:tcPr>
          <w:p w14:paraId="02A8FBD2">
            <w:pPr>
              <w:jc w:val="center"/>
              <w:rPr>
                <w:color w:val="auto"/>
              </w:rPr>
            </w:pPr>
            <w:r>
              <w:rPr>
                <w:rFonts w:hint="eastAsia" w:cs="宋体"/>
                <w:color w:val="auto"/>
              </w:rPr>
              <w:t>性别</w:t>
            </w:r>
          </w:p>
        </w:tc>
        <w:tc>
          <w:tcPr>
            <w:tcW w:w="1585" w:type="dxa"/>
            <w:gridSpan w:val="3"/>
            <w:noWrap w:val="0"/>
            <w:vAlign w:val="center"/>
          </w:tcPr>
          <w:p w14:paraId="726B2B89">
            <w:pPr>
              <w:jc w:val="center"/>
              <w:rPr>
                <w:color w:val="auto"/>
              </w:rPr>
            </w:pPr>
          </w:p>
        </w:tc>
        <w:tc>
          <w:tcPr>
            <w:tcW w:w="1108" w:type="dxa"/>
            <w:noWrap w:val="0"/>
            <w:vAlign w:val="center"/>
          </w:tcPr>
          <w:p w14:paraId="2508986A">
            <w:pPr>
              <w:jc w:val="center"/>
              <w:rPr>
                <w:color w:val="auto"/>
              </w:rPr>
            </w:pPr>
            <w:r>
              <w:rPr>
                <w:rFonts w:hint="eastAsia" w:cs="宋体"/>
                <w:color w:val="auto"/>
              </w:rPr>
              <w:t>年龄</w:t>
            </w:r>
          </w:p>
        </w:tc>
        <w:tc>
          <w:tcPr>
            <w:tcW w:w="1531" w:type="dxa"/>
            <w:gridSpan w:val="4"/>
            <w:noWrap w:val="0"/>
            <w:vAlign w:val="center"/>
          </w:tcPr>
          <w:p w14:paraId="4824AA88">
            <w:pPr>
              <w:jc w:val="center"/>
              <w:rPr>
                <w:color w:val="auto"/>
              </w:rPr>
            </w:pPr>
          </w:p>
        </w:tc>
      </w:tr>
      <w:tr w14:paraId="61A5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380D7919">
            <w:pPr>
              <w:jc w:val="center"/>
              <w:rPr>
                <w:color w:val="auto"/>
              </w:rPr>
            </w:pPr>
            <w:r>
              <w:rPr>
                <w:rFonts w:hint="eastAsia" w:cs="宋体"/>
                <w:color w:val="auto"/>
              </w:rPr>
              <w:t>岗位</w:t>
            </w:r>
          </w:p>
        </w:tc>
        <w:tc>
          <w:tcPr>
            <w:tcW w:w="2340" w:type="dxa"/>
            <w:gridSpan w:val="5"/>
            <w:noWrap w:val="0"/>
            <w:vAlign w:val="center"/>
          </w:tcPr>
          <w:p w14:paraId="570EBF9E">
            <w:pPr>
              <w:jc w:val="center"/>
              <w:rPr>
                <w:color w:val="auto"/>
              </w:rPr>
            </w:pPr>
            <w:r>
              <w:rPr>
                <w:rFonts w:hint="eastAsia"/>
                <w:color w:val="auto"/>
              </w:rPr>
              <w:t>技术负责人（项目总工）</w:t>
            </w:r>
          </w:p>
        </w:tc>
        <w:tc>
          <w:tcPr>
            <w:tcW w:w="1893" w:type="dxa"/>
            <w:gridSpan w:val="5"/>
            <w:noWrap w:val="0"/>
            <w:vAlign w:val="center"/>
          </w:tcPr>
          <w:p w14:paraId="6664405D">
            <w:pPr>
              <w:jc w:val="center"/>
              <w:rPr>
                <w:color w:val="auto"/>
              </w:rPr>
            </w:pPr>
            <w:r>
              <w:rPr>
                <w:rFonts w:hint="eastAsia" w:cs="宋体"/>
                <w:color w:val="auto"/>
              </w:rPr>
              <w:t>职称</w:t>
            </w:r>
          </w:p>
        </w:tc>
        <w:tc>
          <w:tcPr>
            <w:tcW w:w="1585" w:type="dxa"/>
            <w:gridSpan w:val="3"/>
            <w:noWrap w:val="0"/>
            <w:vAlign w:val="center"/>
          </w:tcPr>
          <w:p w14:paraId="42433F45">
            <w:pPr>
              <w:jc w:val="center"/>
              <w:rPr>
                <w:color w:val="auto"/>
              </w:rPr>
            </w:pPr>
          </w:p>
        </w:tc>
        <w:tc>
          <w:tcPr>
            <w:tcW w:w="1108" w:type="dxa"/>
            <w:noWrap w:val="0"/>
            <w:vAlign w:val="center"/>
          </w:tcPr>
          <w:p w14:paraId="2C90B8DF">
            <w:pPr>
              <w:jc w:val="center"/>
              <w:rPr>
                <w:color w:val="auto"/>
              </w:rPr>
            </w:pPr>
            <w:r>
              <w:rPr>
                <w:rFonts w:hint="eastAsia" w:cs="宋体"/>
                <w:color w:val="auto"/>
              </w:rPr>
              <w:t>学历</w:t>
            </w:r>
          </w:p>
        </w:tc>
        <w:tc>
          <w:tcPr>
            <w:tcW w:w="1531" w:type="dxa"/>
            <w:gridSpan w:val="4"/>
            <w:noWrap w:val="0"/>
            <w:vAlign w:val="center"/>
          </w:tcPr>
          <w:p w14:paraId="201C498C">
            <w:pPr>
              <w:jc w:val="center"/>
              <w:rPr>
                <w:color w:val="auto"/>
              </w:rPr>
            </w:pPr>
          </w:p>
        </w:tc>
      </w:tr>
      <w:tr w14:paraId="6E82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719E4C7E">
            <w:pPr>
              <w:jc w:val="center"/>
              <w:rPr>
                <w:rFonts w:hint="eastAsia" w:cs="宋体"/>
                <w:color w:val="auto"/>
              </w:rPr>
            </w:pPr>
            <w:r>
              <w:rPr>
                <w:rFonts w:hint="eastAsia" w:cs="宋体"/>
                <w:color w:val="auto"/>
              </w:rPr>
              <w:t>从业开始时间</w:t>
            </w:r>
          </w:p>
        </w:tc>
        <w:tc>
          <w:tcPr>
            <w:tcW w:w="2340" w:type="dxa"/>
            <w:gridSpan w:val="5"/>
            <w:noWrap w:val="0"/>
            <w:vAlign w:val="center"/>
          </w:tcPr>
          <w:p w14:paraId="5863311B">
            <w:pPr>
              <w:jc w:val="center"/>
              <w:rPr>
                <w:color w:val="auto"/>
              </w:rPr>
            </w:pPr>
          </w:p>
        </w:tc>
        <w:tc>
          <w:tcPr>
            <w:tcW w:w="1893" w:type="dxa"/>
            <w:gridSpan w:val="5"/>
            <w:noWrap w:val="0"/>
            <w:vAlign w:val="center"/>
          </w:tcPr>
          <w:p w14:paraId="4AB5847F">
            <w:pPr>
              <w:jc w:val="center"/>
              <w:rPr>
                <w:rFonts w:hint="eastAsia" w:cs="宋体"/>
                <w:color w:val="auto"/>
              </w:rPr>
            </w:pPr>
            <w:r>
              <w:rPr>
                <w:rFonts w:hint="eastAsia" w:cs="宋体"/>
                <w:color w:val="auto"/>
              </w:rPr>
              <w:t>职称</w:t>
            </w:r>
            <w:r>
              <w:rPr>
                <w:rFonts w:cs="宋体"/>
                <w:color w:val="auto"/>
              </w:rPr>
              <w:t>获</w:t>
            </w:r>
            <w:r>
              <w:rPr>
                <w:rFonts w:hint="eastAsia" w:cs="宋体"/>
                <w:color w:val="auto"/>
              </w:rPr>
              <w:t>得</w:t>
            </w:r>
            <w:r>
              <w:rPr>
                <w:rFonts w:cs="宋体"/>
                <w:color w:val="auto"/>
              </w:rPr>
              <w:t>时间</w:t>
            </w:r>
          </w:p>
        </w:tc>
        <w:tc>
          <w:tcPr>
            <w:tcW w:w="1585" w:type="dxa"/>
            <w:gridSpan w:val="3"/>
            <w:noWrap w:val="0"/>
            <w:vAlign w:val="center"/>
          </w:tcPr>
          <w:p w14:paraId="664D02E5">
            <w:pPr>
              <w:jc w:val="center"/>
              <w:rPr>
                <w:color w:val="auto"/>
              </w:rPr>
            </w:pPr>
          </w:p>
        </w:tc>
        <w:tc>
          <w:tcPr>
            <w:tcW w:w="1108" w:type="dxa"/>
            <w:noWrap w:val="0"/>
            <w:vAlign w:val="center"/>
          </w:tcPr>
          <w:p w14:paraId="182CFCFE">
            <w:pPr>
              <w:jc w:val="center"/>
              <w:rPr>
                <w:rFonts w:hint="eastAsia" w:cs="宋体"/>
                <w:color w:val="auto"/>
              </w:rPr>
            </w:pPr>
            <w:r>
              <w:rPr>
                <w:rFonts w:hint="eastAsia" w:cs="宋体"/>
                <w:color w:val="auto"/>
              </w:rPr>
              <w:t>毕业时间</w:t>
            </w:r>
          </w:p>
        </w:tc>
        <w:tc>
          <w:tcPr>
            <w:tcW w:w="1531" w:type="dxa"/>
            <w:gridSpan w:val="4"/>
            <w:noWrap w:val="0"/>
            <w:vAlign w:val="center"/>
          </w:tcPr>
          <w:p w14:paraId="60ABC647">
            <w:pPr>
              <w:jc w:val="center"/>
              <w:rPr>
                <w:color w:val="auto"/>
              </w:rPr>
            </w:pPr>
          </w:p>
        </w:tc>
      </w:tr>
      <w:tr w14:paraId="77CD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36DB317D">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noWrap w:val="0"/>
            <w:vAlign w:val="center"/>
          </w:tcPr>
          <w:p w14:paraId="094EE621">
            <w:pPr>
              <w:jc w:val="center"/>
              <w:rPr>
                <w:color w:val="auto"/>
              </w:rPr>
            </w:pPr>
          </w:p>
        </w:tc>
        <w:tc>
          <w:tcPr>
            <w:tcW w:w="1209" w:type="dxa"/>
            <w:noWrap w:val="0"/>
            <w:vAlign w:val="center"/>
          </w:tcPr>
          <w:p w14:paraId="1C006B0C">
            <w:pPr>
              <w:jc w:val="center"/>
              <w:rPr>
                <w:color w:val="auto"/>
              </w:rPr>
            </w:pPr>
            <w:r>
              <w:rPr>
                <w:rFonts w:hint="eastAsia"/>
                <w:color w:val="auto"/>
              </w:rPr>
              <w:t>身份</w:t>
            </w:r>
            <w:r>
              <w:rPr>
                <w:color w:val="auto"/>
              </w:rPr>
              <w:t>证号码</w:t>
            </w:r>
          </w:p>
        </w:tc>
        <w:tc>
          <w:tcPr>
            <w:tcW w:w="4608" w:type="dxa"/>
            <w:gridSpan w:val="10"/>
            <w:noWrap w:val="0"/>
            <w:vAlign w:val="center"/>
          </w:tcPr>
          <w:p w14:paraId="145DE1D8">
            <w:pPr>
              <w:jc w:val="center"/>
              <w:rPr>
                <w:color w:val="auto"/>
              </w:rPr>
            </w:pPr>
          </w:p>
        </w:tc>
      </w:tr>
      <w:tr w14:paraId="39AA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7B48C614">
            <w:pPr>
              <w:jc w:val="center"/>
              <w:rPr>
                <w:color w:val="auto"/>
              </w:rPr>
            </w:pPr>
            <w:r>
              <w:rPr>
                <w:rFonts w:hint="eastAsia"/>
                <w:color w:val="auto"/>
              </w:rPr>
              <w:t>证书名称</w:t>
            </w:r>
          </w:p>
        </w:tc>
        <w:tc>
          <w:tcPr>
            <w:tcW w:w="1188" w:type="dxa"/>
            <w:gridSpan w:val="2"/>
            <w:noWrap w:val="0"/>
            <w:vAlign w:val="center"/>
          </w:tcPr>
          <w:p w14:paraId="60D625EE">
            <w:pPr>
              <w:jc w:val="center"/>
              <w:rPr>
                <w:color w:val="auto"/>
              </w:rPr>
            </w:pPr>
            <w:r>
              <w:rPr>
                <w:rFonts w:hint="eastAsia"/>
                <w:color w:val="auto"/>
              </w:rPr>
              <w:t>注册专业</w:t>
            </w:r>
          </w:p>
        </w:tc>
        <w:tc>
          <w:tcPr>
            <w:tcW w:w="1222" w:type="dxa"/>
            <w:gridSpan w:val="3"/>
            <w:noWrap w:val="0"/>
            <w:vAlign w:val="center"/>
          </w:tcPr>
          <w:p w14:paraId="2197D76F">
            <w:pPr>
              <w:jc w:val="center"/>
              <w:rPr>
                <w:color w:val="auto"/>
              </w:rPr>
            </w:pPr>
            <w:r>
              <w:rPr>
                <w:color w:val="auto"/>
              </w:rPr>
              <w:t>级别</w:t>
            </w:r>
          </w:p>
        </w:tc>
        <w:tc>
          <w:tcPr>
            <w:tcW w:w="1417" w:type="dxa"/>
            <w:gridSpan w:val="3"/>
            <w:noWrap w:val="0"/>
            <w:vAlign w:val="center"/>
          </w:tcPr>
          <w:p w14:paraId="129FC4B6">
            <w:pPr>
              <w:jc w:val="center"/>
              <w:rPr>
                <w:color w:val="auto"/>
              </w:rPr>
            </w:pPr>
            <w:r>
              <w:rPr>
                <w:rFonts w:hint="eastAsia" w:cs="宋体"/>
                <w:color w:val="auto"/>
              </w:rPr>
              <w:t>证书编号</w:t>
            </w:r>
          </w:p>
        </w:tc>
        <w:tc>
          <w:tcPr>
            <w:tcW w:w="1418" w:type="dxa"/>
            <w:gridSpan w:val="3"/>
            <w:noWrap w:val="0"/>
            <w:vAlign w:val="center"/>
          </w:tcPr>
          <w:p w14:paraId="076CC2AA">
            <w:pPr>
              <w:jc w:val="center"/>
              <w:rPr>
                <w:color w:val="auto"/>
              </w:rPr>
            </w:pPr>
            <w:r>
              <w:rPr>
                <w:rFonts w:hint="eastAsia"/>
                <w:color w:val="auto"/>
              </w:rPr>
              <w:t>注册时间</w:t>
            </w:r>
          </w:p>
        </w:tc>
        <w:tc>
          <w:tcPr>
            <w:tcW w:w="1632" w:type="dxa"/>
            <w:gridSpan w:val="4"/>
            <w:noWrap w:val="0"/>
            <w:vAlign w:val="center"/>
          </w:tcPr>
          <w:p w14:paraId="5991944D">
            <w:pPr>
              <w:jc w:val="center"/>
              <w:rPr>
                <w:color w:val="auto"/>
              </w:rPr>
            </w:pPr>
            <w:r>
              <w:rPr>
                <w:rFonts w:hint="eastAsia"/>
                <w:color w:val="auto"/>
              </w:rPr>
              <w:t>注册单位</w:t>
            </w:r>
          </w:p>
        </w:tc>
        <w:tc>
          <w:tcPr>
            <w:tcW w:w="1416" w:type="dxa"/>
            <w:gridSpan w:val="2"/>
            <w:noWrap w:val="0"/>
            <w:vAlign w:val="center"/>
          </w:tcPr>
          <w:p w14:paraId="2666C1F3">
            <w:pPr>
              <w:jc w:val="center"/>
              <w:rPr>
                <w:color w:val="auto"/>
              </w:rPr>
            </w:pPr>
            <w:r>
              <w:rPr>
                <w:rFonts w:hint="eastAsia"/>
                <w:color w:val="auto"/>
              </w:rPr>
              <w:t>注册有效期</w:t>
            </w:r>
          </w:p>
        </w:tc>
      </w:tr>
      <w:tr w14:paraId="094D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6BD12CAA">
            <w:pPr>
              <w:jc w:val="center"/>
              <w:rPr>
                <w:rFonts w:hint="eastAsia"/>
                <w:color w:val="auto"/>
              </w:rPr>
            </w:pPr>
          </w:p>
        </w:tc>
        <w:tc>
          <w:tcPr>
            <w:tcW w:w="1188" w:type="dxa"/>
            <w:gridSpan w:val="2"/>
            <w:noWrap w:val="0"/>
            <w:vAlign w:val="center"/>
          </w:tcPr>
          <w:p w14:paraId="73C57D76">
            <w:pPr>
              <w:jc w:val="center"/>
              <w:rPr>
                <w:rFonts w:hint="eastAsia"/>
                <w:color w:val="auto"/>
              </w:rPr>
            </w:pPr>
          </w:p>
        </w:tc>
        <w:tc>
          <w:tcPr>
            <w:tcW w:w="1222" w:type="dxa"/>
            <w:gridSpan w:val="3"/>
            <w:noWrap w:val="0"/>
            <w:vAlign w:val="center"/>
          </w:tcPr>
          <w:p w14:paraId="6F064DBB">
            <w:pPr>
              <w:jc w:val="center"/>
              <w:rPr>
                <w:rFonts w:hint="eastAsia" w:cs="宋体"/>
                <w:color w:val="auto"/>
              </w:rPr>
            </w:pPr>
          </w:p>
        </w:tc>
        <w:tc>
          <w:tcPr>
            <w:tcW w:w="1417" w:type="dxa"/>
            <w:gridSpan w:val="3"/>
            <w:noWrap w:val="0"/>
            <w:vAlign w:val="center"/>
          </w:tcPr>
          <w:p w14:paraId="07D2AE8B">
            <w:pPr>
              <w:jc w:val="center"/>
              <w:rPr>
                <w:rFonts w:hint="eastAsia"/>
                <w:color w:val="auto"/>
              </w:rPr>
            </w:pPr>
          </w:p>
        </w:tc>
        <w:tc>
          <w:tcPr>
            <w:tcW w:w="1418" w:type="dxa"/>
            <w:gridSpan w:val="3"/>
            <w:noWrap w:val="0"/>
            <w:vAlign w:val="center"/>
          </w:tcPr>
          <w:p w14:paraId="3972D1F9">
            <w:pPr>
              <w:jc w:val="center"/>
              <w:rPr>
                <w:rFonts w:hint="eastAsia"/>
                <w:color w:val="auto"/>
              </w:rPr>
            </w:pPr>
          </w:p>
        </w:tc>
        <w:tc>
          <w:tcPr>
            <w:tcW w:w="1632" w:type="dxa"/>
            <w:gridSpan w:val="4"/>
            <w:noWrap w:val="0"/>
            <w:vAlign w:val="center"/>
          </w:tcPr>
          <w:p w14:paraId="20501C2D">
            <w:pPr>
              <w:jc w:val="center"/>
              <w:rPr>
                <w:rFonts w:hint="eastAsia"/>
                <w:color w:val="auto"/>
              </w:rPr>
            </w:pPr>
          </w:p>
        </w:tc>
        <w:tc>
          <w:tcPr>
            <w:tcW w:w="1416" w:type="dxa"/>
            <w:gridSpan w:val="2"/>
            <w:noWrap w:val="0"/>
            <w:vAlign w:val="center"/>
          </w:tcPr>
          <w:p w14:paraId="50A451F3">
            <w:pPr>
              <w:jc w:val="center"/>
              <w:rPr>
                <w:rFonts w:hint="eastAsia"/>
                <w:color w:val="auto"/>
              </w:rPr>
            </w:pPr>
          </w:p>
        </w:tc>
      </w:tr>
      <w:tr w14:paraId="25DD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79B25E36">
            <w:pPr>
              <w:jc w:val="center"/>
              <w:rPr>
                <w:rFonts w:hint="eastAsia"/>
                <w:color w:val="auto"/>
              </w:rPr>
            </w:pPr>
          </w:p>
        </w:tc>
        <w:tc>
          <w:tcPr>
            <w:tcW w:w="1188" w:type="dxa"/>
            <w:gridSpan w:val="2"/>
            <w:noWrap w:val="0"/>
            <w:vAlign w:val="center"/>
          </w:tcPr>
          <w:p w14:paraId="0C5610B1">
            <w:pPr>
              <w:jc w:val="center"/>
              <w:rPr>
                <w:rFonts w:hint="eastAsia"/>
                <w:color w:val="auto"/>
              </w:rPr>
            </w:pPr>
          </w:p>
        </w:tc>
        <w:tc>
          <w:tcPr>
            <w:tcW w:w="1222" w:type="dxa"/>
            <w:gridSpan w:val="3"/>
            <w:noWrap w:val="0"/>
            <w:vAlign w:val="center"/>
          </w:tcPr>
          <w:p w14:paraId="02770CA3">
            <w:pPr>
              <w:jc w:val="center"/>
              <w:rPr>
                <w:rFonts w:hint="eastAsia" w:cs="宋体"/>
                <w:color w:val="auto"/>
              </w:rPr>
            </w:pPr>
          </w:p>
        </w:tc>
        <w:tc>
          <w:tcPr>
            <w:tcW w:w="1417" w:type="dxa"/>
            <w:gridSpan w:val="3"/>
            <w:noWrap w:val="0"/>
            <w:vAlign w:val="center"/>
          </w:tcPr>
          <w:p w14:paraId="33AA5E62">
            <w:pPr>
              <w:jc w:val="center"/>
              <w:rPr>
                <w:rFonts w:hint="eastAsia"/>
                <w:color w:val="auto"/>
              </w:rPr>
            </w:pPr>
          </w:p>
        </w:tc>
        <w:tc>
          <w:tcPr>
            <w:tcW w:w="1418" w:type="dxa"/>
            <w:gridSpan w:val="3"/>
            <w:noWrap w:val="0"/>
            <w:vAlign w:val="center"/>
          </w:tcPr>
          <w:p w14:paraId="41C9171F">
            <w:pPr>
              <w:jc w:val="center"/>
              <w:rPr>
                <w:rFonts w:hint="eastAsia"/>
                <w:color w:val="auto"/>
              </w:rPr>
            </w:pPr>
          </w:p>
        </w:tc>
        <w:tc>
          <w:tcPr>
            <w:tcW w:w="1632" w:type="dxa"/>
            <w:gridSpan w:val="4"/>
            <w:noWrap w:val="0"/>
            <w:vAlign w:val="center"/>
          </w:tcPr>
          <w:p w14:paraId="12947BAC">
            <w:pPr>
              <w:jc w:val="center"/>
              <w:rPr>
                <w:rFonts w:hint="eastAsia"/>
                <w:color w:val="auto"/>
              </w:rPr>
            </w:pPr>
          </w:p>
        </w:tc>
        <w:tc>
          <w:tcPr>
            <w:tcW w:w="1416" w:type="dxa"/>
            <w:gridSpan w:val="2"/>
            <w:noWrap w:val="0"/>
            <w:vAlign w:val="center"/>
          </w:tcPr>
          <w:p w14:paraId="35E15D90">
            <w:pPr>
              <w:jc w:val="center"/>
              <w:rPr>
                <w:rFonts w:hint="eastAsia"/>
                <w:color w:val="auto"/>
              </w:rPr>
            </w:pPr>
          </w:p>
        </w:tc>
      </w:tr>
      <w:tr w14:paraId="0C1E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0"/>
            <w:vAlign w:val="center"/>
          </w:tcPr>
          <w:p w14:paraId="1A89E6B3">
            <w:pPr>
              <w:jc w:val="center"/>
              <w:rPr>
                <w:color w:val="auto"/>
              </w:rPr>
            </w:pPr>
            <w:r>
              <w:rPr>
                <w:rFonts w:hint="eastAsia" w:cs="宋体"/>
                <w:color w:val="auto"/>
              </w:rPr>
              <w:t>在建和已完工程项目情况</w:t>
            </w:r>
          </w:p>
        </w:tc>
      </w:tr>
      <w:tr w14:paraId="0AA9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3C9C35FC">
            <w:pPr>
              <w:jc w:val="center"/>
              <w:rPr>
                <w:color w:val="auto"/>
              </w:rPr>
            </w:pPr>
          </w:p>
        </w:tc>
        <w:tc>
          <w:tcPr>
            <w:tcW w:w="1548" w:type="dxa"/>
            <w:gridSpan w:val="2"/>
            <w:noWrap w:val="0"/>
            <w:vAlign w:val="center"/>
          </w:tcPr>
          <w:p w14:paraId="008BFA85">
            <w:pPr>
              <w:jc w:val="center"/>
              <w:rPr>
                <w:rFonts w:hint="eastAsia"/>
                <w:color w:val="auto"/>
              </w:rPr>
            </w:pPr>
            <w:r>
              <w:rPr>
                <w:rFonts w:hint="eastAsia"/>
                <w:color w:val="auto"/>
              </w:rPr>
              <w:t>项目1</w:t>
            </w:r>
          </w:p>
        </w:tc>
        <w:tc>
          <w:tcPr>
            <w:tcW w:w="1837" w:type="dxa"/>
            <w:gridSpan w:val="4"/>
            <w:noWrap w:val="0"/>
            <w:vAlign w:val="center"/>
          </w:tcPr>
          <w:p w14:paraId="0A018E54">
            <w:pPr>
              <w:jc w:val="center"/>
              <w:rPr>
                <w:color w:val="auto"/>
              </w:rPr>
            </w:pPr>
            <w:r>
              <w:rPr>
                <w:rFonts w:hint="eastAsia"/>
                <w:color w:val="auto"/>
              </w:rPr>
              <w:t>项目2</w:t>
            </w:r>
          </w:p>
        </w:tc>
        <w:tc>
          <w:tcPr>
            <w:tcW w:w="1472" w:type="dxa"/>
            <w:gridSpan w:val="3"/>
            <w:noWrap w:val="0"/>
            <w:vAlign w:val="center"/>
          </w:tcPr>
          <w:p w14:paraId="3DD63444">
            <w:pPr>
              <w:jc w:val="center"/>
              <w:rPr>
                <w:color w:val="auto"/>
              </w:rPr>
            </w:pPr>
            <w:r>
              <w:rPr>
                <w:rFonts w:hint="eastAsia"/>
                <w:color w:val="auto"/>
              </w:rPr>
              <w:t>项目3</w:t>
            </w:r>
          </w:p>
        </w:tc>
        <w:tc>
          <w:tcPr>
            <w:tcW w:w="1641" w:type="dxa"/>
            <w:gridSpan w:val="4"/>
            <w:noWrap w:val="0"/>
            <w:vAlign w:val="center"/>
          </w:tcPr>
          <w:p w14:paraId="5AD56357">
            <w:pPr>
              <w:jc w:val="center"/>
              <w:rPr>
                <w:color w:val="auto"/>
              </w:rPr>
            </w:pPr>
            <w:r>
              <w:rPr>
                <w:rFonts w:hint="eastAsia"/>
                <w:color w:val="auto"/>
              </w:rPr>
              <w:t>项目4</w:t>
            </w:r>
          </w:p>
        </w:tc>
        <w:tc>
          <w:tcPr>
            <w:tcW w:w="1484" w:type="dxa"/>
            <w:gridSpan w:val="2"/>
            <w:noWrap w:val="0"/>
            <w:vAlign w:val="center"/>
          </w:tcPr>
          <w:p w14:paraId="778EC7E7">
            <w:pPr>
              <w:jc w:val="center"/>
              <w:rPr>
                <w:color w:val="auto"/>
              </w:rPr>
            </w:pPr>
            <w:r>
              <w:rPr>
                <w:rFonts w:hint="eastAsia"/>
                <w:color w:val="auto"/>
              </w:rPr>
              <w:t>……</w:t>
            </w:r>
          </w:p>
        </w:tc>
      </w:tr>
      <w:tr w14:paraId="13C3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5EACE605">
            <w:pPr>
              <w:jc w:val="center"/>
              <w:rPr>
                <w:color w:val="auto"/>
              </w:rPr>
            </w:pPr>
            <w:r>
              <w:rPr>
                <w:rFonts w:hint="eastAsia"/>
                <w:color w:val="auto"/>
              </w:rPr>
              <w:t>项目名称</w:t>
            </w:r>
          </w:p>
        </w:tc>
        <w:tc>
          <w:tcPr>
            <w:tcW w:w="1548" w:type="dxa"/>
            <w:gridSpan w:val="2"/>
            <w:noWrap w:val="0"/>
            <w:vAlign w:val="center"/>
          </w:tcPr>
          <w:p w14:paraId="7BFA13DE">
            <w:pPr>
              <w:jc w:val="center"/>
              <w:rPr>
                <w:color w:val="auto"/>
              </w:rPr>
            </w:pPr>
          </w:p>
        </w:tc>
        <w:tc>
          <w:tcPr>
            <w:tcW w:w="1837" w:type="dxa"/>
            <w:gridSpan w:val="4"/>
            <w:noWrap w:val="0"/>
            <w:vAlign w:val="center"/>
          </w:tcPr>
          <w:p w14:paraId="41D5D727">
            <w:pPr>
              <w:jc w:val="center"/>
              <w:rPr>
                <w:color w:val="auto"/>
              </w:rPr>
            </w:pPr>
          </w:p>
        </w:tc>
        <w:tc>
          <w:tcPr>
            <w:tcW w:w="1472" w:type="dxa"/>
            <w:gridSpan w:val="3"/>
            <w:noWrap w:val="0"/>
            <w:vAlign w:val="center"/>
          </w:tcPr>
          <w:p w14:paraId="04935E33">
            <w:pPr>
              <w:jc w:val="center"/>
              <w:rPr>
                <w:color w:val="auto"/>
              </w:rPr>
            </w:pPr>
          </w:p>
        </w:tc>
        <w:tc>
          <w:tcPr>
            <w:tcW w:w="1641" w:type="dxa"/>
            <w:gridSpan w:val="4"/>
            <w:noWrap w:val="0"/>
            <w:vAlign w:val="center"/>
          </w:tcPr>
          <w:p w14:paraId="326ED63C">
            <w:pPr>
              <w:jc w:val="center"/>
              <w:rPr>
                <w:color w:val="auto"/>
              </w:rPr>
            </w:pPr>
          </w:p>
        </w:tc>
        <w:tc>
          <w:tcPr>
            <w:tcW w:w="1484" w:type="dxa"/>
            <w:gridSpan w:val="2"/>
            <w:noWrap w:val="0"/>
            <w:vAlign w:val="center"/>
          </w:tcPr>
          <w:p w14:paraId="025EECBC">
            <w:pPr>
              <w:jc w:val="center"/>
              <w:rPr>
                <w:color w:val="auto"/>
              </w:rPr>
            </w:pPr>
          </w:p>
        </w:tc>
      </w:tr>
      <w:tr w14:paraId="3767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4796F5DA">
            <w:pPr>
              <w:jc w:val="center"/>
              <w:rPr>
                <w:color w:val="auto"/>
              </w:rPr>
            </w:pPr>
            <w:r>
              <w:rPr>
                <w:rFonts w:hint="eastAsia" w:cs="宋体"/>
                <w:color w:val="auto"/>
              </w:rPr>
              <w:t>建设单位</w:t>
            </w:r>
          </w:p>
        </w:tc>
        <w:tc>
          <w:tcPr>
            <w:tcW w:w="1548" w:type="dxa"/>
            <w:gridSpan w:val="2"/>
            <w:noWrap w:val="0"/>
            <w:vAlign w:val="center"/>
          </w:tcPr>
          <w:p w14:paraId="404538F5">
            <w:pPr>
              <w:jc w:val="center"/>
              <w:rPr>
                <w:color w:val="auto"/>
              </w:rPr>
            </w:pPr>
          </w:p>
        </w:tc>
        <w:tc>
          <w:tcPr>
            <w:tcW w:w="1837" w:type="dxa"/>
            <w:gridSpan w:val="4"/>
            <w:noWrap w:val="0"/>
            <w:vAlign w:val="center"/>
          </w:tcPr>
          <w:p w14:paraId="638CAD5E">
            <w:pPr>
              <w:jc w:val="center"/>
              <w:rPr>
                <w:color w:val="auto"/>
              </w:rPr>
            </w:pPr>
          </w:p>
        </w:tc>
        <w:tc>
          <w:tcPr>
            <w:tcW w:w="1472" w:type="dxa"/>
            <w:gridSpan w:val="3"/>
            <w:noWrap w:val="0"/>
            <w:vAlign w:val="center"/>
          </w:tcPr>
          <w:p w14:paraId="6391DE63">
            <w:pPr>
              <w:jc w:val="center"/>
              <w:rPr>
                <w:color w:val="auto"/>
              </w:rPr>
            </w:pPr>
          </w:p>
        </w:tc>
        <w:tc>
          <w:tcPr>
            <w:tcW w:w="1641" w:type="dxa"/>
            <w:gridSpan w:val="4"/>
            <w:noWrap w:val="0"/>
            <w:vAlign w:val="center"/>
          </w:tcPr>
          <w:p w14:paraId="2A9C665F">
            <w:pPr>
              <w:jc w:val="center"/>
              <w:rPr>
                <w:color w:val="auto"/>
              </w:rPr>
            </w:pPr>
          </w:p>
        </w:tc>
        <w:tc>
          <w:tcPr>
            <w:tcW w:w="1484" w:type="dxa"/>
            <w:gridSpan w:val="2"/>
            <w:noWrap w:val="0"/>
            <w:vAlign w:val="center"/>
          </w:tcPr>
          <w:p w14:paraId="10FDD43B">
            <w:pPr>
              <w:jc w:val="center"/>
              <w:rPr>
                <w:color w:val="auto"/>
              </w:rPr>
            </w:pPr>
          </w:p>
        </w:tc>
      </w:tr>
      <w:tr w14:paraId="26E2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0C2363CE">
            <w:pPr>
              <w:jc w:val="center"/>
              <w:rPr>
                <w:color w:val="auto"/>
              </w:rPr>
            </w:pPr>
            <w:r>
              <w:rPr>
                <w:rFonts w:hint="eastAsia" w:cs="宋体"/>
                <w:color w:val="auto"/>
              </w:rPr>
              <w:t>建设规模</w:t>
            </w:r>
          </w:p>
        </w:tc>
        <w:tc>
          <w:tcPr>
            <w:tcW w:w="1548" w:type="dxa"/>
            <w:gridSpan w:val="2"/>
            <w:noWrap w:val="0"/>
            <w:vAlign w:val="center"/>
          </w:tcPr>
          <w:p w14:paraId="0C56C6C3">
            <w:pPr>
              <w:jc w:val="center"/>
              <w:rPr>
                <w:color w:val="auto"/>
              </w:rPr>
            </w:pPr>
          </w:p>
        </w:tc>
        <w:tc>
          <w:tcPr>
            <w:tcW w:w="1837" w:type="dxa"/>
            <w:gridSpan w:val="4"/>
            <w:noWrap w:val="0"/>
            <w:vAlign w:val="center"/>
          </w:tcPr>
          <w:p w14:paraId="3E2C630A">
            <w:pPr>
              <w:jc w:val="center"/>
              <w:rPr>
                <w:color w:val="auto"/>
              </w:rPr>
            </w:pPr>
          </w:p>
        </w:tc>
        <w:tc>
          <w:tcPr>
            <w:tcW w:w="1472" w:type="dxa"/>
            <w:gridSpan w:val="3"/>
            <w:noWrap w:val="0"/>
            <w:vAlign w:val="center"/>
          </w:tcPr>
          <w:p w14:paraId="46BE1C04">
            <w:pPr>
              <w:jc w:val="center"/>
              <w:rPr>
                <w:color w:val="auto"/>
              </w:rPr>
            </w:pPr>
          </w:p>
        </w:tc>
        <w:tc>
          <w:tcPr>
            <w:tcW w:w="1641" w:type="dxa"/>
            <w:gridSpan w:val="4"/>
            <w:noWrap w:val="0"/>
            <w:vAlign w:val="center"/>
          </w:tcPr>
          <w:p w14:paraId="49DC8E97">
            <w:pPr>
              <w:jc w:val="center"/>
              <w:rPr>
                <w:color w:val="auto"/>
              </w:rPr>
            </w:pPr>
          </w:p>
        </w:tc>
        <w:tc>
          <w:tcPr>
            <w:tcW w:w="1484" w:type="dxa"/>
            <w:gridSpan w:val="2"/>
            <w:noWrap w:val="0"/>
            <w:vAlign w:val="center"/>
          </w:tcPr>
          <w:p w14:paraId="7E7CFDA1">
            <w:pPr>
              <w:jc w:val="center"/>
              <w:rPr>
                <w:color w:val="auto"/>
              </w:rPr>
            </w:pPr>
          </w:p>
        </w:tc>
      </w:tr>
      <w:tr w14:paraId="299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296C214B">
            <w:pPr>
              <w:jc w:val="center"/>
              <w:rPr>
                <w:rFonts w:hint="eastAsia" w:ascii="宋体" w:hAnsi="宋体" w:cs="宋体"/>
                <w:color w:val="auto"/>
                <w:sz w:val="27"/>
                <w:szCs w:val="27"/>
                <w:lang w:bidi="ar"/>
              </w:rPr>
            </w:pPr>
            <w:r>
              <w:rPr>
                <w:rFonts w:hint="eastAsia" w:cs="宋体"/>
                <w:color w:val="auto"/>
              </w:rPr>
              <w:t>开工日期</w:t>
            </w:r>
          </w:p>
        </w:tc>
        <w:tc>
          <w:tcPr>
            <w:tcW w:w="1548" w:type="dxa"/>
            <w:gridSpan w:val="2"/>
            <w:noWrap w:val="0"/>
            <w:vAlign w:val="center"/>
          </w:tcPr>
          <w:p w14:paraId="64A3BFAD">
            <w:pPr>
              <w:jc w:val="center"/>
              <w:rPr>
                <w:color w:val="auto"/>
              </w:rPr>
            </w:pPr>
          </w:p>
        </w:tc>
        <w:tc>
          <w:tcPr>
            <w:tcW w:w="1837" w:type="dxa"/>
            <w:gridSpan w:val="4"/>
            <w:noWrap w:val="0"/>
            <w:vAlign w:val="center"/>
          </w:tcPr>
          <w:p w14:paraId="4F102D2A">
            <w:pPr>
              <w:jc w:val="center"/>
              <w:rPr>
                <w:color w:val="auto"/>
              </w:rPr>
            </w:pPr>
          </w:p>
        </w:tc>
        <w:tc>
          <w:tcPr>
            <w:tcW w:w="1472" w:type="dxa"/>
            <w:gridSpan w:val="3"/>
            <w:noWrap w:val="0"/>
            <w:vAlign w:val="center"/>
          </w:tcPr>
          <w:p w14:paraId="7D29EA67">
            <w:pPr>
              <w:jc w:val="center"/>
              <w:rPr>
                <w:color w:val="auto"/>
              </w:rPr>
            </w:pPr>
          </w:p>
        </w:tc>
        <w:tc>
          <w:tcPr>
            <w:tcW w:w="1641" w:type="dxa"/>
            <w:gridSpan w:val="4"/>
            <w:noWrap w:val="0"/>
            <w:vAlign w:val="center"/>
          </w:tcPr>
          <w:p w14:paraId="55E09E28">
            <w:pPr>
              <w:jc w:val="center"/>
              <w:rPr>
                <w:color w:val="auto"/>
              </w:rPr>
            </w:pPr>
          </w:p>
        </w:tc>
        <w:tc>
          <w:tcPr>
            <w:tcW w:w="1484" w:type="dxa"/>
            <w:gridSpan w:val="2"/>
            <w:noWrap w:val="0"/>
            <w:vAlign w:val="center"/>
          </w:tcPr>
          <w:p w14:paraId="0B9F34CB">
            <w:pPr>
              <w:jc w:val="center"/>
              <w:rPr>
                <w:color w:val="auto"/>
              </w:rPr>
            </w:pPr>
          </w:p>
        </w:tc>
      </w:tr>
      <w:tr w14:paraId="0165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45756998">
            <w:pPr>
              <w:jc w:val="center"/>
              <w:rPr>
                <w:color w:val="auto"/>
              </w:rPr>
            </w:pPr>
            <w:r>
              <w:rPr>
                <w:rFonts w:hint="eastAsia" w:cs="宋体"/>
                <w:color w:val="auto"/>
              </w:rPr>
              <w:t>竣工日期</w:t>
            </w:r>
          </w:p>
        </w:tc>
        <w:tc>
          <w:tcPr>
            <w:tcW w:w="1548" w:type="dxa"/>
            <w:gridSpan w:val="2"/>
            <w:noWrap w:val="0"/>
            <w:vAlign w:val="center"/>
          </w:tcPr>
          <w:p w14:paraId="38E6FD40">
            <w:pPr>
              <w:jc w:val="center"/>
              <w:rPr>
                <w:color w:val="auto"/>
              </w:rPr>
            </w:pPr>
          </w:p>
        </w:tc>
        <w:tc>
          <w:tcPr>
            <w:tcW w:w="1837" w:type="dxa"/>
            <w:gridSpan w:val="4"/>
            <w:noWrap w:val="0"/>
            <w:vAlign w:val="center"/>
          </w:tcPr>
          <w:p w14:paraId="1243BF51">
            <w:pPr>
              <w:jc w:val="center"/>
              <w:rPr>
                <w:color w:val="auto"/>
              </w:rPr>
            </w:pPr>
          </w:p>
        </w:tc>
        <w:tc>
          <w:tcPr>
            <w:tcW w:w="1472" w:type="dxa"/>
            <w:gridSpan w:val="3"/>
            <w:noWrap w:val="0"/>
            <w:vAlign w:val="center"/>
          </w:tcPr>
          <w:p w14:paraId="6BF1A6FE">
            <w:pPr>
              <w:jc w:val="center"/>
              <w:rPr>
                <w:color w:val="auto"/>
              </w:rPr>
            </w:pPr>
          </w:p>
        </w:tc>
        <w:tc>
          <w:tcPr>
            <w:tcW w:w="1641" w:type="dxa"/>
            <w:gridSpan w:val="4"/>
            <w:noWrap w:val="0"/>
            <w:vAlign w:val="center"/>
          </w:tcPr>
          <w:p w14:paraId="4E036F63">
            <w:pPr>
              <w:jc w:val="center"/>
              <w:rPr>
                <w:color w:val="auto"/>
              </w:rPr>
            </w:pPr>
          </w:p>
        </w:tc>
        <w:tc>
          <w:tcPr>
            <w:tcW w:w="1484" w:type="dxa"/>
            <w:gridSpan w:val="2"/>
            <w:noWrap w:val="0"/>
            <w:vAlign w:val="center"/>
          </w:tcPr>
          <w:p w14:paraId="18479C55">
            <w:pPr>
              <w:jc w:val="center"/>
              <w:rPr>
                <w:color w:val="auto"/>
              </w:rPr>
            </w:pPr>
          </w:p>
        </w:tc>
      </w:tr>
      <w:tr w14:paraId="6B75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51962274">
            <w:pPr>
              <w:jc w:val="center"/>
              <w:rPr>
                <w:rFonts w:hint="eastAsia" w:cs="宋体"/>
                <w:color w:val="auto"/>
              </w:rPr>
            </w:pPr>
            <w:r>
              <w:rPr>
                <w:rFonts w:hint="eastAsia" w:cs="宋体"/>
                <w:color w:val="auto"/>
              </w:rPr>
              <w:t>人员角色</w:t>
            </w:r>
          </w:p>
        </w:tc>
        <w:tc>
          <w:tcPr>
            <w:tcW w:w="1548" w:type="dxa"/>
            <w:gridSpan w:val="2"/>
            <w:noWrap w:val="0"/>
            <w:vAlign w:val="center"/>
          </w:tcPr>
          <w:p w14:paraId="5E80AD1D">
            <w:pPr>
              <w:jc w:val="center"/>
              <w:rPr>
                <w:color w:val="auto"/>
              </w:rPr>
            </w:pPr>
          </w:p>
        </w:tc>
        <w:tc>
          <w:tcPr>
            <w:tcW w:w="1837" w:type="dxa"/>
            <w:gridSpan w:val="4"/>
            <w:noWrap w:val="0"/>
            <w:vAlign w:val="center"/>
          </w:tcPr>
          <w:p w14:paraId="0D8F338F">
            <w:pPr>
              <w:jc w:val="center"/>
              <w:rPr>
                <w:color w:val="auto"/>
              </w:rPr>
            </w:pPr>
          </w:p>
        </w:tc>
        <w:tc>
          <w:tcPr>
            <w:tcW w:w="1472" w:type="dxa"/>
            <w:gridSpan w:val="3"/>
            <w:noWrap w:val="0"/>
            <w:vAlign w:val="center"/>
          </w:tcPr>
          <w:p w14:paraId="0A8C11A4">
            <w:pPr>
              <w:jc w:val="center"/>
              <w:rPr>
                <w:color w:val="auto"/>
              </w:rPr>
            </w:pPr>
          </w:p>
        </w:tc>
        <w:tc>
          <w:tcPr>
            <w:tcW w:w="1641" w:type="dxa"/>
            <w:gridSpan w:val="4"/>
            <w:noWrap w:val="0"/>
            <w:vAlign w:val="center"/>
          </w:tcPr>
          <w:p w14:paraId="75883949">
            <w:pPr>
              <w:jc w:val="center"/>
              <w:rPr>
                <w:color w:val="auto"/>
              </w:rPr>
            </w:pPr>
          </w:p>
        </w:tc>
        <w:tc>
          <w:tcPr>
            <w:tcW w:w="1484" w:type="dxa"/>
            <w:gridSpan w:val="2"/>
            <w:noWrap w:val="0"/>
            <w:vAlign w:val="center"/>
          </w:tcPr>
          <w:p w14:paraId="356FCEA0">
            <w:pPr>
              <w:jc w:val="center"/>
              <w:rPr>
                <w:color w:val="auto"/>
              </w:rPr>
            </w:pPr>
          </w:p>
        </w:tc>
      </w:tr>
      <w:tr w14:paraId="6A83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71D02108">
            <w:pPr>
              <w:jc w:val="center"/>
              <w:rPr>
                <w:rFonts w:hint="eastAsia" w:cs="宋体"/>
                <w:color w:val="auto"/>
              </w:rPr>
            </w:pPr>
            <w:r>
              <w:rPr>
                <w:rFonts w:hint="eastAsia" w:cs="宋体"/>
                <w:color w:val="auto"/>
              </w:rPr>
              <w:t>在建或已完</w:t>
            </w:r>
          </w:p>
        </w:tc>
        <w:tc>
          <w:tcPr>
            <w:tcW w:w="1548" w:type="dxa"/>
            <w:gridSpan w:val="2"/>
            <w:noWrap w:val="0"/>
            <w:vAlign w:val="center"/>
          </w:tcPr>
          <w:p w14:paraId="585D4894">
            <w:pPr>
              <w:jc w:val="center"/>
              <w:rPr>
                <w:color w:val="auto"/>
              </w:rPr>
            </w:pPr>
          </w:p>
        </w:tc>
        <w:tc>
          <w:tcPr>
            <w:tcW w:w="1837" w:type="dxa"/>
            <w:gridSpan w:val="4"/>
            <w:noWrap w:val="0"/>
            <w:vAlign w:val="center"/>
          </w:tcPr>
          <w:p w14:paraId="2E23A65A">
            <w:pPr>
              <w:jc w:val="center"/>
              <w:rPr>
                <w:color w:val="auto"/>
              </w:rPr>
            </w:pPr>
          </w:p>
        </w:tc>
        <w:tc>
          <w:tcPr>
            <w:tcW w:w="1472" w:type="dxa"/>
            <w:gridSpan w:val="3"/>
            <w:noWrap w:val="0"/>
            <w:vAlign w:val="center"/>
          </w:tcPr>
          <w:p w14:paraId="7E4102F8">
            <w:pPr>
              <w:jc w:val="center"/>
              <w:rPr>
                <w:color w:val="auto"/>
              </w:rPr>
            </w:pPr>
          </w:p>
        </w:tc>
        <w:tc>
          <w:tcPr>
            <w:tcW w:w="1641" w:type="dxa"/>
            <w:gridSpan w:val="4"/>
            <w:noWrap w:val="0"/>
            <w:vAlign w:val="center"/>
          </w:tcPr>
          <w:p w14:paraId="0C6FB553">
            <w:pPr>
              <w:jc w:val="center"/>
              <w:rPr>
                <w:color w:val="auto"/>
              </w:rPr>
            </w:pPr>
          </w:p>
        </w:tc>
        <w:tc>
          <w:tcPr>
            <w:tcW w:w="1484" w:type="dxa"/>
            <w:gridSpan w:val="2"/>
            <w:noWrap w:val="0"/>
            <w:vAlign w:val="center"/>
          </w:tcPr>
          <w:p w14:paraId="1134D27A">
            <w:pPr>
              <w:jc w:val="center"/>
              <w:rPr>
                <w:color w:val="auto"/>
              </w:rPr>
            </w:pPr>
          </w:p>
        </w:tc>
      </w:tr>
      <w:tr w14:paraId="4BF1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73FE0323">
            <w:pPr>
              <w:jc w:val="center"/>
              <w:rPr>
                <w:rFonts w:hint="eastAsia" w:cs="宋体"/>
                <w:color w:val="auto"/>
              </w:rPr>
            </w:pPr>
            <w:r>
              <w:rPr>
                <w:rFonts w:hint="eastAsia" w:cs="宋体"/>
                <w:color w:val="auto"/>
              </w:rPr>
              <w:t>工程质量</w:t>
            </w:r>
          </w:p>
        </w:tc>
        <w:tc>
          <w:tcPr>
            <w:tcW w:w="1548" w:type="dxa"/>
            <w:gridSpan w:val="2"/>
            <w:noWrap w:val="0"/>
            <w:vAlign w:val="center"/>
          </w:tcPr>
          <w:p w14:paraId="1B800765">
            <w:pPr>
              <w:jc w:val="center"/>
              <w:rPr>
                <w:color w:val="auto"/>
              </w:rPr>
            </w:pPr>
          </w:p>
        </w:tc>
        <w:tc>
          <w:tcPr>
            <w:tcW w:w="1837" w:type="dxa"/>
            <w:gridSpan w:val="4"/>
            <w:noWrap w:val="0"/>
            <w:vAlign w:val="center"/>
          </w:tcPr>
          <w:p w14:paraId="03185A6B">
            <w:pPr>
              <w:jc w:val="center"/>
              <w:rPr>
                <w:color w:val="auto"/>
              </w:rPr>
            </w:pPr>
          </w:p>
        </w:tc>
        <w:tc>
          <w:tcPr>
            <w:tcW w:w="1472" w:type="dxa"/>
            <w:gridSpan w:val="3"/>
            <w:noWrap w:val="0"/>
            <w:vAlign w:val="center"/>
          </w:tcPr>
          <w:p w14:paraId="3CE1AA7B">
            <w:pPr>
              <w:jc w:val="center"/>
              <w:rPr>
                <w:color w:val="auto"/>
              </w:rPr>
            </w:pPr>
          </w:p>
        </w:tc>
        <w:tc>
          <w:tcPr>
            <w:tcW w:w="1641" w:type="dxa"/>
            <w:gridSpan w:val="4"/>
            <w:noWrap w:val="0"/>
            <w:vAlign w:val="center"/>
          </w:tcPr>
          <w:p w14:paraId="77C2B9AE">
            <w:pPr>
              <w:jc w:val="center"/>
              <w:rPr>
                <w:color w:val="auto"/>
              </w:rPr>
            </w:pPr>
          </w:p>
        </w:tc>
        <w:tc>
          <w:tcPr>
            <w:tcW w:w="1484" w:type="dxa"/>
            <w:gridSpan w:val="2"/>
            <w:noWrap w:val="0"/>
            <w:vAlign w:val="center"/>
          </w:tcPr>
          <w:p w14:paraId="7A4C3984">
            <w:pPr>
              <w:jc w:val="center"/>
              <w:rPr>
                <w:color w:val="auto"/>
              </w:rPr>
            </w:pPr>
          </w:p>
        </w:tc>
      </w:tr>
      <w:tr w14:paraId="12A1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682F3E28">
            <w:pPr>
              <w:jc w:val="center"/>
              <w:rPr>
                <w:rFonts w:hint="eastAsia" w:cs="宋体"/>
                <w:color w:val="auto"/>
              </w:rPr>
            </w:pPr>
            <w:r>
              <w:rPr>
                <w:rFonts w:hint="eastAsia" w:cs="宋体"/>
                <w:color w:val="auto"/>
              </w:rPr>
              <w:t>受奖情况</w:t>
            </w:r>
          </w:p>
        </w:tc>
        <w:tc>
          <w:tcPr>
            <w:tcW w:w="1548" w:type="dxa"/>
            <w:gridSpan w:val="2"/>
            <w:noWrap w:val="0"/>
            <w:vAlign w:val="center"/>
          </w:tcPr>
          <w:p w14:paraId="0699ACC9">
            <w:pPr>
              <w:jc w:val="center"/>
              <w:rPr>
                <w:color w:val="auto"/>
              </w:rPr>
            </w:pPr>
          </w:p>
        </w:tc>
        <w:tc>
          <w:tcPr>
            <w:tcW w:w="1837" w:type="dxa"/>
            <w:gridSpan w:val="4"/>
            <w:noWrap w:val="0"/>
            <w:vAlign w:val="center"/>
          </w:tcPr>
          <w:p w14:paraId="5F101630">
            <w:pPr>
              <w:jc w:val="center"/>
              <w:rPr>
                <w:color w:val="auto"/>
              </w:rPr>
            </w:pPr>
          </w:p>
        </w:tc>
        <w:tc>
          <w:tcPr>
            <w:tcW w:w="1472" w:type="dxa"/>
            <w:gridSpan w:val="3"/>
            <w:noWrap w:val="0"/>
            <w:vAlign w:val="center"/>
          </w:tcPr>
          <w:p w14:paraId="4C150715">
            <w:pPr>
              <w:jc w:val="center"/>
              <w:rPr>
                <w:color w:val="auto"/>
              </w:rPr>
            </w:pPr>
          </w:p>
        </w:tc>
        <w:tc>
          <w:tcPr>
            <w:tcW w:w="1641" w:type="dxa"/>
            <w:gridSpan w:val="4"/>
            <w:noWrap w:val="0"/>
            <w:vAlign w:val="center"/>
          </w:tcPr>
          <w:p w14:paraId="2C4C9AF4">
            <w:pPr>
              <w:jc w:val="center"/>
              <w:rPr>
                <w:color w:val="auto"/>
              </w:rPr>
            </w:pPr>
          </w:p>
        </w:tc>
        <w:tc>
          <w:tcPr>
            <w:tcW w:w="1484" w:type="dxa"/>
            <w:gridSpan w:val="2"/>
            <w:noWrap w:val="0"/>
            <w:vAlign w:val="center"/>
          </w:tcPr>
          <w:p w14:paraId="58BFB81A">
            <w:pPr>
              <w:jc w:val="center"/>
              <w:rPr>
                <w:color w:val="auto"/>
              </w:rPr>
            </w:pPr>
          </w:p>
        </w:tc>
      </w:tr>
    </w:tbl>
    <w:p w14:paraId="2B67C665">
      <w:pPr>
        <w:spacing w:line="360" w:lineRule="auto"/>
        <w:rPr>
          <w:rFonts w:ascii="宋体" w:hAnsi="宋体"/>
          <w:color w:val="auto"/>
          <w:szCs w:val="21"/>
        </w:rPr>
      </w:pPr>
      <w:r>
        <w:rPr>
          <w:rFonts w:hint="eastAsia" w:ascii="宋体" w:hAnsi="宋体" w:cs="楷体_GB2312"/>
          <w:color w:val="auto"/>
          <w:szCs w:val="21"/>
        </w:rPr>
        <w:t>备注：</w:t>
      </w:r>
    </w:p>
    <w:p w14:paraId="125A58DC">
      <w:pPr>
        <w:spacing w:line="360" w:lineRule="auto"/>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.项目</w:t>
      </w:r>
      <w:r>
        <w:rPr>
          <w:rFonts w:ascii="宋体" w:hAnsi="宋体"/>
          <w:color w:val="auto"/>
          <w:szCs w:val="21"/>
        </w:rPr>
        <w:t>数</w:t>
      </w:r>
      <w:r>
        <w:rPr>
          <w:rFonts w:hint="eastAsia" w:ascii="宋体" w:hAnsi="宋体"/>
          <w:color w:val="auto"/>
          <w:szCs w:val="21"/>
        </w:rPr>
        <w:t>可</w:t>
      </w:r>
      <w:r>
        <w:rPr>
          <w:rFonts w:ascii="宋体" w:hAnsi="宋体"/>
          <w:color w:val="auto"/>
          <w:szCs w:val="21"/>
        </w:rPr>
        <w:t>以根据需要增加。</w:t>
      </w:r>
    </w:p>
    <w:p w14:paraId="0FB291D4">
      <w:pPr>
        <w:spacing w:line="360" w:lineRule="auto"/>
        <w:ind w:firstLine="420" w:firstLineChars="200"/>
        <w:rPr>
          <w:rFonts w:hint="eastAsia" w:ascii="宋体" w:hAnsi="宋体"/>
          <w:color w:val="auto"/>
          <w:szCs w:val="21"/>
        </w:rPr>
      </w:pPr>
      <w:r>
        <w:rPr>
          <w:rFonts w:hint="eastAsia" w:ascii="宋体" w:hAnsi="宋体"/>
          <w:color w:val="auto"/>
          <w:szCs w:val="21"/>
        </w:rPr>
        <w:t>2.本表后附技术负责人（项目总工）的学历证、本表所列证书复印件并加盖供应商电子签章。</w:t>
      </w:r>
    </w:p>
    <w:p w14:paraId="5A210C10">
      <w:pPr>
        <w:spacing w:line="360" w:lineRule="auto"/>
        <w:rPr>
          <w:rFonts w:hint="eastAsia" w:eastAsia="楷体_GB2312"/>
          <w:color w:val="auto"/>
        </w:rPr>
      </w:pPr>
    </w:p>
    <w:p w14:paraId="56427D90">
      <w:pPr>
        <w:pStyle w:val="193"/>
        <w:spacing w:line="360" w:lineRule="auto"/>
        <w:jc w:val="center"/>
        <w:outlineLvl w:val="0"/>
        <w:rPr>
          <w:color w:val="auto"/>
          <w:sz w:val="28"/>
          <w:szCs w:val="28"/>
          <w:u w:val="single"/>
        </w:rPr>
      </w:pPr>
      <w:r>
        <w:rPr>
          <w:rFonts w:cs="宋体"/>
          <w:b/>
          <w:bCs/>
          <w:color w:val="auto"/>
          <w:sz w:val="28"/>
          <w:szCs w:val="28"/>
        </w:rPr>
        <w:br w:type="page"/>
      </w:r>
      <w:bookmarkStart w:id="120" w:name="_Toc122424266"/>
      <w:bookmarkStart w:id="121" w:name="_Toc122424017"/>
      <w:r>
        <w:rPr>
          <w:rFonts w:hint="eastAsia" w:cs="宋体"/>
          <w:b/>
          <w:color w:val="auto"/>
          <w:sz w:val="28"/>
          <w:szCs w:val="28"/>
        </w:rPr>
        <w:t>专职安全生产管理人员</w:t>
      </w:r>
      <w:bookmarkEnd w:id="120"/>
      <w:bookmarkEnd w:id="121"/>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888"/>
        <w:gridCol w:w="660"/>
        <w:gridCol w:w="328"/>
        <w:gridCol w:w="234"/>
        <w:gridCol w:w="66"/>
        <w:gridCol w:w="1209"/>
        <w:gridCol w:w="142"/>
        <w:gridCol w:w="242"/>
        <w:gridCol w:w="1088"/>
        <w:gridCol w:w="88"/>
        <w:gridCol w:w="409"/>
        <w:gridCol w:w="1108"/>
        <w:gridCol w:w="36"/>
        <w:gridCol w:w="79"/>
        <w:gridCol w:w="1405"/>
        <w:gridCol w:w="11"/>
      </w:tblGrid>
      <w:tr w14:paraId="64D4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11C3770D">
            <w:pPr>
              <w:jc w:val="center"/>
              <w:rPr>
                <w:color w:val="auto"/>
              </w:rPr>
            </w:pPr>
            <w:r>
              <w:rPr>
                <w:rFonts w:hint="eastAsia" w:cs="宋体"/>
                <w:color w:val="auto"/>
              </w:rPr>
              <w:t>姓名</w:t>
            </w:r>
          </w:p>
        </w:tc>
        <w:tc>
          <w:tcPr>
            <w:tcW w:w="2340" w:type="dxa"/>
            <w:gridSpan w:val="5"/>
            <w:noWrap w:val="0"/>
            <w:vAlign w:val="center"/>
          </w:tcPr>
          <w:p w14:paraId="10DF8168">
            <w:pPr>
              <w:jc w:val="center"/>
              <w:rPr>
                <w:color w:val="auto"/>
              </w:rPr>
            </w:pPr>
          </w:p>
        </w:tc>
        <w:tc>
          <w:tcPr>
            <w:tcW w:w="1893" w:type="dxa"/>
            <w:gridSpan w:val="5"/>
            <w:noWrap w:val="0"/>
            <w:vAlign w:val="center"/>
          </w:tcPr>
          <w:p w14:paraId="4EFF182A">
            <w:pPr>
              <w:jc w:val="center"/>
              <w:rPr>
                <w:color w:val="auto"/>
              </w:rPr>
            </w:pPr>
            <w:r>
              <w:rPr>
                <w:rFonts w:hint="eastAsia" w:cs="宋体"/>
                <w:color w:val="auto"/>
              </w:rPr>
              <w:t>性别</w:t>
            </w:r>
          </w:p>
        </w:tc>
        <w:tc>
          <w:tcPr>
            <w:tcW w:w="1585" w:type="dxa"/>
            <w:gridSpan w:val="3"/>
            <w:noWrap w:val="0"/>
            <w:vAlign w:val="center"/>
          </w:tcPr>
          <w:p w14:paraId="5C77796B">
            <w:pPr>
              <w:jc w:val="center"/>
              <w:rPr>
                <w:color w:val="auto"/>
              </w:rPr>
            </w:pPr>
          </w:p>
        </w:tc>
        <w:tc>
          <w:tcPr>
            <w:tcW w:w="1108" w:type="dxa"/>
            <w:noWrap w:val="0"/>
            <w:vAlign w:val="center"/>
          </w:tcPr>
          <w:p w14:paraId="6F77F092">
            <w:pPr>
              <w:jc w:val="center"/>
              <w:rPr>
                <w:color w:val="auto"/>
              </w:rPr>
            </w:pPr>
            <w:r>
              <w:rPr>
                <w:rFonts w:hint="eastAsia" w:cs="宋体"/>
                <w:color w:val="auto"/>
              </w:rPr>
              <w:t>年龄</w:t>
            </w:r>
          </w:p>
        </w:tc>
        <w:tc>
          <w:tcPr>
            <w:tcW w:w="1531" w:type="dxa"/>
            <w:gridSpan w:val="4"/>
            <w:noWrap w:val="0"/>
            <w:vAlign w:val="center"/>
          </w:tcPr>
          <w:p w14:paraId="7787611A">
            <w:pPr>
              <w:jc w:val="center"/>
              <w:rPr>
                <w:color w:val="auto"/>
              </w:rPr>
            </w:pPr>
          </w:p>
        </w:tc>
      </w:tr>
      <w:tr w14:paraId="75C8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3A8A7990">
            <w:pPr>
              <w:jc w:val="center"/>
              <w:rPr>
                <w:color w:val="auto"/>
              </w:rPr>
            </w:pPr>
            <w:r>
              <w:rPr>
                <w:rFonts w:hint="eastAsia" w:cs="宋体"/>
                <w:color w:val="auto"/>
              </w:rPr>
              <w:t>岗位</w:t>
            </w:r>
          </w:p>
        </w:tc>
        <w:tc>
          <w:tcPr>
            <w:tcW w:w="2340" w:type="dxa"/>
            <w:gridSpan w:val="5"/>
            <w:noWrap w:val="0"/>
            <w:vAlign w:val="center"/>
          </w:tcPr>
          <w:p w14:paraId="6BFE0857">
            <w:pPr>
              <w:jc w:val="center"/>
              <w:rPr>
                <w:color w:val="auto"/>
              </w:rPr>
            </w:pPr>
            <w:r>
              <w:rPr>
                <w:rFonts w:hint="eastAsia"/>
                <w:color w:val="auto"/>
              </w:rPr>
              <w:t>专职安全生产管理人员</w:t>
            </w:r>
          </w:p>
        </w:tc>
        <w:tc>
          <w:tcPr>
            <w:tcW w:w="1893" w:type="dxa"/>
            <w:gridSpan w:val="5"/>
            <w:noWrap w:val="0"/>
            <w:vAlign w:val="center"/>
          </w:tcPr>
          <w:p w14:paraId="6999E80E">
            <w:pPr>
              <w:jc w:val="center"/>
              <w:rPr>
                <w:color w:val="auto"/>
              </w:rPr>
            </w:pPr>
            <w:r>
              <w:rPr>
                <w:rFonts w:hint="eastAsia" w:cs="宋体"/>
                <w:color w:val="auto"/>
              </w:rPr>
              <w:t>职称</w:t>
            </w:r>
          </w:p>
        </w:tc>
        <w:tc>
          <w:tcPr>
            <w:tcW w:w="1585" w:type="dxa"/>
            <w:gridSpan w:val="3"/>
            <w:noWrap w:val="0"/>
            <w:vAlign w:val="center"/>
          </w:tcPr>
          <w:p w14:paraId="68B8417E">
            <w:pPr>
              <w:jc w:val="center"/>
              <w:rPr>
                <w:color w:val="auto"/>
              </w:rPr>
            </w:pPr>
          </w:p>
        </w:tc>
        <w:tc>
          <w:tcPr>
            <w:tcW w:w="1108" w:type="dxa"/>
            <w:noWrap w:val="0"/>
            <w:vAlign w:val="center"/>
          </w:tcPr>
          <w:p w14:paraId="4655E56B">
            <w:pPr>
              <w:jc w:val="center"/>
              <w:rPr>
                <w:color w:val="auto"/>
              </w:rPr>
            </w:pPr>
            <w:r>
              <w:rPr>
                <w:rFonts w:hint="eastAsia" w:cs="宋体"/>
                <w:color w:val="auto"/>
              </w:rPr>
              <w:t>学历</w:t>
            </w:r>
          </w:p>
        </w:tc>
        <w:tc>
          <w:tcPr>
            <w:tcW w:w="1531" w:type="dxa"/>
            <w:gridSpan w:val="4"/>
            <w:noWrap w:val="0"/>
            <w:vAlign w:val="center"/>
          </w:tcPr>
          <w:p w14:paraId="5D319971">
            <w:pPr>
              <w:jc w:val="center"/>
              <w:rPr>
                <w:color w:val="auto"/>
              </w:rPr>
            </w:pPr>
          </w:p>
        </w:tc>
      </w:tr>
      <w:tr w14:paraId="736D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728078CC">
            <w:pPr>
              <w:jc w:val="center"/>
              <w:rPr>
                <w:rFonts w:hint="eastAsia" w:cs="宋体"/>
                <w:color w:val="auto"/>
              </w:rPr>
            </w:pPr>
            <w:r>
              <w:rPr>
                <w:rFonts w:hint="eastAsia" w:cs="宋体"/>
                <w:color w:val="auto"/>
              </w:rPr>
              <w:t>从业开始时间</w:t>
            </w:r>
          </w:p>
        </w:tc>
        <w:tc>
          <w:tcPr>
            <w:tcW w:w="2340" w:type="dxa"/>
            <w:gridSpan w:val="5"/>
            <w:noWrap w:val="0"/>
            <w:vAlign w:val="center"/>
          </w:tcPr>
          <w:p w14:paraId="094FD7AE">
            <w:pPr>
              <w:jc w:val="center"/>
              <w:rPr>
                <w:color w:val="auto"/>
              </w:rPr>
            </w:pPr>
          </w:p>
        </w:tc>
        <w:tc>
          <w:tcPr>
            <w:tcW w:w="1893" w:type="dxa"/>
            <w:gridSpan w:val="5"/>
            <w:noWrap w:val="0"/>
            <w:vAlign w:val="center"/>
          </w:tcPr>
          <w:p w14:paraId="1A8ADB92">
            <w:pPr>
              <w:jc w:val="center"/>
              <w:rPr>
                <w:rFonts w:hint="eastAsia" w:cs="宋体"/>
                <w:color w:val="auto"/>
              </w:rPr>
            </w:pPr>
            <w:r>
              <w:rPr>
                <w:rFonts w:hint="eastAsia" w:cs="宋体"/>
                <w:color w:val="auto"/>
              </w:rPr>
              <w:t>职称</w:t>
            </w:r>
            <w:r>
              <w:rPr>
                <w:rFonts w:cs="宋体"/>
                <w:color w:val="auto"/>
              </w:rPr>
              <w:t>获</w:t>
            </w:r>
            <w:r>
              <w:rPr>
                <w:rFonts w:hint="eastAsia" w:cs="宋体"/>
                <w:color w:val="auto"/>
              </w:rPr>
              <w:t>得</w:t>
            </w:r>
            <w:r>
              <w:rPr>
                <w:rFonts w:cs="宋体"/>
                <w:color w:val="auto"/>
              </w:rPr>
              <w:t>时间</w:t>
            </w:r>
          </w:p>
        </w:tc>
        <w:tc>
          <w:tcPr>
            <w:tcW w:w="1585" w:type="dxa"/>
            <w:gridSpan w:val="3"/>
            <w:noWrap w:val="0"/>
            <w:vAlign w:val="center"/>
          </w:tcPr>
          <w:p w14:paraId="2ED34A8B">
            <w:pPr>
              <w:jc w:val="center"/>
              <w:rPr>
                <w:color w:val="auto"/>
              </w:rPr>
            </w:pPr>
          </w:p>
        </w:tc>
        <w:tc>
          <w:tcPr>
            <w:tcW w:w="1108" w:type="dxa"/>
            <w:noWrap w:val="0"/>
            <w:vAlign w:val="center"/>
          </w:tcPr>
          <w:p w14:paraId="15ADD1BA">
            <w:pPr>
              <w:jc w:val="center"/>
              <w:rPr>
                <w:rFonts w:hint="eastAsia" w:cs="宋体"/>
                <w:color w:val="auto"/>
              </w:rPr>
            </w:pPr>
            <w:r>
              <w:rPr>
                <w:rFonts w:hint="eastAsia" w:cs="宋体"/>
                <w:color w:val="auto"/>
              </w:rPr>
              <w:t>毕业时间</w:t>
            </w:r>
          </w:p>
        </w:tc>
        <w:tc>
          <w:tcPr>
            <w:tcW w:w="1531" w:type="dxa"/>
            <w:gridSpan w:val="4"/>
            <w:noWrap w:val="0"/>
            <w:vAlign w:val="center"/>
          </w:tcPr>
          <w:p w14:paraId="2B4300DD">
            <w:pPr>
              <w:jc w:val="center"/>
              <w:rPr>
                <w:color w:val="auto"/>
              </w:rPr>
            </w:pPr>
          </w:p>
        </w:tc>
      </w:tr>
      <w:tr w14:paraId="799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1692923E">
            <w:pPr>
              <w:jc w:val="center"/>
              <w:rPr>
                <w:color w:val="auto"/>
              </w:rPr>
            </w:pPr>
            <w:r>
              <w:rPr>
                <w:rFonts w:hint="eastAsia" w:cs="宋体"/>
                <w:color w:val="auto"/>
              </w:rPr>
              <w:t>担任……年限</w:t>
            </w:r>
          </w:p>
        </w:tc>
        <w:tc>
          <w:tcPr>
            <w:tcW w:w="2563" w:type="dxa"/>
            <w:gridSpan w:val="6"/>
            <w:noWrap w:val="0"/>
            <w:vAlign w:val="center"/>
          </w:tcPr>
          <w:p w14:paraId="5368E309">
            <w:pPr>
              <w:jc w:val="center"/>
              <w:rPr>
                <w:color w:val="auto"/>
              </w:rPr>
            </w:pPr>
          </w:p>
        </w:tc>
        <w:tc>
          <w:tcPr>
            <w:tcW w:w="1209" w:type="dxa"/>
            <w:noWrap w:val="0"/>
            <w:vAlign w:val="center"/>
          </w:tcPr>
          <w:p w14:paraId="77D05EDA">
            <w:pPr>
              <w:jc w:val="center"/>
              <w:rPr>
                <w:color w:val="auto"/>
              </w:rPr>
            </w:pPr>
            <w:r>
              <w:rPr>
                <w:rFonts w:hint="eastAsia"/>
                <w:color w:val="auto"/>
              </w:rPr>
              <w:t>身份</w:t>
            </w:r>
            <w:r>
              <w:rPr>
                <w:color w:val="auto"/>
              </w:rPr>
              <w:t>证号码</w:t>
            </w:r>
          </w:p>
        </w:tc>
        <w:tc>
          <w:tcPr>
            <w:tcW w:w="4608" w:type="dxa"/>
            <w:gridSpan w:val="10"/>
            <w:noWrap w:val="0"/>
            <w:vAlign w:val="center"/>
          </w:tcPr>
          <w:p w14:paraId="420BAD63">
            <w:pPr>
              <w:jc w:val="center"/>
              <w:rPr>
                <w:color w:val="auto"/>
              </w:rPr>
            </w:pPr>
          </w:p>
        </w:tc>
      </w:tr>
      <w:tr w14:paraId="5CBA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0ADD01C1">
            <w:pPr>
              <w:jc w:val="center"/>
              <w:rPr>
                <w:color w:val="auto"/>
              </w:rPr>
            </w:pPr>
            <w:r>
              <w:rPr>
                <w:rFonts w:hint="eastAsia"/>
                <w:color w:val="auto"/>
              </w:rPr>
              <w:t>证书名称</w:t>
            </w:r>
          </w:p>
        </w:tc>
        <w:tc>
          <w:tcPr>
            <w:tcW w:w="1275" w:type="dxa"/>
            <w:gridSpan w:val="2"/>
            <w:noWrap w:val="0"/>
            <w:vAlign w:val="center"/>
          </w:tcPr>
          <w:p w14:paraId="228C78F3">
            <w:pPr>
              <w:jc w:val="center"/>
              <w:rPr>
                <w:color w:val="auto"/>
              </w:rPr>
            </w:pPr>
            <w:r>
              <w:rPr>
                <w:rFonts w:hint="eastAsia"/>
                <w:color w:val="auto"/>
              </w:rPr>
              <w:t>注册专业</w:t>
            </w:r>
          </w:p>
        </w:tc>
        <w:tc>
          <w:tcPr>
            <w:tcW w:w="1222" w:type="dxa"/>
            <w:gridSpan w:val="3"/>
            <w:noWrap w:val="0"/>
            <w:vAlign w:val="center"/>
          </w:tcPr>
          <w:p w14:paraId="461A2DC2">
            <w:pPr>
              <w:jc w:val="center"/>
              <w:rPr>
                <w:color w:val="auto"/>
              </w:rPr>
            </w:pPr>
            <w:r>
              <w:rPr>
                <w:color w:val="auto"/>
              </w:rPr>
              <w:t>级别</w:t>
            </w:r>
          </w:p>
        </w:tc>
        <w:tc>
          <w:tcPr>
            <w:tcW w:w="1417" w:type="dxa"/>
            <w:gridSpan w:val="3"/>
            <w:noWrap w:val="0"/>
            <w:vAlign w:val="center"/>
          </w:tcPr>
          <w:p w14:paraId="30E31C94">
            <w:pPr>
              <w:jc w:val="center"/>
              <w:rPr>
                <w:color w:val="auto"/>
              </w:rPr>
            </w:pPr>
            <w:r>
              <w:rPr>
                <w:rFonts w:hint="eastAsia" w:cs="宋体"/>
                <w:color w:val="auto"/>
              </w:rPr>
              <w:t>证书编号</w:t>
            </w:r>
          </w:p>
        </w:tc>
        <w:tc>
          <w:tcPr>
            <w:tcW w:w="1418" w:type="dxa"/>
            <w:gridSpan w:val="3"/>
            <w:noWrap w:val="0"/>
            <w:vAlign w:val="center"/>
          </w:tcPr>
          <w:p w14:paraId="1996DDAD">
            <w:pPr>
              <w:jc w:val="center"/>
              <w:rPr>
                <w:color w:val="auto"/>
              </w:rPr>
            </w:pPr>
            <w:r>
              <w:rPr>
                <w:rFonts w:hint="eastAsia"/>
                <w:color w:val="auto"/>
              </w:rPr>
              <w:t>注册时间</w:t>
            </w:r>
          </w:p>
        </w:tc>
        <w:tc>
          <w:tcPr>
            <w:tcW w:w="1632" w:type="dxa"/>
            <w:gridSpan w:val="4"/>
            <w:noWrap w:val="0"/>
            <w:vAlign w:val="center"/>
          </w:tcPr>
          <w:p w14:paraId="665F9D7D">
            <w:pPr>
              <w:jc w:val="center"/>
              <w:rPr>
                <w:color w:val="auto"/>
              </w:rPr>
            </w:pPr>
            <w:r>
              <w:rPr>
                <w:rFonts w:hint="eastAsia"/>
                <w:color w:val="auto"/>
              </w:rPr>
              <w:t>注册单位</w:t>
            </w:r>
          </w:p>
        </w:tc>
        <w:tc>
          <w:tcPr>
            <w:tcW w:w="1416" w:type="dxa"/>
            <w:gridSpan w:val="2"/>
            <w:noWrap w:val="0"/>
            <w:vAlign w:val="center"/>
          </w:tcPr>
          <w:p w14:paraId="142BDDF2">
            <w:pPr>
              <w:jc w:val="center"/>
              <w:rPr>
                <w:color w:val="auto"/>
              </w:rPr>
            </w:pPr>
            <w:r>
              <w:rPr>
                <w:rFonts w:hint="eastAsia"/>
                <w:color w:val="auto"/>
              </w:rPr>
              <w:t>注册有效期</w:t>
            </w:r>
          </w:p>
        </w:tc>
      </w:tr>
      <w:tr w14:paraId="09D5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0383A1ED">
            <w:pPr>
              <w:jc w:val="center"/>
              <w:rPr>
                <w:rFonts w:hint="eastAsia"/>
                <w:color w:val="auto"/>
              </w:rPr>
            </w:pPr>
            <w:r>
              <w:rPr>
                <w:rFonts w:hint="eastAsia"/>
                <w:color w:val="auto"/>
              </w:rPr>
              <w:t>安全生产考核合格证书</w:t>
            </w:r>
          </w:p>
        </w:tc>
        <w:tc>
          <w:tcPr>
            <w:tcW w:w="1275" w:type="dxa"/>
            <w:gridSpan w:val="2"/>
            <w:noWrap w:val="0"/>
            <w:vAlign w:val="center"/>
          </w:tcPr>
          <w:p w14:paraId="0F30D60C">
            <w:pPr>
              <w:jc w:val="center"/>
              <w:rPr>
                <w:rFonts w:hint="eastAsia"/>
                <w:color w:val="auto"/>
              </w:rPr>
            </w:pPr>
          </w:p>
        </w:tc>
        <w:tc>
          <w:tcPr>
            <w:tcW w:w="1222" w:type="dxa"/>
            <w:gridSpan w:val="3"/>
            <w:noWrap w:val="0"/>
            <w:vAlign w:val="center"/>
          </w:tcPr>
          <w:p w14:paraId="752A8DDD">
            <w:pPr>
              <w:jc w:val="center"/>
              <w:rPr>
                <w:rFonts w:hint="eastAsia" w:cs="宋体"/>
                <w:color w:val="auto"/>
              </w:rPr>
            </w:pPr>
            <w:r>
              <w:rPr>
                <w:rFonts w:hint="eastAsia" w:cs="宋体"/>
                <w:color w:val="auto"/>
              </w:rPr>
              <w:t>C类</w:t>
            </w:r>
          </w:p>
        </w:tc>
        <w:tc>
          <w:tcPr>
            <w:tcW w:w="1417" w:type="dxa"/>
            <w:gridSpan w:val="3"/>
            <w:noWrap w:val="0"/>
            <w:vAlign w:val="center"/>
          </w:tcPr>
          <w:p w14:paraId="5E5515F5">
            <w:pPr>
              <w:jc w:val="center"/>
              <w:rPr>
                <w:rFonts w:hint="eastAsia"/>
                <w:color w:val="auto"/>
              </w:rPr>
            </w:pPr>
          </w:p>
        </w:tc>
        <w:tc>
          <w:tcPr>
            <w:tcW w:w="1418" w:type="dxa"/>
            <w:gridSpan w:val="3"/>
            <w:noWrap w:val="0"/>
            <w:vAlign w:val="center"/>
          </w:tcPr>
          <w:p w14:paraId="2FB73AE9">
            <w:pPr>
              <w:jc w:val="center"/>
              <w:rPr>
                <w:rFonts w:hint="eastAsia"/>
                <w:color w:val="auto"/>
              </w:rPr>
            </w:pPr>
          </w:p>
        </w:tc>
        <w:tc>
          <w:tcPr>
            <w:tcW w:w="1632" w:type="dxa"/>
            <w:gridSpan w:val="4"/>
            <w:noWrap w:val="0"/>
            <w:vAlign w:val="center"/>
          </w:tcPr>
          <w:p w14:paraId="6E967D11">
            <w:pPr>
              <w:jc w:val="center"/>
              <w:rPr>
                <w:rFonts w:hint="eastAsia"/>
                <w:color w:val="auto"/>
              </w:rPr>
            </w:pPr>
          </w:p>
        </w:tc>
        <w:tc>
          <w:tcPr>
            <w:tcW w:w="1416" w:type="dxa"/>
            <w:gridSpan w:val="2"/>
            <w:noWrap w:val="0"/>
            <w:vAlign w:val="center"/>
          </w:tcPr>
          <w:p w14:paraId="362B523D">
            <w:pPr>
              <w:jc w:val="center"/>
              <w:rPr>
                <w:rFonts w:hint="eastAsia"/>
                <w:color w:val="auto"/>
              </w:rPr>
            </w:pPr>
          </w:p>
        </w:tc>
      </w:tr>
      <w:tr w14:paraId="4A11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0BE52A6D">
            <w:pPr>
              <w:jc w:val="center"/>
              <w:rPr>
                <w:rFonts w:hint="eastAsia"/>
                <w:color w:val="auto"/>
              </w:rPr>
            </w:pPr>
          </w:p>
        </w:tc>
        <w:tc>
          <w:tcPr>
            <w:tcW w:w="1275" w:type="dxa"/>
            <w:gridSpan w:val="2"/>
            <w:noWrap w:val="0"/>
            <w:vAlign w:val="center"/>
          </w:tcPr>
          <w:p w14:paraId="6F29C808">
            <w:pPr>
              <w:jc w:val="center"/>
              <w:rPr>
                <w:rFonts w:hint="eastAsia"/>
                <w:color w:val="auto"/>
              </w:rPr>
            </w:pPr>
          </w:p>
        </w:tc>
        <w:tc>
          <w:tcPr>
            <w:tcW w:w="1222" w:type="dxa"/>
            <w:gridSpan w:val="3"/>
            <w:noWrap w:val="0"/>
            <w:vAlign w:val="center"/>
          </w:tcPr>
          <w:p w14:paraId="7F27CF25">
            <w:pPr>
              <w:jc w:val="center"/>
              <w:rPr>
                <w:rFonts w:hint="eastAsia" w:cs="宋体"/>
                <w:color w:val="auto"/>
              </w:rPr>
            </w:pPr>
          </w:p>
        </w:tc>
        <w:tc>
          <w:tcPr>
            <w:tcW w:w="1417" w:type="dxa"/>
            <w:gridSpan w:val="3"/>
            <w:noWrap w:val="0"/>
            <w:vAlign w:val="center"/>
          </w:tcPr>
          <w:p w14:paraId="04925423">
            <w:pPr>
              <w:jc w:val="center"/>
              <w:rPr>
                <w:rFonts w:hint="eastAsia"/>
                <w:color w:val="auto"/>
              </w:rPr>
            </w:pPr>
          </w:p>
        </w:tc>
        <w:tc>
          <w:tcPr>
            <w:tcW w:w="1418" w:type="dxa"/>
            <w:gridSpan w:val="3"/>
            <w:noWrap w:val="0"/>
            <w:vAlign w:val="center"/>
          </w:tcPr>
          <w:p w14:paraId="67FEF07C">
            <w:pPr>
              <w:jc w:val="center"/>
              <w:rPr>
                <w:rFonts w:hint="eastAsia"/>
                <w:color w:val="auto"/>
              </w:rPr>
            </w:pPr>
          </w:p>
        </w:tc>
        <w:tc>
          <w:tcPr>
            <w:tcW w:w="1632" w:type="dxa"/>
            <w:gridSpan w:val="4"/>
            <w:noWrap w:val="0"/>
            <w:vAlign w:val="center"/>
          </w:tcPr>
          <w:p w14:paraId="026A4352">
            <w:pPr>
              <w:jc w:val="center"/>
              <w:rPr>
                <w:rFonts w:hint="eastAsia"/>
                <w:color w:val="auto"/>
              </w:rPr>
            </w:pPr>
          </w:p>
        </w:tc>
        <w:tc>
          <w:tcPr>
            <w:tcW w:w="1416" w:type="dxa"/>
            <w:gridSpan w:val="2"/>
            <w:noWrap w:val="0"/>
            <w:vAlign w:val="center"/>
          </w:tcPr>
          <w:p w14:paraId="28446A11">
            <w:pPr>
              <w:jc w:val="center"/>
              <w:rPr>
                <w:rFonts w:hint="eastAsia"/>
                <w:color w:val="auto"/>
              </w:rPr>
            </w:pPr>
          </w:p>
        </w:tc>
      </w:tr>
      <w:tr w14:paraId="7FDC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0"/>
            <w:vAlign w:val="center"/>
          </w:tcPr>
          <w:p w14:paraId="6C3C68A4">
            <w:pPr>
              <w:jc w:val="center"/>
              <w:rPr>
                <w:color w:val="auto"/>
              </w:rPr>
            </w:pPr>
            <w:r>
              <w:rPr>
                <w:rFonts w:hint="eastAsia" w:cs="宋体"/>
                <w:color w:val="auto"/>
              </w:rPr>
              <w:t>在建和已完工程项目情况</w:t>
            </w:r>
          </w:p>
        </w:tc>
      </w:tr>
      <w:tr w14:paraId="3C2B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3DBECD14">
            <w:pPr>
              <w:jc w:val="center"/>
              <w:rPr>
                <w:color w:val="auto"/>
              </w:rPr>
            </w:pPr>
          </w:p>
        </w:tc>
        <w:tc>
          <w:tcPr>
            <w:tcW w:w="1548" w:type="dxa"/>
            <w:gridSpan w:val="2"/>
            <w:noWrap w:val="0"/>
            <w:vAlign w:val="center"/>
          </w:tcPr>
          <w:p w14:paraId="15F48130">
            <w:pPr>
              <w:jc w:val="center"/>
              <w:rPr>
                <w:rFonts w:hint="eastAsia"/>
                <w:color w:val="auto"/>
              </w:rPr>
            </w:pPr>
            <w:r>
              <w:rPr>
                <w:rFonts w:hint="eastAsia"/>
                <w:color w:val="auto"/>
              </w:rPr>
              <w:t>项目1</w:t>
            </w:r>
          </w:p>
        </w:tc>
        <w:tc>
          <w:tcPr>
            <w:tcW w:w="1837" w:type="dxa"/>
            <w:gridSpan w:val="4"/>
            <w:noWrap w:val="0"/>
            <w:vAlign w:val="center"/>
          </w:tcPr>
          <w:p w14:paraId="6E4D0089">
            <w:pPr>
              <w:jc w:val="center"/>
              <w:rPr>
                <w:color w:val="auto"/>
              </w:rPr>
            </w:pPr>
            <w:r>
              <w:rPr>
                <w:rFonts w:hint="eastAsia"/>
                <w:color w:val="auto"/>
              </w:rPr>
              <w:t>项目2</w:t>
            </w:r>
          </w:p>
        </w:tc>
        <w:tc>
          <w:tcPr>
            <w:tcW w:w="1472" w:type="dxa"/>
            <w:gridSpan w:val="3"/>
            <w:noWrap w:val="0"/>
            <w:vAlign w:val="center"/>
          </w:tcPr>
          <w:p w14:paraId="5B25CA8D">
            <w:pPr>
              <w:jc w:val="center"/>
              <w:rPr>
                <w:color w:val="auto"/>
              </w:rPr>
            </w:pPr>
            <w:r>
              <w:rPr>
                <w:rFonts w:hint="eastAsia"/>
                <w:color w:val="auto"/>
              </w:rPr>
              <w:t>项目3</w:t>
            </w:r>
          </w:p>
        </w:tc>
        <w:tc>
          <w:tcPr>
            <w:tcW w:w="1641" w:type="dxa"/>
            <w:gridSpan w:val="4"/>
            <w:noWrap w:val="0"/>
            <w:vAlign w:val="center"/>
          </w:tcPr>
          <w:p w14:paraId="4BFC8213">
            <w:pPr>
              <w:jc w:val="center"/>
              <w:rPr>
                <w:color w:val="auto"/>
              </w:rPr>
            </w:pPr>
            <w:r>
              <w:rPr>
                <w:rFonts w:hint="eastAsia"/>
                <w:color w:val="auto"/>
              </w:rPr>
              <w:t>项目4</w:t>
            </w:r>
          </w:p>
        </w:tc>
        <w:tc>
          <w:tcPr>
            <w:tcW w:w="1484" w:type="dxa"/>
            <w:gridSpan w:val="2"/>
            <w:noWrap w:val="0"/>
            <w:vAlign w:val="center"/>
          </w:tcPr>
          <w:p w14:paraId="53635359">
            <w:pPr>
              <w:jc w:val="center"/>
              <w:rPr>
                <w:color w:val="auto"/>
              </w:rPr>
            </w:pPr>
            <w:r>
              <w:rPr>
                <w:rFonts w:hint="eastAsia"/>
                <w:color w:val="auto"/>
              </w:rPr>
              <w:t>……</w:t>
            </w:r>
          </w:p>
        </w:tc>
      </w:tr>
      <w:tr w14:paraId="4E4A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528642BE">
            <w:pPr>
              <w:jc w:val="center"/>
              <w:rPr>
                <w:color w:val="auto"/>
              </w:rPr>
            </w:pPr>
            <w:r>
              <w:rPr>
                <w:rFonts w:hint="eastAsia"/>
                <w:color w:val="auto"/>
              </w:rPr>
              <w:t>项目名称</w:t>
            </w:r>
          </w:p>
        </w:tc>
        <w:tc>
          <w:tcPr>
            <w:tcW w:w="1548" w:type="dxa"/>
            <w:gridSpan w:val="2"/>
            <w:noWrap w:val="0"/>
            <w:vAlign w:val="center"/>
          </w:tcPr>
          <w:p w14:paraId="2EC24BCF">
            <w:pPr>
              <w:jc w:val="center"/>
              <w:rPr>
                <w:color w:val="auto"/>
              </w:rPr>
            </w:pPr>
          </w:p>
        </w:tc>
        <w:tc>
          <w:tcPr>
            <w:tcW w:w="1837" w:type="dxa"/>
            <w:gridSpan w:val="4"/>
            <w:noWrap w:val="0"/>
            <w:vAlign w:val="center"/>
          </w:tcPr>
          <w:p w14:paraId="5638673B">
            <w:pPr>
              <w:jc w:val="center"/>
              <w:rPr>
                <w:color w:val="auto"/>
              </w:rPr>
            </w:pPr>
          </w:p>
        </w:tc>
        <w:tc>
          <w:tcPr>
            <w:tcW w:w="1472" w:type="dxa"/>
            <w:gridSpan w:val="3"/>
            <w:noWrap w:val="0"/>
            <w:vAlign w:val="center"/>
          </w:tcPr>
          <w:p w14:paraId="24D5DF19">
            <w:pPr>
              <w:jc w:val="center"/>
              <w:rPr>
                <w:color w:val="auto"/>
              </w:rPr>
            </w:pPr>
          </w:p>
        </w:tc>
        <w:tc>
          <w:tcPr>
            <w:tcW w:w="1641" w:type="dxa"/>
            <w:gridSpan w:val="4"/>
            <w:noWrap w:val="0"/>
            <w:vAlign w:val="center"/>
          </w:tcPr>
          <w:p w14:paraId="455B1977">
            <w:pPr>
              <w:jc w:val="center"/>
              <w:rPr>
                <w:color w:val="auto"/>
              </w:rPr>
            </w:pPr>
          </w:p>
        </w:tc>
        <w:tc>
          <w:tcPr>
            <w:tcW w:w="1484" w:type="dxa"/>
            <w:gridSpan w:val="2"/>
            <w:noWrap w:val="0"/>
            <w:vAlign w:val="center"/>
          </w:tcPr>
          <w:p w14:paraId="53774D4B">
            <w:pPr>
              <w:jc w:val="center"/>
              <w:rPr>
                <w:color w:val="auto"/>
              </w:rPr>
            </w:pPr>
          </w:p>
        </w:tc>
      </w:tr>
      <w:tr w14:paraId="465E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6B35E692">
            <w:pPr>
              <w:jc w:val="center"/>
              <w:rPr>
                <w:color w:val="auto"/>
              </w:rPr>
            </w:pPr>
            <w:r>
              <w:rPr>
                <w:rFonts w:hint="eastAsia" w:cs="宋体"/>
                <w:color w:val="auto"/>
              </w:rPr>
              <w:t>建设单位</w:t>
            </w:r>
          </w:p>
        </w:tc>
        <w:tc>
          <w:tcPr>
            <w:tcW w:w="1548" w:type="dxa"/>
            <w:gridSpan w:val="2"/>
            <w:noWrap w:val="0"/>
            <w:vAlign w:val="center"/>
          </w:tcPr>
          <w:p w14:paraId="640CB1A1">
            <w:pPr>
              <w:jc w:val="center"/>
              <w:rPr>
                <w:color w:val="auto"/>
              </w:rPr>
            </w:pPr>
          </w:p>
        </w:tc>
        <w:tc>
          <w:tcPr>
            <w:tcW w:w="1837" w:type="dxa"/>
            <w:gridSpan w:val="4"/>
            <w:noWrap w:val="0"/>
            <w:vAlign w:val="center"/>
          </w:tcPr>
          <w:p w14:paraId="630B2F22">
            <w:pPr>
              <w:jc w:val="center"/>
              <w:rPr>
                <w:color w:val="auto"/>
              </w:rPr>
            </w:pPr>
          </w:p>
        </w:tc>
        <w:tc>
          <w:tcPr>
            <w:tcW w:w="1472" w:type="dxa"/>
            <w:gridSpan w:val="3"/>
            <w:noWrap w:val="0"/>
            <w:vAlign w:val="center"/>
          </w:tcPr>
          <w:p w14:paraId="26D4A5C4">
            <w:pPr>
              <w:jc w:val="center"/>
              <w:rPr>
                <w:color w:val="auto"/>
              </w:rPr>
            </w:pPr>
          </w:p>
        </w:tc>
        <w:tc>
          <w:tcPr>
            <w:tcW w:w="1641" w:type="dxa"/>
            <w:gridSpan w:val="4"/>
            <w:noWrap w:val="0"/>
            <w:vAlign w:val="center"/>
          </w:tcPr>
          <w:p w14:paraId="4D5BE6D5">
            <w:pPr>
              <w:jc w:val="center"/>
              <w:rPr>
                <w:color w:val="auto"/>
              </w:rPr>
            </w:pPr>
          </w:p>
        </w:tc>
        <w:tc>
          <w:tcPr>
            <w:tcW w:w="1484" w:type="dxa"/>
            <w:gridSpan w:val="2"/>
            <w:noWrap w:val="0"/>
            <w:vAlign w:val="center"/>
          </w:tcPr>
          <w:p w14:paraId="1A5DF611">
            <w:pPr>
              <w:jc w:val="center"/>
              <w:rPr>
                <w:color w:val="auto"/>
              </w:rPr>
            </w:pPr>
          </w:p>
        </w:tc>
      </w:tr>
      <w:tr w14:paraId="36D5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470E32FC">
            <w:pPr>
              <w:jc w:val="center"/>
              <w:rPr>
                <w:color w:val="auto"/>
              </w:rPr>
            </w:pPr>
            <w:r>
              <w:rPr>
                <w:rFonts w:hint="eastAsia" w:cs="宋体"/>
                <w:color w:val="auto"/>
              </w:rPr>
              <w:t>建设规模</w:t>
            </w:r>
          </w:p>
        </w:tc>
        <w:tc>
          <w:tcPr>
            <w:tcW w:w="1548" w:type="dxa"/>
            <w:gridSpan w:val="2"/>
            <w:noWrap w:val="0"/>
            <w:vAlign w:val="center"/>
          </w:tcPr>
          <w:p w14:paraId="5B8F2700">
            <w:pPr>
              <w:jc w:val="center"/>
              <w:rPr>
                <w:color w:val="auto"/>
              </w:rPr>
            </w:pPr>
          </w:p>
        </w:tc>
        <w:tc>
          <w:tcPr>
            <w:tcW w:w="1837" w:type="dxa"/>
            <w:gridSpan w:val="4"/>
            <w:noWrap w:val="0"/>
            <w:vAlign w:val="center"/>
          </w:tcPr>
          <w:p w14:paraId="2CE7D84D">
            <w:pPr>
              <w:jc w:val="center"/>
              <w:rPr>
                <w:color w:val="auto"/>
              </w:rPr>
            </w:pPr>
          </w:p>
        </w:tc>
        <w:tc>
          <w:tcPr>
            <w:tcW w:w="1472" w:type="dxa"/>
            <w:gridSpan w:val="3"/>
            <w:noWrap w:val="0"/>
            <w:vAlign w:val="center"/>
          </w:tcPr>
          <w:p w14:paraId="03057769">
            <w:pPr>
              <w:jc w:val="center"/>
              <w:rPr>
                <w:color w:val="auto"/>
              </w:rPr>
            </w:pPr>
          </w:p>
        </w:tc>
        <w:tc>
          <w:tcPr>
            <w:tcW w:w="1641" w:type="dxa"/>
            <w:gridSpan w:val="4"/>
            <w:noWrap w:val="0"/>
            <w:vAlign w:val="center"/>
          </w:tcPr>
          <w:p w14:paraId="59E5CC1E">
            <w:pPr>
              <w:jc w:val="center"/>
              <w:rPr>
                <w:color w:val="auto"/>
              </w:rPr>
            </w:pPr>
          </w:p>
        </w:tc>
        <w:tc>
          <w:tcPr>
            <w:tcW w:w="1484" w:type="dxa"/>
            <w:gridSpan w:val="2"/>
            <w:noWrap w:val="0"/>
            <w:vAlign w:val="center"/>
          </w:tcPr>
          <w:p w14:paraId="62415FC7">
            <w:pPr>
              <w:jc w:val="center"/>
              <w:rPr>
                <w:color w:val="auto"/>
              </w:rPr>
            </w:pPr>
          </w:p>
        </w:tc>
      </w:tr>
      <w:tr w14:paraId="3232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22100922">
            <w:pPr>
              <w:jc w:val="center"/>
              <w:rPr>
                <w:rFonts w:hint="eastAsia" w:ascii="宋体" w:hAnsi="宋体" w:cs="宋体"/>
                <w:color w:val="auto"/>
                <w:sz w:val="27"/>
                <w:szCs w:val="27"/>
                <w:lang w:bidi="ar"/>
              </w:rPr>
            </w:pPr>
            <w:r>
              <w:rPr>
                <w:rFonts w:hint="eastAsia" w:cs="宋体"/>
                <w:color w:val="auto"/>
              </w:rPr>
              <w:t>开工日期</w:t>
            </w:r>
          </w:p>
        </w:tc>
        <w:tc>
          <w:tcPr>
            <w:tcW w:w="1548" w:type="dxa"/>
            <w:gridSpan w:val="2"/>
            <w:noWrap w:val="0"/>
            <w:vAlign w:val="center"/>
          </w:tcPr>
          <w:p w14:paraId="69A955BE">
            <w:pPr>
              <w:jc w:val="center"/>
              <w:rPr>
                <w:color w:val="auto"/>
              </w:rPr>
            </w:pPr>
          </w:p>
        </w:tc>
        <w:tc>
          <w:tcPr>
            <w:tcW w:w="1837" w:type="dxa"/>
            <w:gridSpan w:val="4"/>
            <w:noWrap w:val="0"/>
            <w:vAlign w:val="center"/>
          </w:tcPr>
          <w:p w14:paraId="710714D2">
            <w:pPr>
              <w:jc w:val="center"/>
              <w:rPr>
                <w:color w:val="auto"/>
              </w:rPr>
            </w:pPr>
          </w:p>
        </w:tc>
        <w:tc>
          <w:tcPr>
            <w:tcW w:w="1472" w:type="dxa"/>
            <w:gridSpan w:val="3"/>
            <w:noWrap w:val="0"/>
            <w:vAlign w:val="center"/>
          </w:tcPr>
          <w:p w14:paraId="1B91AB54">
            <w:pPr>
              <w:jc w:val="center"/>
              <w:rPr>
                <w:color w:val="auto"/>
              </w:rPr>
            </w:pPr>
          </w:p>
        </w:tc>
        <w:tc>
          <w:tcPr>
            <w:tcW w:w="1641" w:type="dxa"/>
            <w:gridSpan w:val="4"/>
            <w:noWrap w:val="0"/>
            <w:vAlign w:val="center"/>
          </w:tcPr>
          <w:p w14:paraId="6CA2B01D">
            <w:pPr>
              <w:jc w:val="center"/>
              <w:rPr>
                <w:color w:val="auto"/>
              </w:rPr>
            </w:pPr>
          </w:p>
        </w:tc>
        <w:tc>
          <w:tcPr>
            <w:tcW w:w="1484" w:type="dxa"/>
            <w:gridSpan w:val="2"/>
            <w:noWrap w:val="0"/>
            <w:vAlign w:val="center"/>
          </w:tcPr>
          <w:p w14:paraId="095E97B4">
            <w:pPr>
              <w:jc w:val="center"/>
              <w:rPr>
                <w:color w:val="auto"/>
              </w:rPr>
            </w:pPr>
          </w:p>
        </w:tc>
      </w:tr>
      <w:tr w14:paraId="5870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798AC5E7">
            <w:pPr>
              <w:jc w:val="center"/>
              <w:rPr>
                <w:color w:val="auto"/>
              </w:rPr>
            </w:pPr>
            <w:r>
              <w:rPr>
                <w:rFonts w:hint="eastAsia" w:cs="宋体"/>
                <w:color w:val="auto"/>
              </w:rPr>
              <w:t>竣工日期</w:t>
            </w:r>
          </w:p>
        </w:tc>
        <w:tc>
          <w:tcPr>
            <w:tcW w:w="1548" w:type="dxa"/>
            <w:gridSpan w:val="2"/>
            <w:noWrap w:val="0"/>
            <w:vAlign w:val="center"/>
          </w:tcPr>
          <w:p w14:paraId="13277C7E">
            <w:pPr>
              <w:jc w:val="center"/>
              <w:rPr>
                <w:color w:val="auto"/>
              </w:rPr>
            </w:pPr>
          </w:p>
        </w:tc>
        <w:tc>
          <w:tcPr>
            <w:tcW w:w="1837" w:type="dxa"/>
            <w:gridSpan w:val="4"/>
            <w:noWrap w:val="0"/>
            <w:vAlign w:val="center"/>
          </w:tcPr>
          <w:p w14:paraId="258D663C">
            <w:pPr>
              <w:jc w:val="center"/>
              <w:rPr>
                <w:color w:val="auto"/>
              </w:rPr>
            </w:pPr>
          </w:p>
        </w:tc>
        <w:tc>
          <w:tcPr>
            <w:tcW w:w="1472" w:type="dxa"/>
            <w:gridSpan w:val="3"/>
            <w:noWrap w:val="0"/>
            <w:vAlign w:val="center"/>
          </w:tcPr>
          <w:p w14:paraId="236F018A">
            <w:pPr>
              <w:jc w:val="center"/>
              <w:rPr>
                <w:color w:val="auto"/>
              </w:rPr>
            </w:pPr>
          </w:p>
        </w:tc>
        <w:tc>
          <w:tcPr>
            <w:tcW w:w="1641" w:type="dxa"/>
            <w:gridSpan w:val="4"/>
            <w:noWrap w:val="0"/>
            <w:vAlign w:val="center"/>
          </w:tcPr>
          <w:p w14:paraId="1FB65FA3">
            <w:pPr>
              <w:jc w:val="center"/>
              <w:rPr>
                <w:color w:val="auto"/>
              </w:rPr>
            </w:pPr>
          </w:p>
        </w:tc>
        <w:tc>
          <w:tcPr>
            <w:tcW w:w="1484" w:type="dxa"/>
            <w:gridSpan w:val="2"/>
            <w:noWrap w:val="0"/>
            <w:vAlign w:val="center"/>
          </w:tcPr>
          <w:p w14:paraId="6841EF3A">
            <w:pPr>
              <w:jc w:val="center"/>
              <w:rPr>
                <w:color w:val="auto"/>
              </w:rPr>
            </w:pPr>
          </w:p>
        </w:tc>
      </w:tr>
      <w:tr w14:paraId="6EB5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6EE525C7">
            <w:pPr>
              <w:jc w:val="center"/>
              <w:rPr>
                <w:rFonts w:hint="eastAsia" w:cs="宋体"/>
                <w:color w:val="auto"/>
              </w:rPr>
            </w:pPr>
            <w:r>
              <w:rPr>
                <w:rFonts w:hint="eastAsia" w:cs="宋体"/>
                <w:color w:val="auto"/>
              </w:rPr>
              <w:t>人员角色</w:t>
            </w:r>
          </w:p>
        </w:tc>
        <w:tc>
          <w:tcPr>
            <w:tcW w:w="1548" w:type="dxa"/>
            <w:gridSpan w:val="2"/>
            <w:noWrap w:val="0"/>
            <w:vAlign w:val="center"/>
          </w:tcPr>
          <w:p w14:paraId="552658C7">
            <w:pPr>
              <w:jc w:val="center"/>
              <w:rPr>
                <w:color w:val="auto"/>
              </w:rPr>
            </w:pPr>
          </w:p>
        </w:tc>
        <w:tc>
          <w:tcPr>
            <w:tcW w:w="1837" w:type="dxa"/>
            <w:gridSpan w:val="4"/>
            <w:noWrap w:val="0"/>
            <w:vAlign w:val="center"/>
          </w:tcPr>
          <w:p w14:paraId="4382349E">
            <w:pPr>
              <w:jc w:val="center"/>
              <w:rPr>
                <w:color w:val="auto"/>
              </w:rPr>
            </w:pPr>
          </w:p>
        </w:tc>
        <w:tc>
          <w:tcPr>
            <w:tcW w:w="1472" w:type="dxa"/>
            <w:gridSpan w:val="3"/>
            <w:noWrap w:val="0"/>
            <w:vAlign w:val="center"/>
          </w:tcPr>
          <w:p w14:paraId="293D6928">
            <w:pPr>
              <w:jc w:val="center"/>
              <w:rPr>
                <w:color w:val="auto"/>
              </w:rPr>
            </w:pPr>
          </w:p>
        </w:tc>
        <w:tc>
          <w:tcPr>
            <w:tcW w:w="1641" w:type="dxa"/>
            <w:gridSpan w:val="4"/>
            <w:noWrap w:val="0"/>
            <w:vAlign w:val="center"/>
          </w:tcPr>
          <w:p w14:paraId="06A2255B">
            <w:pPr>
              <w:jc w:val="center"/>
              <w:rPr>
                <w:color w:val="auto"/>
              </w:rPr>
            </w:pPr>
          </w:p>
        </w:tc>
        <w:tc>
          <w:tcPr>
            <w:tcW w:w="1484" w:type="dxa"/>
            <w:gridSpan w:val="2"/>
            <w:noWrap w:val="0"/>
            <w:vAlign w:val="center"/>
          </w:tcPr>
          <w:p w14:paraId="5EF4635D">
            <w:pPr>
              <w:jc w:val="center"/>
              <w:rPr>
                <w:color w:val="auto"/>
              </w:rPr>
            </w:pPr>
          </w:p>
        </w:tc>
      </w:tr>
      <w:tr w14:paraId="676C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1F5177DA">
            <w:pPr>
              <w:jc w:val="center"/>
              <w:rPr>
                <w:rFonts w:hint="eastAsia" w:cs="宋体"/>
                <w:color w:val="auto"/>
              </w:rPr>
            </w:pPr>
            <w:r>
              <w:rPr>
                <w:rFonts w:hint="eastAsia" w:cs="宋体"/>
                <w:color w:val="auto"/>
              </w:rPr>
              <w:t>在建或已完</w:t>
            </w:r>
          </w:p>
        </w:tc>
        <w:tc>
          <w:tcPr>
            <w:tcW w:w="1548" w:type="dxa"/>
            <w:gridSpan w:val="2"/>
            <w:noWrap w:val="0"/>
            <w:vAlign w:val="center"/>
          </w:tcPr>
          <w:p w14:paraId="1A1082A5">
            <w:pPr>
              <w:jc w:val="center"/>
              <w:rPr>
                <w:color w:val="auto"/>
              </w:rPr>
            </w:pPr>
          </w:p>
        </w:tc>
        <w:tc>
          <w:tcPr>
            <w:tcW w:w="1837" w:type="dxa"/>
            <w:gridSpan w:val="4"/>
            <w:noWrap w:val="0"/>
            <w:vAlign w:val="center"/>
          </w:tcPr>
          <w:p w14:paraId="322A616A">
            <w:pPr>
              <w:jc w:val="center"/>
              <w:rPr>
                <w:color w:val="auto"/>
              </w:rPr>
            </w:pPr>
          </w:p>
        </w:tc>
        <w:tc>
          <w:tcPr>
            <w:tcW w:w="1472" w:type="dxa"/>
            <w:gridSpan w:val="3"/>
            <w:noWrap w:val="0"/>
            <w:vAlign w:val="center"/>
          </w:tcPr>
          <w:p w14:paraId="34DE8BD3">
            <w:pPr>
              <w:jc w:val="center"/>
              <w:rPr>
                <w:color w:val="auto"/>
              </w:rPr>
            </w:pPr>
          </w:p>
        </w:tc>
        <w:tc>
          <w:tcPr>
            <w:tcW w:w="1641" w:type="dxa"/>
            <w:gridSpan w:val="4"/>
            <w:noWrap w:val="0"/>
            <w:vAlign w:val="center"/>
          </w:tcPr>
          <w:p w14:paraId="3E3058EA">
            <w:pPr>
              <w:jc w:val="center"/>
              <w:rPr>
                <w:color w:val="auto"/>
              </w:rPr>
            </w:pPr>
          </w:p>
        </w:tc>
        <w:tc>
          <w:tcPr>
            <w:tcW w:w="1484" w:type="dxa"/>
            <w:gridSpan w:val="2"/>
            <w:noWrap w:val="0"/>
            <w:vAlign w:val="center"/>
          </w:tcPr>
          <w:p w14:paraId="000EBE2F">
            <w:pPr>
              <w:jc w:val="center"/>
              <w:rPr>
                <w:color w:val="auto"/>
              </w:rPr>
            </w:pPr>
          </w:p>
        </w:tc>
      </w:tr>
      <w:tr w14:paraId="1C05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1A339149">
            <w:pPr>
              <w:jc w:val="center"/>
              <w:rPr>
                <w:rFonts w:hint="eastAsia" w:cs="宋体"/>
                <w:color w:val="auto"/>
              </w:rPr>
            </w:pPr>
            <w:r>
              <w:rPr>
                <w:rFonts w:hint="eastAsia" w:cs="宋体"/>
                <w:color w:val="auto"/>
              </w:rPr>
              <w:t>工程质量</w:t>
            </w:r>
          </w:p>
        </w:tc>
        <w:tc>
          <w:tcPr>
            <w:tcW w:w="1548" w:type="dxa"/>
            <w:gridSpan w:val="2"/>
            <w:noWrap w:val="0"/>
            <w:vAlign w:val="center"/>
          </w:tcPr>
          <w:p w14:paraId="06489D6C">
            <w:pPr>
              <w:jc w:val="center"/>
              <w:rPr>
                <w:color w:val="auto"/>
              </w:rPr>
            </w:pPr>
          </w:p>
        </w:tc>
        <w:tc>
          <w:tcPr>
            <w:tcW w:w="1837" w:type="dxa"/>
            <w:gridSpan w:val="4"/>
            <w:noWrap w:val="0"/>
            <w:vAlign w:val="center"/>
          </w:tcPr>
          <w:p w14:paraId="19A8B374">
            <w:pPr>
              <w:jc w:val="center"/>
              <w:rPr>
                <w:color w:val="auto"/>
              </w:rPr>
            </w:pPr>
          </w:p>
        </w:tc>
        <w:tc>
          <w:tcPr>
            <w:tcW w:w="1472" w:type="dxa"/>
            <w:gridSpan w:val="3"/>
            <w:noWrap w:val="0"/>
            <w:vAlign w:val="center"/>
          </w:tcPr>
          <w:p w14:paraId="435B98E5">
            <w:pPr>
              <w:jc w:val="center"/>
              <w:rPr>
                <w:color w:val="auto"/>
              </w:rPr>
            </w:pPr>
          </w:p>
        </w:tc>
        <w:tc>
          <w:tcPr>
            <w:tcW w:w="1641" w:type="dxa"/>
            <w:gridSpan w:val="4"/>
            <w:noWrap w:val="0"/>
            <w:vAlign w:val="center"/>
          </w:tcPr>
          <w:p w14:paraId="1A0E13FC">
            <w:pPr>
              <w:jc w:val="center"/>
              <w:rPr>
                <w:color w:val="auto"/>
              </w:rPr>
            </w:pPr>
          </w:p>
        </w:tc>
        <w:tc>
          <w:tcPr>
            <w:tcW w:w="1484" w:type="dxa"/>
            <w:gridSpan w:val="2"/>
            <w:noWrap w:val="0"/>
            <w:vAlign w:val="center"/>
          </w:tcPr>
          <w:p w14:paraId="73F58B41">
            <w:pPr>
              <w:jc w:val="center"/>
              <w:rPr>
                <w:color w:val="auto"/>
              </w:rPr>
            </w:pPr>
          </w:p>
        </w:tc>
      </w:tr>
      <w:tr w14:paraId="03BA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01FDC9E1">
            <w:pPr>
              <w:jc w:val="center"/>
              <w:rPr>
                <w:rFonts w:hint="eastAsia" w:cs="宋体"/>
                <w:color w:val="auto"/>
              </w:rPr>
            </w:pPr>
            <w:r>
              <w:rPr>
                <w:rFonts w:hint="eastAsia" w:cs="宋体"/>
                <w:color w:val="auto"/>
              </w:rPr>
              <w:t>受奖情况</w:t>
            </w:r>
          </w:p>
        </w:tc>
        <w:tc>
          <w:tcPr>
            <w:tcW w:w="1548" w:type="dxa"/>
            <w:gridSpan w:val="2"/>
            <w:noWrap w:val="0"/>
            <w:vAlign w:val="center"/>
          </w:tcPr>
          <w:p w14:paraId="65DEA905">
            <w:pPr>
              <w:jc w:val="center"/>
              <w:rPr>
                <w:color w:val="auto"/>
              </w:rPr>
            </w:pPr>
          </w:p>
        </w:tc>
        <w:tc>
          <w:tcPr>
            <w:tcW w:w="1837" w:type="dxa"/>
            <w:gridSpan w:val="4"/>
            <w:noWrap w:val="0"/>
            <w:vAlign w:val="center"/>
          </w:tcPr>
          <w:p w14:paraId="1953A096">
            <w:pPr>
              <w:jc w:val="center"/>
              <w:rPr>
                <w:color w:val="auto"/>
              </w:rPr>
            </w:pPr>
          </w:p>
        </w:tc>
        <w:tc>
          <w:tcPr>
            <w:tcW w:w="1472" w:type="dxa"/>
            <w:gridSpan w:val="3"/>
            <w:noWrap w:val="0"/>
            <w:vAlign w:val="center"/>
          </w:tcPr>
          <w:p w14:paraId="7249B4C2">
            <w:pPr>
              <w:jc w:val="center"/>
              <w:rPr>
                <w:color w:val="auto"/>
              </w:rPr>
            </w:pPr>
          </w:p>
        </w:tc>
        <w:tc>
          <w:tcPr>
            <w:tcW w:w="1641" w:type="dxa"/>
            <w:gridSpan w:val="4"/>
            <w:noWrap w:val="0"/>
            <w:vAlign w:val="center"/>
          </w:tcPr>
          <w:p w14:paraId="746A3A0A">
            <w:pPr>
              <w:jc w:val="center"/>
              <w:rPr>
                <w:color w:val="auto"/>
              </w:rPr>
            </w:pPr>
          </w:p>
        </w:tc>
        <w:tc>
          <w:tcPr>
            <w:tcW w:w="1484" w:type="dxa"/>
            <w:gridSpan w:val="2"/>
            <w:noWrap w:val="0"/>
            <w:vAlign w:val="center"/>
          </w:tcPr>
          <w:p w14:paraId="6BE8932D">
            <w:pPr>
              <w:jc w:val="center"/>
              <w:rPr>
                <w:color w:val="auto"/>
              </w:rPr>
            </w:pPr>
          </w:p>
        </w:tc>
      </w:tr>
    </w:tbl>
    <w:p w14:paraId="6965A909">
      <w:pPr>
        <w:spacing w:line="360" w:lineRule="auto"/>
        <w:rPr>
          <w:rFonts w:ascii="宋体" w:hAnsi="宋体"/>
          <w:color w:val="auto"/>
        </w:rPr>
      </w:pPr>
      <w:r>
        <w:rPr>
          <w:rFonts w:hint="eastAsia" w:ascii="宋体" w:hAnsi="宋体" w:cs="楷体_GB2312"/>
          <w:color w:val="auto"/>
        </w:rPr>
        <w:t>备注：</w:t>
      </w:r>
    </w:p>
    <w:p w14:paraId="0EAF29C8">
      <w:pPr>
        <w:spacing w:line="360" w:lineRule="auto"/>
        <w:ind w:firstLine="420" w:firstLineChars="200"/>
        <w:rPr>
          <w:rFonts w:hint="eastAsia" w:ascii="宋体" w:hAnsi="宋体"/>
          <w:color w:val="auto"/>
        </w:rPr>
      </w:pPr>
      <w:r>
        <w:rPr>
          <w:rFonts w:hint="eastAsia" w:ascii="宋体" w:hAnsi="宋体"/>
          <w:color w:val="auto"/>
        </w:rPr>
        <w:t>1.供应商可以根据项目情况增减表格内容，项目数可以根据需要增加。</w:t>
      </w:r>
    </w:p>
    <w:p w14:paraId="4A3F43E0">
      <w:pPr>
        <w:spacing w:line="360" w:lineRule="auto"/>
        <w:ind w:firstLine="420" w:firstLineChars="200"/>
        <w:rPr>
          <w:rFonts w:hint="eastAsia" w:ascii="宋体" w:hAnsi="宋体"/>
          <w:color w:val="auto"/>
          <w:szCs w:val="21"/>
        </w:rPr>
      </w:pPr>
      <w:r>
        <w:rPr>
          <w:rFonts w:hint="eastAsia" w:ascii="宋体" w:hAnsi="宋体"/>
          <w:color w:val="auto"/>
        </w:rPr>
        <w:t>2.</w:t>
      </w:r>
      <w:r>
        <w:rPr>
          <w:rFonts w:hint="eastAsia" w:ascii="宋体" w:hAnsi="宋体"/>
          <w:color w:val="auto"/>
          <w:szCs w:val="21"/>
        </w:rPr>
        <w:t>本表后附专职安全生产管理人员的学历证、安全生产考核合格证（C类）、本表所列证书复印件并加盖供应商电子签章。</w:t>
      </w:r>
    </w:p>
    <w:p w14:paraId="655C24EB">
      <w:pPr>
        <w:spacing w:line="360" w:lineRule="auto"/>
        <w:ind w:left="2940" w:leftChars="1400"/>
        <w:rPr>
          <w:rFonts w:ascii="宋体" w:hAnsi="宋体" w:cs="宋体"/>
          <w:color w:val="auto"/>
          <w:sz w:val="24"/>
        </w:rPr>
      </w:pPr>
    </w:p>
    <w:p w14:paraId="401AFF9E">
      <w:pPr>
        <w:spacing w:line="360" w:lineRule="auto"/>
        <w:rPr>
          <w:rFonts w:hint="eastAsia" w:ascii="宋体" w:hAnsi="宋体"/>
          <w:b/>
          <w:bCs/>
          <w:color w:val="auto"/>
          <w:sz w:val="24"/>
        </w:rPr>
      </w:pPr>
      <w:r>
        <w:rPr>
          <w:rFonts w:ascii="宋体" w:hAnsi="宋体"/>
          <w:b/>
          <w:bCs/>
          <w:color w:val="auto"/>
          <w:sz w:val="24"/>
        </w:rPr>
        <w:br w:type="page"/>
      </w:r>
      <w:r>
        <w:rPr>
          <w:rFonts w:hint="eastAsia" w:ascii="宋体" w:hAnsi="宋体"/>
          <w:b/>
          <w:bCs/>
          <w:color w:val="auto"/>
          <w:sz w:val="24"/>
        </w:rPr>
        <w:t>其他文书、文件格式</w:t>
      </w:r>
    </w:p>
    <w:p w14:paraId="3F69E385">
      <w:pPr>
        <w:spacing w:line="360" w:lineRule="auto"/>
        <w:rPr>
          <w:rFonts w:hint="eastAsia" w:ascii="宋体" w:hAnsi="宋体"/>
          <w:color w:val="auto"/>
          <w:szCs w:val="21"/>
        </w:rPr>
      </w:pPr>
    </w:p>
    <w:p w14:paraId="5DEBC744">
      <w:pPr>
        <w:jc w:val="center"/>
        <w:rPr>
          <w:rFonts w:hint="eastAsia" w:ascii="宋体" w:hAnsi="宋体" w:cs="方正小标宋简体"/>
          <w:b/>
          <w:color w:val="auto"/>
          <w:sz w:val="32"/>
          <w:szCs w:val="32"/>
        </w:rPr>
      </w:pPr>
      <w:bookmarkStart w:id="122" w:name="_Toc71365926"/>
      <w:r>
        <w:rPr>
          <w:rFonts w:hint="eastAsia" w:ascii="宋体" w:hAnsi="宋体" w:cs="方正小标宋简体"/>
          <w:b/>
          <w:color w:val="auto"/>
          <w:sz w:val="32"/>
          <w:szCs w:val="32"/>
        </w:rPr>
        <w:t>中小企业声明函（工程）</w:t>
      </w:r>
      <w:bookmarkEnd w:id="122"/>
    </w:p>
    <w:p w14:paraId="20E4D191">
      <w:pPr>
        <w:pStyle w:val="21"/>
        <w:spacing w:line="500" w:lineRule="exact"/>
        <w:ind w:right="142" w:firstLine="705" w:firstLineChars="294"/>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hint="eastAsia" w:ascii="宋体" w:hAnsi="宋体"/>
          <w:color w:val="auto"/>
          <w:sz w:val="24"/>
          <w:u w:val="single"/>
          <w:lang w:eastAsia="zh-CN"/>
        </w:rPr>
        <w:t>岑溪市梨木中学</w:t>
      </w:r>
      <w:r>
        <w:rPr>
          <w:rFonts w:ascii="宋体" w:hAnsi="宋体"/>
          <w:color w:val="auto"/>
          <w:sz w:val="24"/>
        </w:rPr>
        <w:t>的</w:t>
      </w:r>
      <w:r>
        <w:rPr>
          <w:rFonts w:hint="eastAsia" w:ascii="宋体" w:hAnsi="宋体"/>
          <w:color w:val="auto"/>
          <w:sz w:val="24"/>
          <w:u w:val="single"/>
        </w:rPr>
        <w:t> </w:t>
      </w:r>
      <w:r>
        <w:rPr>
          <w:rFonts w:hint="eastAsia" w:ascii="宋体" w:hAnsi="宋体"/>
          <w:color w:val="auto"/>
          <w:sz w:val="24"/>
          <w:u w:val="single"/>
          <w:lang w:eastAsia="zh-CN"/>
        </w:rPr>
        <w:t>岑溪市梨木中学学生食堂扩建工程</w:t>
      </w:r>
      <w:r>
        <w:rPr>
          <w:rFonts w:ascii="宋体" w:hAnsi="宋体"/>
          <w:color w:val="auto"/>
          <w:sz w:val="24"/>
        </w:rPr>
        <w:t>采购活动，</w:t>
      </w:r>
      <w:r>
        <w:rPr>
          <w:rFonts w:hint="eastAsia" w:ascii="宋体" w:hAnsi="宋体"/>
          <w:color w:val="auto"/>
          <w:sz w:val="24"/>
        </w:rPr>
        <w:t>工程的施工单位全部为符合政策要求的中小企业。相关企业（含联合体中的中小企业、签订分包意向协议的中小企业）的具体情况如下：</w:t>
      </w:r>
    </w:p>
    <w:p w14:paraId="1C9D59DC">
      <w:pPr>
        <w:tabs>
          <w:tab w:val="left" w:pos="1384"/>
          <w:tab w:val="left" w:pos="4562"/>
          <w:tab w:val="left" w:pos="6803"/>
        </w:tabs>
        <w:spacing w:before="13" w:line="500" w:lineRule="exact"/>
        <w:ind w:right="142" w:firstLine="772" w:firstLineChars="322"/>
        <w:rPr>
          <w:rFonts w:ascii="宋体" w:hAnsi="宋体"/>
          <w:color w:val="auto"/>
          <w:sz w:val="24"/>
        </w:rPr>
      </w:pPr>
      <w:r>
        <w:rPr>
          <w:rFonts w:hint="eastAsia" w:ascii="宋体" w:hAnsi="宋体"/>
          <w:color w:val="auto"/>
          <w:sz w:val="24"/>
          <w:u w:val="single"/>
        </w:rPr>
        <w:t> </w:t>
      </w:r>
      <w:r>
        <w:rPr>
          <w:rFonts w:hint="eastAsia" w:ascii="宋体" w:hAnsi="宋体"/>
          <w:color w:val="auto"/>
          <w:sz w:val="24"/>
          <w:u w:val="single"/>
          <w:lang w:eastAsia="zh-CN"/>
        </w:rPr>
        <w:t>岑溪市梨木中学学生食堂扩建工程</w:t>
      </w:r>
      <w:r>
        <w:rPr>
          <w:rFonts w:hint="eastAsia" w:ascii="宋体" w:hAnsi="宋体"/>
          <w:color w:val="auto"/>
          <w:sz w:val="24"/>
          <w:u w:val="single"/>
        </w:rPr>
        <w:t xml:space="preserve"> </w:t>
      </w:r>
      <w:r>
        <w:rPr>
          <w:rFonts w:ascii="宋体" w:hAnsi="宋体"/>
          <w:color w:val="auto"/>
          <w:sz w:val="24"/>
        </w:rPr>
        <w:t>，属于</w:t>
      </w:r>
      <w:r>
        <w:rPr>
          <w:rFonts w:hint="eastAsia" w:ascii="宋体" w:hAnsi="宋体"/>
          <w:color w:val="auto"/>
          <w:sz w:val="24"/>
          <w:u w:val="single"/>
        </w:rPr>
        <w:t>建筑业</w:t>
      </w:r>
      <w:r>
        <w:rPr>
          <w:rFonts w:ascii="宋体" w:hAnsi="宋体"/>
          <w:color w:val="auto"/>
          <w:sz w:val="24"/>
        </w:rPr>
        <w:t>；</w:t>
      </w:r>
      <w:r>
        <w:rPr>
          <w:rFonts w:hint="eastAsia" w:ascii="宋体" w:hAnsi="宋体"/>
          <w:color w:val="auto"/>
          <w:sz w:val="24"/>
        </w:rPr>
        <w:t>承建企业为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hint="eastAsia" w:ascii="宋体" w:hAnsi="宋体"/>
          <w:color w:val="auto"/>
          <w:sz w:val="24"/>
          <w:u w:val="single"/>
          <w:lang w:val="en-US" w:eastAsia="zh-CN"/>
        </w:rPr>
        <w:t xml:space="preserve">     </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0F46DA02">
      <w:pPr>
        <w:pStyle w:val="21"/>
        <w:spacing w:before="34" w:line="500" w:lineRule="exact"/>
        <w:ind w:right="142" w:firstLine="705" w:firstLineChars="294"/>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4D78B3D9">
      <w:pPr>
        <w:pStyle w:val="21"/>
        <w:spacing w:before="25" w:line="500" w:lineRule="exact"/>
        <w:ind w:right="142" w:firstLine="705" w:firstLineChars="294"/>
        <w:rPr>
          <w:rFonts w:ascii="宋体" w:hAnsi="宋体"/>
          <w:color w:val="auto"/>
          <w:sz w:val="24"/>
        </w:rPr>
      </w:pPr>
      <w:r>
        <w:rPr>
          <w:rFonts w:ascii="宋体" w:hAnsi="宋体"/>
          <w:color w:val="auto"/>
          <w:sz w:val="24"/>
        </w:rPr>
        <w:t>本企业对上述声明内容的真实性负责。如有虚假，将依法承担相应责任。</w:t>
      </w:r>
    </w:p>
    <w:p w14:paraId="5F876CEF">
      <w:pPr>
        <w:pStyle w:val="21"/>
        <w:spacing w:before="56" w:line="500" w:lineRule="exact"/>
        <w:ind w:right="650" w:firstLine="5625" w:firstLineChars="2344"/>
        <w:rPr>
          <w:rFonts w:ascii="宋体" w:hAnsi="宋体"/>
          <w:color w:val="auto"/>
          <w:sz w:val="24"/>
        </w:rPr>
      </w:pPr>
      <w:r>
        <w:rPr>
          <w:rFonts w:ascii="宋体" w:hAnsi="宋体"/>
          <w:color w:val="auto"/>
          <w:sz w:val="24"/>
        </w:rPr>
        <w:t xml:space="preserve">企业名称（章）： </w:t>
      </w:r>
    </w:p>
    <w:p w14:paraId="577DB056">
      <w:pPr>
        <w:pStyle w:val="21"/>
        <w:spacing w:before="56" w:line="500" w:lineRule="exact"/>
        <w:ind w:right="1808" w:firstLine="5625" w:firstLineChars="2344"/>
        <w:rPr>
          <w:rFonts w:ascii="宋体" w:hAnsi="宋体"/>
          <w:color w:val="auto"/>
          <w:sz w:val="24"/>
        </w:rPr>
      </w:pPr>
      <w:r>
        <w:rPr>
          <w:rFonts w:ascii="宋体" w:hAnsi="宋体"/>
          <w:color w:val="auto"/>
          <w:sz w:val="24"/>
        </w:rPr>
        <w:t>日 期：</w:t>
      </w:r>
    </w:p>
    <w:p w14:paraId="7AFF0A03">
      <w:pPr>
        <w:spacing w:line="520" w:lineRule="exact"/>
        <w:ind w:firstLine="420" w:firstLineChars="200"/>
        <w:jc w:val="left"/>
        <w:rPr>
          <w:rFonts w:hint="eastAsia" w:ascii="宋体" w:hAnsi="宋体" w:cs="仿宋_GB2312"/>
          <w:color w:val="auto"/>
          <w:szCs w:val="21"/>
        </w:rPr>
      </w:pPr>
      <w:r>
        <w:rPr>
          <w:rFonts w:hint="eastAsia" w:ascii="宋体" w:hAnsi="宋体" w:cs="仿宋_GB2312"/>
          <w:color w:val="auto"/>
          <w:szCs w:val="21"/>
        </w:rPr>
        <w:t>注：1.对于联合体中由中小企业承担的部分，或者分包给中小企业的部分，供应商应当在声明函“项目名称”部分标明联合体中中小企业承担的具体内容或者中小企业的具体分包内容。</w:t>
      </w:r>
    </w:p>
    <w:p w14:paraId="00180C28">
      <w:pPr>
        <w:spacing w:line="520" w:lineRule="exact"/>
        <w:ind w:firstLine="420" w:firstLineChars="200"/>
        <w:jc w:val="left"/>
        <w:rPr>
          <w:rFonts w:hint="eastAsia" w:ascii="宋体" w:hAnsi="宋体" w:cs="仿宋_GB2312"/>
          <w:color w:val="auto"/>
          <w:szCs w:val="21"/>
        </w:rPr>
      </w:pPr>
      <w:r>
        <w:rPr>
          <w:rFonts w:hint="eastAsia" w:ascii="宋体" w:hAnsi="宋体" w:cs="仿宋_GB2312"/>
          <w:color w:val="auto"/>
          <w:szCs w:val="21"/>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B48A018">
      <w:pPr>
        <w:spacing w:line="520" w:lineRule="exact"/>
        <w:jc w:val="center"/>
        <w:rPr>
          <w:rFonts w:hint="eastAsia" w:ascii="宋体" w:hAnsi="宋体" w:cs="仿宋_GB2312"/>
          <w:b/>
          <w:color w:val="auto"/>
          <w:sz w:val="32"/>
          <w:szCs w:val="32"/>
        </w:rPr>
      </w:pPr>
      <w:r>
        <w:rPr>
          <w:rFonts w:ascii="宋体" w:hAnsi="宋体"/>
          <w:color w:val="auto"/>
          <w:sz w:val="24"/>
        </w:rPr>
        <w:br w:type="page"/>
      </w:r>
      <w:r>
        <w:rPr>
          <w:rFonts w:hint="eastAsia" w:ascii="宋体" w:hAnsi="宋体" w:cs="方正小标宋简体"/>
          <w:b/>
          <w:color w:val="auto"/>
          <w:sz w:val="32"/>
          <w:szCs w:val="32"/>
        </w:rPr>
        <w:t>残疾人福利性单位声明函</w:t>
      </w:r>
    </w:p>
    <w:p w14:paraId="45ED8B9A">
      <w:pPr>
        <w:spacing w:line="360" w:lineRule="auto"/>
        <w:contextualSpacing/>
        <w:rPr>
          <w:rFonts w:hint="eastAsia" w:ascii="仿宋_GB2312" w:hAnsi="仿宋_GB2312" w:eastAsia="仿宋_GB2312" w:cs="仿宋_GB2312"/>
          <w:color w:val="auto"/>
          <w:sz w:val="32"/>
          <w:szCs w:val="32"/>
        </w:rPr>
      </w:pPr>
    </w:p>
    <w:p w14:paraId="0E8F0CF1">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u w:val="single"/>
        </w:rPr>
        <w:t xml:space="preserve">       </w:t>
      </w:r>
      <w:r>
        <w:rPr>
          <w:rFonts w:hint="eastAsia" w:ascii="宋体" w:hAnsi="宋体" w:cs="仿宋_GB2312"/>
          <w:color w:val="auto"/>
          <w:sz w:val="24"/>
        </w:rPr>
        <w:t>单位的</w:t>
      </w:r>
      <w:r>
        <w:rPr>
          <w:rFonts w:hint="eastAsia" w:ascii="宋体" w:hAnsi="宋体" w:cs="仿宋_GB2312"/>
          <w:color w:val="auto"/>
          <w:sz w:val="24"/>
          <w:u w:val="single"/>
        </w:rPr>
        <w:t xml:space="preserve">        </w:t>
      </w:r>
      <w:r>
        <w:rPr>
          <w:rFonts w:hint="eastAsia" w:ascii="宋体" w:hAnsi="宋体" w:cs="仿宋_GB2312"/>
          <w:color w:val="auto"/>
          <w:sz w:val="24"/>
        </w:rPr>
        <w:t>项目采购活动提供本单位制造的货物（由本单位承担工程/提供服务），或者提供其他残疾人福利性单位制造的货物（不包括使用非残疾人福利性单位注册商标的货物）。</w:t>
      </w:r>
    </w:p>
    <w:p w14:paraId="7F97E52B">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3EB3C6E9">
      <w:pPr>
        <w:spacing w:line="360" w:lineRule="auto"/>
        <w:contextualSpacing/>
        <w:rPr>
          <w:rFonts w:hint="eastAsia" w:ascii="宋体" w:hAnsi="宋体" w:cs="仿宋_GB2312"/>
          <w:color w:val="auto"/>
          <w:sz w:val="24"/>
        </w:rPr>
      </w:pPr>
    </w:p>
    <w:p w14:paraId="2A0DB67C">
      <w:pPr>
        <w:spacing w:line="360" w:lineRule="auto"/>
        <w:contextualSpacing/>
        <w:rPr>
          <w:rFonts w:hint="eastAsia" w:ascii="宋体" w:hAnsi="宋体" w:cs="仿宋_GB2312"/>
          <w:color w:val="auto"/>
          <w:sz w:val="24"/>
        </w:rPr>
      </w:pPr>
    </w:p>
    <w:p w14:paraId="6FA1D6FF">
      <w:pPr>
        <w:spacing w:line="360" w:lineRule="auto"/>
        <w:contextualSpacing/>
        <w:rPr>
          <w:rFonts w:hint="eastAsia" w:ascii="宋体" w:hAnsi="宋体" w:cs="仿宋_GB2312"/>
          <w:color w:val="auto"/>
          <w:sz w:val="24"/>
        </w:rPr>
      </w:pPr>
    </w:p>
    <w:p w14:paraId="66631993">
      <w:pPr>
        <w:spacing w:line="360" w:lineRule="auto"/>
        <w:ind w:firstLine="2400" w:firstLineChars="1000"/>
        <w:contextualSpacing/>
        <w:rPr>
          <w:rFonts w:hint="eastAsia" w:ascii="宋体" w:hAnsi="宋体" w:cs="仿宋_GB2312"/>
          <w:color w:val="auto"/>
          <w:sz w:val="24"/>
        </w:rPr>
      </w:pPr>
      <w:r>
        <w:rPr>
          <w:rFonts w:hint="eastAsia" w:ascii="宋体" w:hAnsi="宋体" w:cs="仿宋_GB2312"/>
          <w:color w:val="auto"/>
          <w:sz w:val="24"/>
        </w:rPr>
        <w:t>单位名称（盖章）：</w:t>
      </w:r>
    </w:p>
    <w:p w14:paraId="20F967A7">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日  期：</w:t>
      </w:r>
    </w:p>
    <w:p w14:paraId="3C0B717F">
      <w:pPr>
        <w:spacing w:line="360" w:lineRule="auto"/>
        <w:contextualSpacing/>
        <w:rPr>
          <w:rFonts w:hint="eastAsia" w:ascii="宋体" w:hAnsi="宋体" w:cs="仿宋_GB2312"/>
          <w:color w:val="auto"/>
          <w:sz w:val="24"/>
        </w:rPr>
      </w:pPr>
    </w:p>
    <w:p w14:paraId="23F9DB97">
      <w:pPr>
        <w:spacing w:line="360" w:lineRule="auto"/>
        <w:contextualSpacing/>
        <w:rPr>
          <w:rFonts w:hint="eastAsia" w:ascii="宋体" w:hAnsi="宋体" w:cs="仿宋_GB2312"/>
          <w:color w:val="auto"/>
          <w:sz w:val="24"/>
        </w:rPr>
      </w:pPr>
    </w:p>
    <w:p w14:paraId="3E91DC66">
      <w:pPr>
        <w:spacing w:line="360" w:lineRule="auto"/>
        <w:contextualSpacing/>
        <w:rPr>
          <w:rFonts w:hint="eastAsia" w:ascii="宋体" w:hAnsi="宋体" w:cs="仿宋_GB2312"/>
          <w:color w:val="auto"/>
          <w:sz w:val="24"/>
        </w:rPr>
      </w:pPr>
    </w:p>
    <w:p w14:paraId="1E1AA2BE">
      <w:pPr>
        <w:spacing w:line="360" w:lineRule="auto"/>
        <w:ind w:firstLine="420" w:firstLineChars="200"/>
        <w:contextualSpacing/>
        <w:rPr>
          <w:rFonts w:ascii="宋体" w:hAnsi="宋体" w:cs="仿宋_GB2312"/>
          <w:color w:val="auto"/>
          <w:szCs w:val="21"/>
        </w:rPr>
      </w:pPr>
      <w:r>
        <w:rPr>
          <w:rFonts w:hint="eastAsia" w:ascii="宋体" w:hAnsi="宋体" w:cs="仿宋_GB2312"/>
          <w:color w:val="auto"/>
          <w:szCs w:val="21"/>
        </w:rPr>
        <w:t>注：请根据自己的真实情况出具《残疾人福利性单位声明函》。依法享受中小企业优惠政策的，采购人或者采购代理机构在公告成交结果时，同时公告其《残疾人福利性单位声明函》，接受社会监督。</w:t>
      </w:r>
    </w:p>
    <w:p w14:paraId="52759B8D">
      <w:pPr>
        <w:spacing w:line="360" w:lineRule="auto"/>
        <w:jc w:val="center"/>
        <w:rPr>
          <w:rFonts w:hint="eastAsia" w:ascii="宋体" w:hAnsi="宋体"/>
          <w:b/>
          <w:bCs/>
          <w:color w:val="auto"/>
          <w:sz w:val="32"/>
          <w:szCs w:val="32"/>
        </w:rPr>
      </w:pPr>
      <w:r>
        <w:rPr>
          <w:rFonts w:ascii="宋体" w:hAnsi="宋体" w:cs="仿宋_GB2312"/>
          <w:color w:val="auto"/>
          <w:sz w:val="24"/>
        </w:rPr>
        <w:br w:type="page"/>
      </w:r>
      <w:r>
        <w:rPr>
          <w:rFonts w:hint="eastAsia" w:ascii="方正小标宋简体" w:hAnsi="方正小标宋简体" w:eastAsia="方正小标宋简体" w:cs="方正小标宋简体"/>
          <w:color w:val="auto"/>
          <w:sz w:val="44"/>
          <w:szCs w:val="44"/>
        </w:rPr>
        <w:t>质疑函（格式）</w:t>
      </w:r>
    </w:p>
    <w:p w14:paraId="4FF4F788">
      <w:pPr>
        <w:pStyle w:val="27"/>
        <w:spacing w:line="360" w:lineRule="auto"/>
        <w:ind w:firstLine="482" w:firstLineChars="200"/>
        <w:contextualSpacing/>
        <w:rPr>
          <w:rFonts w:hAnsi="宋体"/>
          <w:b/>
          <w:bCs/>
          <w:color w:val="auto"/>
          <w:sz w:val="24"/>
          <w:szCs w:val="24"/>
        </w:rPr>
      </w:pPr>
      <w:r>
        <w:rPr>
          <w:rFonts w:hint="eastAsia" w:hAnsi="宋体"/>
          <w:b/>
          <w:bCs/>
          <w:color w:val="auto"/>
          <w:sz w:val="24"/>
          <w:szCs w:val="24"/>
        </w:rPr>
        <w:t>一、质疑供应商基本信息：</w:t>
      </w:r>
    </w:p>
    <w:p w14:paraId="764DC31F">
      <w:pPr>
        <w:pStyle w:val="27"/>
        <w:spacing w:line="360" w:lineRule="auto"/>
        <w:ind w:firstLine="480" w:firstLineChars="200"/>
        <w:contextualSpacing/>
        <w:rPr>
          <w:rFonts w:hint="eastAsia"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045A50C2">
      <w:pPr>
        <w:pStyle w:val="27"/>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5B797536">
      <w:pPr>
        <w:pStyle w:val="27"/>
        <w:spacing w:line="360" w:lineRule="auto"/>
        <w:ind w:firstLine="480" w:firstLineChars="200"/>
        <w:contextualSpacing/>
        <w:rPr>
          <w:rFonts w:hint="eastAsia"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3A48F871">
      <w:pPr>
        <w:pStyle w:val="27"/>
        <w:spacing w:line="360" w:lineRule="auto"/>
        <w:ind w:firstLine="480" w:firstLineChars="200"/>
        <w:contextualSpacing/>
        <w:rPr>
          <w:rFonts w:hint="eastAsia"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6054C4CB">
      <w:pPr>
        <w:pStyle w:val="27"/>
        <w:spacing w:line="360" w:lineRule="auto"/>
        <w:ind w:firstLine="480" w:firstLineChars="200"/>
        <w:contextualSpacing/>
        <w:rPr>
          <w:rFonts w:hint="eastAsia"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5EAC9024">
      <w:pPr>
        <w:pStyle w:val="27"/>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0A07A4B5">
      <w:pPr>
        <w:pStyle w:val="27"/>
        <w:spacing w:line="360" w:lineRule="auto"/>
        <w:ind w:firstLine="482" w:firstLineChars="200"/>
        <w:contextualSpacing/>
        <w:rPr>
          <w:rFonts w:hint="eastAsia" w:hAnsi="宋体"/>
          <w:b/>
          <w:bCs/>
          <w:color w:val="auto"/>
          <w:sz w:val="24"/>
          <w:szCs w:val="24"/>
        </w:rPr>
      </w:pPr>
      <w:r>
        <w:rPr>
          <w:rFonts w:hint="eastAsia" w:hAnsi="宋体"/>
          <w:b/>
          <w:bCs/>
          <w:color w:val="auto"/>
          <w:sz w:val="24"/>
          <w:szCs w:val="24"/>
        </w:rPr>
        <w:t>二、质疑项目基本情况：</w:t>
      </w:r>
    </w:p>
    <w:p w14:paraId="320A46DE">
      <w:pPr>
        <w:pStyle w:val="27"/>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1C114AEF">
      <w:pPr>
        <w:pStyle w:val="27"/>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24D51E87">
      <w:pPr>
        <w:pStyle w:val="2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05D822C0">
      <w:pPr>
        <w:pStyle w:val="2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w:t>
      </w:r>
    </w:p>
    <w:p w14:paraId="2ED99DE4">
      <w:pPr>
        <w:pStyle w:val="27"/>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6AE88B2D">
      <w:pPr>
        <w:pStyle w:val="27"/>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 xml:space="preserve">□采购过程   </w:t>
      </w:r>
    </w:p>
    <w:p w14:paraId="1D772362">
      <w:pPr>
        <w:pStyle w:val="27"/>
        <w:spacing w:line="360" w:lineRule="auto"/>
        <w:ind w:left="25" w:leftChars="12" w:firstLine="352" w:firstLineChars="147"/>
        <w:contextualSpacing/>
        <w:rPr>
          <w:rFonts w:hint="eastAsia" w:hAnsi="宋体"/>
          <w:bCs/>
          <w:color w:val="auto"/>
          <w:sz w:val="24"/>
          <w:szCs w:val="24"/>
          <w:u w:val="single"/>
        </w:rPr>
      </w:pPr>
      <w:r>
        <w:rPr>
          <w:rFonts w:hint="eastAsia" w:hAnsi="宋体"/>
          <w:color w:val="auto"/>
          <w:sz w:val="24"/>
          <w:szCs w:val="24"/>
        </w:rPr>
        <w:t xml:space="preserve">□成交结果   </w:t>
      </w:r>
    </w:p>
    <w:p w14:paraId="2B079181">
      <w:pPr>
        <w:pStyle w:val="27"/>
        <w:spacing w:line="360" w:lineRule="auto"/>
        <w:ind w:left="25" w:leftChars="12" w:firstLine="472" w:firstLineChars="196"/>
        <w:contextualSpacing/>
        <w:rPr>
          <w:rFonts w:hint="eastAsia" w:hAnsi="宋体"/>
          <w:b/>
          <w:color w:val="auto"/>
          <w:sz w:val="24"/>
          <w:szCs w:val="24"/>
        </w:rPr>
      </w:pPr>
      <w:r>
        <w:rPr>
          <w:rFonts w:hint="eastAsia" w:hAnsi="宋体"/>
          <w:b/>
          <w:color w:val="auto"/>
          <w:sz w:val="24"/>
          <w:szCs w:val="24"/>
        </w:rPr>
        <w:t>三、质疑事项具体内容</w:t>
      </w:r>
    </w:p>
    <w:p w14:paraId="283A8E8C">
      <w:pPr>
        <w:pStyle w:val="2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0B7E64D6">
      <w:pPr>
        <w:pStyle w:val="2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4890D700">
      <w:pPr>
        <w:pStyle w:val="2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3A888F1E">
      <w:pPr>
        <w:pStyle w:val="2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质疑事项2</w:t>
      </w:r>
    </w:p>
    <w:p w14:paraId="0D65362F">
      <w:pPr>
        <w:pStyle w:val="27"/>
        <w:spacing w:line="360" w:lineRule="auto"/>
        <w:ind w:left="25" w:leftChars="12" w:firstLine="472" w:firstLineChars="197"/>
        <w:contextualSpacing/>
        <w:rPr>
          <w:rFonts w:hint="eastAsia" w:hAnsi="宋体"/>
          <w:color w:val="auto"/>
          <w:sz w:val="24"/>
          <w:szCs w:val="24"/>
        </w:rPr>
      </w:pPr>
      <w:r>
        <w:rPr>
          <w:rFonts w:hAnsi="宋体"/>
          <w:color w:val="auto"/>
          <w:sz w:val="24"/>
          <w:szCs w:val="24"/>
        </w:rPr>
        <w:t>……</w:t>
      </w:r>
    </w:p>
    <w:p w14:paraId="7A895253">
      <w:pPr>
        <w:pStyle w:val="2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四、与质疑事项相关的质疑请求：</w:t>
      </w:r>
    </w:p>
    <w:p w14:paraId="4A8A38F5">
      <w:pPr>
        <w:pStyle w:val="2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4958771E">
      <w:pPr>
        <w:pStyle w:val="27"/>
        <w:spacing w:line="360" w:lineRule="auto"/>
        <w:ind w:left="25" w:leftChars="12" w:firstLine="352" w:firstLineChars="147"/>
        <w:contextualSpacing/>
        <w:rPr>
          <w:rFonts w:hint="eastAsia" w:hAnsi="宋体"/>
          <w:color w:val="auto"/>
          <w:sz w:val="24"/>
          <w:szCs w:val="24"/>
        </w:rPr>
      </w:pPr>
    </w:p>
    <w:p w14:paraId="3BB5F978">
      <w:pPr>
        <w:pStyle w:val="27"/>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签字（签章）：                                       公章：</w:t>
      </w:r>
    </w:p>
    <w:p w14:paraId="3DE02CE9">
      <w:pPr>
        <w:pStyle w:val="27"/>
        <w:spacing w:line="360" w:lineRule="auto"/>
        <w:ind w:firstLine="480" w:firstLineChars="200"/>
        <w:contextualSpacing/>
        <w:rPr>
          <w:rFonts w:hint="eastAsia" w:hAnsi="宋体"/>
          <w:b/>
          <w:color w:val="auto"/>
          <w:sz w:val="24"/>
          <w:szCs w:val="24"/>
        </w:rPr>
      </w:pPr>
      <w:r>
        <w:rPr>
          <w:rFonts w:hint="eastAsia" w:hAnsi="宋体"/>
          <w:color w:val="auto"/>
          <w:sz w:val="24"/>
          <w:szCs w:val="24"/>
        </w:rPr>
        <w:t>日期：</w:t>
      </w:r>
    </w:p>
    <w:p w14:paraId="7AF6EE34">
      <w:pPr>
        <w:pStyle w:val="27"/>
        <w:spacing w:line="360" w:lineRule="auto"/>
        <w:contextualSpacing/>
        <w:rPr>
          <w:rFonts w:hint="eastAsia" w:hAnsi="宋体"/>
          <w:b/>
          <w:color w:val="auto"/>
          <w:sz w:val="24"/>
          <w:szCs w:val="24"/>
        </w:rPr>
      </w:pPr>
      <w:r>
        <w:rPr>
          <w:rFonts w:hint="eastAsia" w:hAnsi="宋体"/>
          <w:b/>
          <w:color w:val="auto"/>
          <w:sz w:val="24"/>
          <w:szCs w:val="24"/>
        </w:rPr>
        <w:t>说明：</w:t>
      </w:r>
    </w:p>
    <w:p w14:paraId="5F18ACAA">
      <w:pPr>
        <w:pStyle w:val="27"/>
        <w:spacing w:line="360" w:lineRule="auto"/>
        <w:ind w:left="25" w:leftChars="12" w:firstLine="354" w:firstLineChars="147"/>
        <w:contextualSpacing/>
        <w:rPr>
          <w:rFonts w:hint="eastAsia"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32E74677">
      <w:pPr>
        <w:pStyle w:val="27"/>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BF2561">
      <w:pPr>
        <w:pStyle w:val="27"/>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3.质疑函的质疑事项应具体、明确，并有必要的事实依据和法律依据。</w:t>
      </w:r>
    </w:p>
    <w:p w14:paraId="3A5E0B75">
      <w:pPr>
        <w:pStyle w:val="27"/>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4.质疑函的质疑请求应与质疑事项相关。</w:t>
      </w:r>
    </w:p>
    <w:p w14:paraId="4C15CA83">
      <w:pPr>
        <w:pStyle w:val="27"/>
        <w:spacing w:line="360" w:lineRule="auto"/>
        <w:ind w:left="25" w:leftChars="12" w:firstLine="354" w:firstLineChars="147"/>
        <w:contextualSpacing/>
        <w:rPr>
          <w:rFonts w:hint="eastAsia"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2B3F5A3C">
      <w:pPr>
        <w:spacing w:line="360" w:lineRule="auto"/>
        <w:jc w:val="center"/>
        <w:rPr>
          <w:rFonts w:hint="eastAsia" w:ascii="方正小标宋简体" w:hAnsi="方正小标宋简体" w:eastAsia="方正小标宋简体" w:cs="方正小标宋简体"/>
          <w:color w:val="auto"/>
          <w:sz w:val="44"/>
          <w:szCs w:val="44"/>
        </w:rPr>
      </w:pPr>
    </w:p>
    <w:p w14:paraId="5BDE7F49">
      <w:pP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投诉书（格式）</w:t>
      </w:r>
    </w:p>
    <w:p w14:paraId="4110F59F">
      <w:pPr>
        <w:pStyle w:val="27"/>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5046802E">
      <w:pPr>
        <w:pStyle w:val="27"/>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6C1E3586">
      <w:pPr>
        <w:pStyle w:val="27"/>
        <w:snapToGrid w:val="0"/>
        <w:spacing w:line="360" w:lineRule="auto"/>
        <w:ind w:firstLine="480" w:firstLineChars="20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6BBFB8C">
      <w:pPr>
        <w:pStyle w:val="27"/>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623E12C2">
      <w:pPr>
        <w:pStyle w:val="27"/>
        <w:snapToGrid w:val="0"/>
        <w:spacing w:line="360" w:lineRule="auto"/>
        <w:ind w:firstLine="480" w:firstLineChars="200"/>
        <w:rPr>
          <w:rFonts w:hint="eastAsia"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007B6D98">
      <w:pPr>
        <w:pStyle w:val="27"/>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59DDAD17">
      <w:pPr>
        <w:pStyle w:val="27"/>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54FAB7E1">
      <w:pPr>
        <w:pStyle w:val="27"/>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03EE7D8">
      <w:pPr>
        <w:pStyle w:val="27"/>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被投诉人1：</w:t>
      </w:r>
    </w:p>
    <w:p w14:paraId="3C655F04">
      <w:pPr>
        <w:pStyle w:val="27"/>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682D996D">
      <w:pPr>
        <w:pStyle w:val="27"/>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14B4820">
      <w:pPr>
        <w:pStyle w:val="27"/>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78BBB781">
      <w:pPr>
        <w:pStyle w:val="27"/>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被投诉人2：</w:t>
      </w:r>
    </w:p>
    <w:p w14:paraId="5ACC08F5">
      <w:pPr>
        <w:pStyle w:val="27"/>
        <w:snapToGrid w:val="0"/>
        <w:spacing w:line="360" w:lineRule="auto"/>
        <w:ind w:firstLine="480" w:firstLineChars="200"/>
        <w:rPr>
          <w:rFonts w:hint="eastAsia" w:hAnsi="宋体"/>
          <w:bCs/>
          <w:color w:val="auto"/>
          <w:sz w:val="24"/>
          <w:szCs w:val="24"/>
        </w:rPr>
      </w:pPr>
      <w:r>
        <w:rPr>
          <w:rFonts w:hAnsi="宋体"/>
          <w:bCs/>
          <w:color w:val="auto"/>
          <w:sz w:val="24"/>
          <w:szCs w:val="24"/>
        </w:rPr>
        <w:t>……</w:t>
      </w:r>
    </w:p>
    <w:p w14:paraId="79B236CE">
      <w:pPr>
        <w:pStyle w:val="27"/>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747ACD36">
      <w:pPr>
        <w:pStyle w:val="27"/>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4AFB1B04">
      <w:pPr>
        <w:pStyle w:val="27"/>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7DDF5C61">
      <w:pPr>
        <w:pStyle w:val="27"/>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二、投诉项目基本情况：</w:t>
      </w:r>
    </w:p>
    <w:p w14:paraId="4E5197FF">
      <w:pPr>
        <w:pStyle w:val="27"/>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45B60EE0">
      <w:pPr>
        <w:pStyle w:val="27"/>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p>
    <w:p w14:paraId="2A503F04">
      <w:pPr>
        <w:pStyle w:val="27"/>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5C94FB8D">
      <w:pPr>
        <w:pStyle w:val="27"/>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67D506FA">
      <w:pPr>
        <w:pStyle w:val="27"/>
        <w:spacing w:line="360" w:lineRule="auto"/>
        <w:ind w:left="25" w:leftChars="12" w:firstLine="472" w:firstLineChars="197"/>
        <w:rPr>
          <w:rFonts w:hint="eastAsia"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702BBCEE">
      <w:pPr>
        <w:pStyle w:val="27"/>
        <w:spacing w:line="360" w:lineRule="auto"/>
        <w:ind w:left="25" w:leftChars="12" w:firstLine="472" w:firstLineChars="197"/>
        <w:rPr>
          <w:rFonts w:hint="eastAsia"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7D763F53">
      <w:pPr>
        <w:pStyle w:val="27"/>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三、质疑基本情况</w:t>
      </w:r>
    </w:p>
    <w:p w14:paraId="51D2B221">
      <w:pPr>
        <w:pStyle w:val="27"/>
        <w:spacing w:line="360" w:lineRule="auto"/>
        <w:ind w:firstLine="480" w:firstLineChars="200"/>
        <w:rPr>
          <w:rFonts w:hint="eastAsia"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3259F98A">
      <w:pPr>
        <w:pStyle w:val="27"/>
        <w:spacing w:line="360" w:lineRule="auto"/>
        <w:ind w:firstLine="241"/>
        <w:rPr>
          <w:rFonts w:hint="eastAsia"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5B3B820F">
      <w:pPr>
        <w:pStyle w:val="27"/>
        <w:spacing w:line="360" w:lineRule="auto"/>
        <w:ind w:firstLine="241"/>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667E215F">
      <w:pPr>
        <w:pStyle w:val="27"/>
        <w:spacing w:line="360" w:lineRule="auto"/>
        <w:ind w:firstLine="480" w:firstLineChars="200"/>
        <w:rPr>
          <w:rFonts w:hint="eastAsia"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008CA7D1">
      <w:pPr>
        <w:pStyle w:val="27"/>
        <w:spacing w:line="360" w:lineRule="auto"/>
        <w:ind w:left="25" w:leftChars="12" w:firstLine="472" w:firstLineChars="196"/>
        <w:rPr>
          <w:rFonts w:hint="eastAsia" w:hAnsi="宋体"/>
          <w:b/>
          <w:color w:val="auto"/>
          <w:sz w:val="24"/>
          <w:szCs w:val="24"/>
        </w:rPr>
      </w:pPr>
      <w:r>
        <w:rPr>
          <w:rFonts w:hint="eastAsia" w:hAnsi="宋体"/>
          <w:b/>
          <w:color w:val="auto"/>
          <w:sz w:val="24"/>
          <w:szCs w:val="24"/>
        </w:rPr>
        <w:t>四、投诉事项具体内容</w:t>
      </w:r>
    </w:p>
    <w:p w14:paraId="771766FF">
      <w:pPr>
        <w:pStyle w:val="27"/>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7EBC340C">
      <w:pPr>
        <w:pStyle w:val="27"/>
        <w:spacing w:line="360" w:lineRule="auto"/>
        <w:ind w:firstLine="480" w:firstLineChars="200"/>
        <w:rPr>
          <w:rFonts w:hint="eastAsia"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4E685582">
      <w:pPr>
        <w:pStyle w:val="27"/>
        <w:spacing w:line="360" w:lineRule="auto"/>
        <w:ind w:left="25" w:leftChars="12" w:firstLine="472" w:firstLineChars="197"/>
        <w:rPr>
          <w:rFonts w:hint="eastAsia" w:hAnsi="宋体"/>
          <w:color w:val="auto"/>
          <w:sz w:val="24"/>
          <w:szCs w:val="24"/>
        </w:rPr>
      </w:pPr>
      <w:r>
        <w:rPr>
          <w:rFonts w:hint="eastAsia" w:hAnsi="宋体"/>
          <w:bCs/>
          <w:color w:val="auto"/>
          <w:sz w:val="24"/>
          <w:szCs w:val="24"/>
          <w:u w:val="single"/>
        </w:rPr>
        <w:t xml:space="preserve">                                                                                        </w:t>
      </w:r>
    </w:p>
    <w:p w14:paraId="7AF82065">
      <w:pPr>
        <w:pStyle w:val="27"/>
        <w:spacing w:line="360" w:lineRule="auto"/>
        <w:ind w:firstLine="480" w:firstLineChars="200"/>
        <w:rPr>
          <w:rFonts w:hint="eastAsia"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5F8B277F">
      <w:pPr>
        <w:pStyle w:val="27"/>
        <w:spacing w:line="360" w:lineRule="auto"/>
        <w:ind w:left="25" w:leftChars="12" w:firstLine="352" w:firstLineChars="147"/>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44C846FC">
      <w:pPr>
        <w:pStyle w:val="27"/>
        <w:spacing w:line="360" w:lineRule="auto"/>
        <w:ind w:left="25" w:leftChars="12" w:firstLine="472" w:firstLineChars="197"/>
        <w:rPr>
          <w:rFonts w:hint="eastAsia"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3A6667A1">
      <w:pPr>
        <w:pStyle w:val="27"/>
        <w:spacing w:line="360" w:lineRule="auto"/>
        <w:ind w:left="25" w:leftChars="12" w:firstLine="472" w:firstLineChars="197"/>
        <w:rPr>
          <w:rFonts w:hint="eastAsia" w:hAnsi="宋体"/>
          <w:bCs/>
          <w:color w:val="auto"/>
          <w:sz w:val="24"/>
          <w:szCs w:val="24"/>
        </w:rPr>
      </w:pPr>
      <w:r>
        <w:rPr>
          <w:rFonts w:hAnsi="宋体"/>
          <w:bCs/>
          <w:color w:val="auto"/>
          <w:sz w:val="24"/>
          <w:szCs w:val="24"/>
        </w:rPr>
        <w:t>……</w:t>
      </w:r>
    </w:p>
    <w:p w14:paraId="7806DCC8">
      <w:pPr>
        <w:pStyle w:val="27"/>
        <w:spacing w:line="360" w:lineRule="auto"/>
        <w:ind w:left="25" w:leftChars="12" w:firstLine="472" w:firstLineChars="196"/>
        <w:rPr>
          <w:rFonts w:hint="eastAsia" w:hAnsi="宋体"/>
          <w:b/>
          <w:color w:val="auto"/>
          <w:sz w:val="24"/>
          <w:szCs w:val="24"/>
        </w:rPr>
      </w:pPr>
      <w:r>
        <w:rPr>
          <w:rFonts w:hint="eastAsia" w:hAnsi="宋体"/>
          <w:b/>
          <w:color w:val="auto"/>
          <w:sz w:val="24"/>
          <w:szCs w:val="24"/>
        </w:rPr>
        <w:t>五、与投诉事项相关的投诉请求：</w:t>
      </w:r>
    </w:p>
    <w:p w14:paraId="3500E58C">
      <w:pPr>
        <w:pStyle w:val="27"/>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226D125E">
      <w:pPr>
        <w:pStyle w:val="27"/>
        <w:spacing w:line="360" w:lineRule="auto"/>
        <w:ind w:left="25" w:leftChars="12" w:firstLine="352" w:firstLineChars="147"/>
        <w:rPr>
          <w:rFonts w:hint="eastAsia" w:hAnsi="宋体"/>
          <w:color w:val="auto"/>
          <w:sz w:val="24"/>
          <w:szCs w:val="24"/>
        </w:rPr>
      </w:pPr>
    </w:p>
    <w:p w14:paraId="79982275">
      <w:pPr>
        <w:pStyle w:val="27"/>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                                       公章：</w:t>
      </w:r>
    </w:p>
    <w:p w14:paraId="13C6C87A">
      <w:pPr>
        <w:pStyle w:val="27"/>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7AB97EA6">
      <w:pPr>
        <w:pStyle w:val="27"/>
        <w:snapToGrid w:val="0"/>
        <w:spacing w:line="360" w:lineRule="auto"/>
        <w:rPr>
          <w:rFonts w:hint="eastAsia" w:hAnsi="宋体"/>
          <w:b/>
          <w:color w:val="auto"/>
          <w:sz w:val="24"/>
          <w:szCs w:val="24"/>
        </w:rPr>
      </w:pPr>
      <w:r>
        <w:rPr>
          <w:rFonts w:hint="eastAsia" w:hAnsi="宋体"/>
          <w:b/>
          <w:color w:val="auto"/>
          <w:sz w:val="24"/>
          <w:szCs w:val="24"/>
        </w:rPr>
        <w:t>说明：</w:t>
      </w:r>
    </w:p>
    <w:p w14:paraId="5B0529F2">
      <w:pPr>
        <w:pStyle w:val="27"/>
        <w:spacing w:line="360" w:lineRule="auto"/>
        <w:ind w:left="25" w:leftChars="12" w:firstLine="354" w:firstLineChars="147"/>
        <w:rPr>
          <w:rFonts w:hint="eastAsia"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015CA997">
      <w:pPr>
        <w:pStyle w:val="27"/>
        <w:spacing w:line="360" w:lineRule="auto"/>
        <w:ind w:left="25" w:leftChars="12" w:firstLine="354" w:firstLineChars="147"/>
        <w:rPr>
          <w:rFonts w:hint="eastAsia"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BF08653">
      <w:pPr>
        <w:pStyle w:val="27"/>
        <w:spacing w:line="360" w:lineRule="auto"/>
        <w:ind w:left="25" w:leftChars="12" w:firstLine="354" w:firstLineChars="147"/>
        <w:rPr>
          <w:rFonts w:hint="eastAsia" w:hAnsi="宋体"/>
          <w:b/>
          <w:color w:val="auto"/>
          <w:sz w:val="24"/>
          <w:szCs w:val="24"/>
        </w:rPr>
      </w:pPr>
      <w:r>
        <w:rPr>
          <w:rFonts w:hint="eastAsia" w:hAnsi="宋体"/>
          <w:b/>
          <w:color w:val="auto"/>
          <w:sz w:val="24"/>
          <w:szCs w:val="24"/>
        </w:rPr>
        <w:t>3.投诉书应简要列明质疑事项，质疑函、质疑答复等作为附件材料提供。</w:t>
      </w:r>
    </w:p>
    <w:p w14:paraId="5A318625">
      <w:pPr>
        <w:pStyle w:val="27"/>
        <w:spacing w:line="360" w:lineRule="auto"/>
        <w:ind w:left="25" w:leftChars="12" w:firstLine="354" w:firstLineChars="147"/>
        <w:rPr>
          <w:rFonts w:hint="eastAsia" w:hAnsi="宋体"/>
          <w:b/>
          <w:color w:val="auto"/>
          <w:sz w:val="24"/>
          <w:szCs w:val="24"/>
        </w:rPr>
      </w:pPr>
      <w:r>
        <w:rPr>
          <w:rFonts w:hint="eastAsia" w:hAnsi="宋体"/>
          <w:b/>
          <w:color w:val="auto"/>
          <w:sz w:val="24"/>
          <w:szCs w:val="24"/>
        </w:rPr>
        <w:t>4.投诉书的投诉事项应具体、明确，并有必要的事实依据和法律依据。</w:t>
      </w:r>
    </w:p>
    <w:p w14:paraId="1386C82C">
      <w:pPr>
        <w:pStyle w:val="27"/>
        <w:spacing w:line="360" w:lineRule="auto"/>
        <w:ind w:left="25" w:leftChars="12" w:firstLine="354" w:firstLineChars="147"/>
        <w:rPr>
          <w:rFonts w:hint="eastAsia" w:hAnsi="宋体"/>
          <w:b/>
          <w:color w:val="auto"/>
          <w:sz w:val="24"/>
          <w:szCs w:val="24"/>
        </w:rPr>
      </w:pPr>
      <w:r>
        <w:rPr>
          <w:rFonts w:hint="eastAsia" w:hAnsi="宋体"/>
          <w:b/>
          <w:color w:val="auto"/>
          <w:sz w:val="24"/>
          <w:szCs w:val="24"/>
        </w:rPr>
        <w:t>5.投诉书的投诉请求应与投诉事项相关。</w:t>
      </w:r>
    </w:p>
    <w:p w14:paraId="00A82DEB">
      <w:pPr>
        <w:pStyle w:val="27"/>
        <w:spacing w:line="360" w:lineRule="auto"/>
        <w:ind w:left="25" w:leftChars="12" w:firstLine="354" w:firstLineChars="147"/>
        <w:rPr>
          <w:rFonts w:hint="eastAsia"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p w14:paraId="06023685">
      <w:pPr>
        <w:snapToGrid w:val="0"/>
        <w:spacing w:before="156" w:beforeLines="50" w:after="50"/>
        <w:jc w:val="center"/>
        <w:rPr>
          <w:rFonts w:ascii="方正小标宋简体" w:hAnsi="方正小标宋简体" w:eastAsia="方正小标宋简体" w:cs="方正小标宋简体"/>
          <w:bCs/>
          <w:color w:val="auto"/>
          <w:sz w:val="44"/>
          <w:szCs w:val="44"/>
        </w:rPr>
      </w:pPr>
      <w:r>
        <w:rPr>
          <w:rFonts w:hint="eastAsia" w:ascii="宋体" w:hAnsi="宋体" w:cs="宋体"/>
          <w:bCs/>
          <w:color w:val="auto"/>
          <w:sz w:val="44"/>
          <w:szCs w:val="44"/>
        </w:rPr>
        <w:br w:type="page"/>
      </w:r>
      <w:r>
        <w:rPr>
          <w:rFonts w:hint="eastAsia" w:ascii="宋体" w:hAnsi="宋体" w:cs="宋体"/>
          <w:bCs/>
          <w:color w:val="auto"/>
          <w:sz w:val="44"/>
          <w:szCs w:val="44"/>
        </w:rPr>
        <w:t>代理服务费承诺书</w:t>
      </w:r>
    </w:p>
    <w:p w14:paraId="15EA772A">
      <w:pPr>
        <w:snapToGrid w:val="0"/>
        <w:spacing w:before="156" w:beforeLines="50" w:after="50"/>
        <w:jc w:val="center"/>
        <w:rPr>
          <w:rFonts w:ascii="宋体" w:hAnsi="宋体"/>
          <w:b/>
          <w:color w:val="auto"/>
          <w:sz w:val="24"/>
        </w:rPr>
      </w:pPr>
    </w:p>
    <w:p w14:paraId="2B6B7313">
      <w:pPr>
        <w:spacing w:line="360" w:lineRule="auto"/>
        <w:rPr>
          <w:rFonts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采购代理机构名称</w:t>
      </w:r>
      <w:r>
        <w:rPr>
          <w:rFonts w:hint="eastAsia" w:ascii="宋体" w:hAnsi="宋体"/>
          <w:color w:val="auto"/>
          <w:sz w:val="24"/>
        </w:rPr>
        <w:t>：</w:t>
      </w:r>
    </w:p>
    <w:p w14:paraId="36C20734">
      <w:pPr>
        <w:spacing w:line="360" w:lineRule="auto"/>
        <w:ind w:firstLine="480" w:firstLineChars="200"/>
        <w:rPr>
          <w:rFonts w:ascii="宋体" w:hAnsi="宋体"/>
          <w:color w:val="auto"/>
          <w:sz w:val="24"/>
        </w:rPr>
      </w:pPr>
      <w:r>
        <w:rPr>
          <w:rFonts w:hint="eastAsia" w:ascii="宋体" w:hAnsi="宋体"/>
          <w:color w:val="auto"/>
          <w:sz w:val="24"/>
        </w:rPr>
        <w:t>本单位参加了贵方组织的</w:t>
      </w:r>
      <w:r>
        <w:rPr>
          <w:rFonts w:hint="eastAsia" w:ascii="宋体" w:hAnsi="宋体"/>
          <w:color w:val="auto"/>
          <w:sz w:val="24"/>
          <w:u w:val="single"/>
        </w:rPr>
        <w:t xml:space="preserve">  项目名称（项目编号）          </w:t>
      </w:r>
      <w:r>
        <w:rPr>
          <w:rFonts w:hint="eastAsia" w:ascii="宋体" w:hAnsi="宋体"/>
          <w:color w:val="auto"/>
          <w:sz w:val="24"/>
        </w:rPr>
        <w:t>项目， 在此说明如下：</w:t>
      </w:r>
    </w:p>
    <w:p w14:paraId="2A42038F">
      <w:pPr>
        <w:spacing w:line="440" w:lineRule="exact"/>
        <w:ind w:firstLine="360" w:firstLineChars="150"/>
        <w:rPr>
          <w:rFonts w:ascii="宋体" w:hAnsi="宋体"/>
          <w:color w:val="auto"/>
          <w:sz w:val="24"/>
        </w:rPr>
      </w:pPr>
      <w:r>
        <w:rPr>
          <w:rFonts w:hint="eastAsia" w:ascii="宋体" w:hAnsi="宋体"/>
          <w:color w:val="auto"/>
          <w:sz w:val="24"/>
        </w:rPr>
        <w:t>1.我方承诺，若本单位成交，保证在发出成交通知书之后，按本项目竞争性磋商的规定标准向贵单位一次性足额支付代理服务费。</w:t>
      </w:r>
    </w:p>
    <w:p w14:paraId="2AB18489">
      <w:pPr>
        <w:spacing w:line="440" w:lineRule="exact"/>
        <w:ind w:firstLine="360" w:firstLineChars="150"/>
        <w:rPr>
          <w:rFonts w:ascii="宋体" w:hAnsi="宋体"/>
          <w:color w:val="auto"/>
          <w:sz w:val="24"/>
        </w:rPr>
      </w:pPr>
      <w:r>
        <w:rPr>
          <w:rFonts w:hint="eastAsia" w:ascii="宋体" w:hAnsi="宋体"/>
          <w:color w:val="auto"/>
          <w:sz w:val="24"/>
        </w:rPr>
        <w:t>2.本单位选择第</w:t>
      </w:r>
      <w:r>
        <w:rPr>
          <w:rFonts w:hint="eastAsia" w:ascii="宋体" w:hAnsi="宋体"/>
          <w:color w:val="auto"/>
          <w:sz w:val="24"/>
          <w:u w:val="single"/>
        </w:rPr>
        <w:t xml:space="preserve">      </w:t>
      </w:r>
      <w:r>
        <w:rPr>
          <w:rFonts w:hint="eastAsia" w:ascii="宋体" w:hAnsi="宋体"/>
          <w:color w:val="auto"/>
          <w:sz w:val="24"/>
        </w:rPr>
        <w:t>种方式作为代理服务费开票类型：</w:t>
      </w:r>
    </w:p>
    <w:p w14:paraId="40ACE953">
      <w:pPr>
        <w:spacing w:line="440" w:lineRule="exact"/>
        <w:ind w:firstLine="360" w:firstLineChars="150"/>
        <w:rPr>
          <w:rFonts w:ascii="宋体" w:hAnsi="宋体"/>
          <w:color w:val="auto"/>
          <w:sz w:val="24"/>
        </w:rPr>
      </w:pPr>
      <w:r>
        <w:rPr>
          <w:rFonts w:hint="eastAsia" w:ascii="宋体" w:hAnsi="宋体"/>
          <w:color w:val="auto"/>
          <w:sz w:val="24"/>
        </w:rPr>
        <w:t>第一种方式：开具增值税普通发票。开票信息如下：</w:t>
      </w:r>
    </w:p>
    <w:p w14:paraId="54817F16">
      <w:pPr>
        <w:spacing w:line="440" w:lineRule="exact"/>
        <w:ind w:firstLine="360" w:firstLineChars="150"/>
        <w:rPr>
          <w:rFonts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                       </w:t>
      </w:r>
      <w:r>
        <w:rPr>
          <w:rFonts w:hint="eastAsia" w:ascii="宋体" w:hAnsi="宋体"/>
          <w:color w:val="auto"/>
          <w:sz w:val="24"/>
        </w:rPr>
        <w:t>；</w:t>
      </w:r>
    </w:p>
    <w:p w14:paraId="158D3B65">
      <w:pPr>
        <w:spacing w:line="440" w:lineRule="exact"/>
        <w:ind w:firstLine="360" w:firstLineChars="150"/>
        <w:rPr>
          <w:rFonts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                   </w:t>
      </w:r>
      <w:r>
        <w:rPr>
          <w:rFonts w:hint="eastAsia" w:ascii="宋体" w:hAnsi="宋体"/>
          <w:color w:val="auto"/>
          <w:sz w:val="24"/>
        </w:rPr>
        <w:t>。</w:t>
      </w:r>
    </w:p>
    <w:p w14:paraId="5B3240F7">
      <w:pPr>
        <w:spacing w:line="440" w:lineRule="exact"/>
        <w:ind w:firstLine="360" w:firstLineChars="150"/>
        <w:rPr>
          <w:rFonts w:ascii="宋体" w:hAnsi="宋体"/>
          <w:color w:val="auto"/>
          <w:sz w:val="24"/>
        </w:rPr>
      </w:pPr>
      <w:r>
        <w:rPr>
          <w:rFonts w:hint="eastAsia" w:ascii="宋体" w:hAnsi="宋体"/>
          <w:color w:val="auto"/>
          <w:sz w:val="24"/>
        </w:rPr>
        <w:t>第二种方式：开具增值税专用发票，开票信息如下：</w:t>
      </w:r>
    </w:p>
    <w:p w14:paraId="343B02BA">
      <w:pPr>
        <w:spacing w:line="440" w:lineRule="exact"/>
        <w:ind w:firstLine="360" w:firstLineChars="150"/>
        <w:rPr>
          <w:rFonts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                           </w:t>
      </w:r>
      <w:r>
        <w:rPr>
          <w:rFonts w:hint="eastAsia" w:ascii="宋体" w:hAnsi="宋体"/>
          <w:color w:val="auto"/>
          <w:sz w:val="24"/>
        </w:rPr>
        <w:t>；</w:t>
      </w:r>
    </w:p>
    <w:p w14:paraId="1B4F7715">
      <w:pPr>
        <w:spacing w:line="440" w:lineRule="exact"/>
        <w:ind w:firstLine="360" w:firstLineChars="150"/>
        <w:rPr>
          <w:rFonts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                       </w:t>
      </w:r>
      <w:r>
        <w:rPr>
          <w:rFonts w:hint="eastAsia" w:ascii="宋体" w:hAnsi="宋体"/>
          <w:color w:val="auto"/>
          <w:sz w:val="24"/>
        </w:rPr>
        <w:t>；</w:t>
      </w:r>
    </w:p>
    <w:p w14:paraId="0AF5CF5E">
      <w:pPr>
        <w:spacing w:line="440" w:lineRule="exact"/>
        <w:ind w:firstLine="360" w:firstLineChars="150"/>
        <w:rPr>
          <w:rFonts w:ascii="宋体" w:hAnsi="宋体"/>
          <w:color w:val="auto"/>
          <w:sz w:val="24"/>
        </w:rPr>
      </w:pPr>
      <w:r>
        <w:rPr>
          <w:rFonts w:hint="eastAsia" w:ascii="宋体" w:hAnsi="宋体"/>
          <w:color w:val="auto"/>
          <w:sz w:val="24"/>
        </w:rPr>
        <w:t>（3）在税务局登记的地址</w:t>
      </w:r>
      <w:r>
        <w:rPr>
          <w:rFonts w:hint="eastAsia" w:ascii="宋体" w:hAnsi="宋体"/>
          <w:color w:val="auto"/>
          <w:sz w:val="24"/>
          <w:u w:val="single"/>
        </w:rPr>
        <w:t xml:space="preserve">                   </w:t>
      </w:r>
      <w:r>
        <w:rPr>
          <w:rFonts w:hint="eastAsia" w:ascii="宋体" w:hAnsi="宋体"/>
          <w:color w:val="auto"/>
          <w:sz w:val="24"/>
        </w:rPr>
        <w:t>；</w:t>
      </w:r>
    </w:p>
    <w:p w14:paraId="4001D55F">
      <w:pPr>
        <w:spacing w:line="440" w:lineRule="exact"/>
        <w:ind w:firstLine="360" w:firstLineChars="150"/>
        <w:rPr>
          <w:rFonts w:ascii="宋体" w:hAnsi="宋体"/>
          <w:color w:val="auto"/>
          <w:sz w:val="24"/>
        </w:rPr>
      </w:pPr>
      <w:r>
        <w:rPr>
          <w:rFonts w:hint="eastAsia" w:ascii="宋体" w:hAnsi="宋体"/>
          <w:color w:val="auto"/>
          <w:sz w:val="24"/>
        </w:rPr>
        <w:t>（4）在税务局登记的电话</w:t>
      </w:r>
      <w:r>
        <w:rPr>
          <w:rFonts w:hint="eastAsia" w:ascii="宋体" w:hAnsi="宋体"/>
          <w:color w:val="auto"/>
          <w:sz w:val="24"/>
          <w:u w:val="single"/>
        </w:rPr>
        <w:t xml:space="preserve">                   </w:t>
      </w:r>
      <w:r>
        <w:rPr>
          <w:rFonts w:hint="eastAsia" w:ascii="宋体" w:hAnsi="宋体"/>
          <w:color w:val="auto"/>
          <w:sz w:val="24"/>
        </w:rPr>
        <w:t>；</w:t>
      </w:r>
    </w:p>
    <w:p w14:paraId="11A417BE">
      <w:pPr>
        <w:spacing w:line="440" w:lineRule="exact"/>
        <w:ind w:firstLine="360" w:firstLineChars="150"/>
        <w:rPr>
          <w:rFonts w:ascii="宋体" w:hAnsi="宋体"/>
          <w:color w:val="auto"/>
          <w:sz w:val="24"/>
        </w:rPr>
      </w:pPr>
      <w:r>
        <w:rPr>
          <w:rFonts w:hint="eastAsia" w:ascii="宋体" w:hAnsi="宋体"/>
          <w:color w:val="auto"/>
          <w:sz w:val="24"/>
        </w:rPr>
        <w:t>（5）开户银行</w:t>
      </w:r>
      <w:r>
        <w:rPr>
          <w:rFonts w:hint="eastAsia" w:ascii="宋体" w:hAnsi="宋体"/>
          <w:color w:val="auto"/>
          <w:sz w:val="24"/>
          <w:u w:val="single"/>
        </w:rPr>
        <w:t xml:space="preserve">                           </w:t>
      </w:r>
      <w:r>
        <w:rPr>
          <w:rFonts w:hint="eastAsia" w:ascii="宋体" w:hAnsi="宋体"/>
          <w:color w:val="auto"/>
          <w:sz w:val="24"/>
        </w:rPr>
        <w:t>；</w:t>
      </w:r>
    </w:p>
    <w:p w14:paraId="47028284">
      <w:pPr>
        <w:spacing w:line="440" w:lineRule="exact"/>
        <w:ind w:firstLine="360" w:firstLineChars="150"/>
        <w:rPr>
          <w:rFonts w:ascii="宋体" w:hAnsi="宋体"/>
          <w:color w:val="auto"/>
          <w:sz w:val="24"/>
        </w:rPr>
      </w:pPr>
      <w:r>
        <w:rPr>
          <w:rFonts w:hint="eastAsia" w:ascii="宋体" w:hAnsi="宋体"/>
          <w:color w:val="auto"/>
          <w:sz w:val="24"/>
        </w:rPr>
        <w:t>（6）银行账户</w:t>
      </w:r>
      <w:r>
        <w:rPr>
          <w:rFonts w:hint="eastAsia" w:ascii="宋体" w:hAnsi="宋体"/>
          <w:color w:val="auto"/>
          <w:sz w:val="24"/>
          <w:u w:val="single"/>
        </w:rPr>
        <w:t xml:space="preserve">                           </w:t>
      </w:r>
      <w:r>
        <w:rPr>
          <w:rFonts w:hint="eastAsia" w:ascii="宋体" w:hAnsi="宋体"/>
          <w:color w:val="auto"/>
          <w:sz w:val="24"/>
        </w:rPr>
        <w:t>。</w:t>
      </w:r>
    </w:p>
    <w:p w14:paraId="02200C30">
      <w:pPr>
        <w:spacing w:line="440" w:lineRule="exact"/>
        <w:rPr>
          <w:rFonts w:ascii="宋体" w:hAnsi="宋体"/>
          <w:color w:val="auto"/>
          <w:sz w:val="24"/>
        </w:rPr>
      </w:pPr>
    </w:p>
    <w:p w14:paraId="7D014CB2">
      <w:pPr>
        <w:spacing w:line="440" w:lineRule="exact"/>
        <w:rPr>
          <w:rFonts w:ascii="宋体" w:hAnsi="宋体"/>
          <w:color w:val="auto"/>
          <w:sz w:val="24"/>
        </w:rPr>
      </w:pPr>
    </w:p>
    <w:p w14:paraId="7AA85E5A">
      <w:pPr>
        <w:spacing w:line="440" w:lineRule="exact"/>
        <w:rPr>
          <w:rFonts w:ascii="宋体" w:hAnsi="宋体"/>
          <w:color w:val="auto"/>
          <w:sz w:val="24"/>
        </w:rPr>
      </w:pPr>
    </w:p>
    <w:p w14:paraId="481DE0F2">
      <w:pPr>
        <w:snapToGrid w:val="0"/>
        <w:spacing w:line="360" w:lineRule="auto"/>
        <w:ind w:left="-2" w:leftChars="-1" w:right="-817" w:rightChars="-389" w:firstLine="1920" w:firstLineChars="800"/>
        <w:rPr>
          <w:rFonts w:ascii="宋体" w:hAnsi="宋体"/>
          <w:color w:val="auto"/>
          <w:sz w:val="24"/>
          <w:u w:val="single"/>
        </w:rPr>
      </w:pPr>
      <w:r>
        <w:rPr>
          <w:rFonts w:hint="eastAsia" w:ascii="宋体" w:hAnsi="宋体"/>
          <w:color w:val="auto"/>
          <w:sz w:val="24"/>
        </w:rPr>
        <w:t>法定代表人或者委托代理人签字：</w:t>
      </w:r>
      <w:r>
        <w:rPr>
          <w:rFonts w:hint="eastAsia" w:ascii="宋体" w:hAnsi="宋体"/>
          <w:color w:val="auto"/>
          <w:sz w:val="24"/>
          <w:u w:val="single"/>
        </w:rPr>
        <w:t xml:space="preserve">                 </w:t>
      </w:r>
    </w:p>
    <w:p w14:paraId="6F049CDB">
      <w:pPr>
        <w:snapToGrid w:val="0"/>
        <w:spacing w:line="360" w:lineRule="auto"/>
        <w:ind w:left="-3" w:leftChars="-15" w:right="-817" w:rightChars="-389" w:hanging="28" w:hangingChars="12"/>
        <w:rPr>
          <w:rFonts w:ascii="宋体" w:hAnsi="宋体"/>
          <w:color w:val="auto"/>
          <w:sz w:val="24"/>
          <w:u w:val="single"/>
        </w:rPr>
      </w:pPr>
      <w:r>
        <w:rPr>
          <w:rFonts w:hint="eastAsia" w:ascii="宋体" w:hAnsi="宋体"/>
          <w:color w:val="auto"/>
          <w:sz w:val="24"/>
        </w:rPr>
        <w:t xml:space="preserve">                                     供应商名称（公章）：</w:t>
      </w:r>
      <w:r>
        <w:rPr>
          <w:rFonts w:hint="eastAsia" w:ascii="宋体" w:hAnsi="宋体"/>
          <w:color w:val="auto"/>
          <w:sz w:val="24"/>
          <w:u w:val="single"/>
        </w:rPr>
        <w:t xml:space="preserve">     </w:t>
      </w:r>
    </w:p>
    <w:p w14:paraId="5DCF733C">
      <w:pPr>
        <w:snapToGrid w:val="0"/>
        <w:spacing w:line="360" w:lineRule="auto"/>
        <w:ind w:right="480" w:firstLine="240" w:firstLineChars="100"/>
        <w:jc w:val="left"/>
        <w:rPr>
          <w:rFonts w:hint="eastAsia"/>
          <w:color w:val="auto"/>
        </w:rPr>
      </w:pPr>
      <w:r>
        <w:rPr>
          <w:rFonts w:hint="eastAsia" w:ascii="宋体" w:hAnsi="宋体"/>
          <w:color w:val="auto"/>
          <w:sz w:val="24"/>
        </w:rPr>
        <w:t xml:space="preserve">                                    日期：</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p>
    <w:p w14:paraId="05B3AC49">
      <w:pPr>
        <w:pStyle w:val="5"/>
        <w:rPr>
          <w:rFonts w:hint="eastAsia"/>
          <w:color w:val="auto"/>
        </w:rPr>
      </w:pPr>
      <w:bookmarkStart w:id="123" w:name="_Toc122424267"/>
    </w:p>
    <w:p w14:paraId="3273AEA3">
      <w:pPr>
        <w:pStyle w:val="5"/>
        <w:jc w:val="center"/>
        <w:rPr>
          <w:rFonts w:hint="eastAsia"/>
          <w:color w:val="auto"/>
        </w:rPr>
      </w:pPr>
    </w:p>
    <w:p w14:paraId="2A882C34">
      <w:pPr>
        <w:pStyle w:val="5"/>
        <w:jc w:val="center"/>
        <w:rPr>
          <w:rFonts w:hint="eastAsia"/>
          <w:color w:val="auto"/>
        </w:rPr>
      </w:pPr>
    </w:p>
    <w:p w14:paraId="246E9F1B">
      <w:pPr>
        <w:pStyle w:val="5"/>
        <w:jc w:val="center"/>
        <w:rPr>
          <w:rFonts w:hint="eastAsia"/>
          <w:color w:val="auto"/>
        </w:rPr>
      </w:pPr>
    </w:p>
    <w:p w14:paraId="3089B04D">
      <w:pPr>
        <w:pStyle w:val="5"/>
        <w:jc w:val="center"/>
        <w:rPr>
          <w:rFonts w:hint="eastAsia"/>
          <w:color w:val="auto"/>
        </w:rPr>
      </w:pPr>
    </w:p>
    <w:p w14:paraId="583AA7BA">
      <w:pPr>
        <w:pStyle w:val="5"/>
        <w:jc w:val="center"/>
        <w:rPr>
          <w:rFonts w:hint="eastAsia"/>
          <w:color w:val="auto"/>
        </w:rPr>
      </w:pPr>
      <w:r>
        <w:rPr>
          <w:rFonts w:hint="eastAsia"/>
          <w:color w:val="auto"/>
        </w:rPr>
        <w:t>第七章 合同文本</w:t>
      </w:r>
      <w:bookmarkEnd w:id="123"/>
    </w:p>
    <w:p w14:paraId="5CFFB335">
      <w:pPr>
        <w:spacing w:line="520" w:lineRule="exact"/>
        <w:rPr>
          <w:rFonts w:hint="eastAsia" w:ascii="宋体" w:hAnsi="宋体" w:cs="Courier New"/>
          <w:b/>
          <w:color w:val="auto"/>
          <w:sz w:val="32"/>
          <w:szCs w:val="32"/>
        </w:rPr>
      </w:pPr>
    </w:p>
    <w:p w14:paraId="0592821E">
      <w:pPr>
        <w:pStyle w:val="5"/>
        <w:spacing w:line="360" w:lineRule="exact"/>
        <w:jc w:val="center"/>
        <w:rPr>
          <w:color w:val="auto"/>
        </w:rPr>
      </w:pPr>
      <w:r>
        <w:rPr>
          <w:rFonts w:ascii="宋体" w:hAnsi="宋体" w:cs="宋体"/>
          <w:color w:val="auto"/>
          <w:sz w:val="24"/>
        </w:rPr>
        <w:br w:type="page"/>
      </w:r>
      <w:r>
        <w:rPr>
          <w:rFonts w:hint="eastAsia" w:cs="黑体"/>
          <w:color w:val="auto"/>
        </w:rPr>
        <w:t>第一部分</w:t>
      </w:r>
      <w:r>
        <w:rPr>
          <w:color w:val="auto"/>
        </w:rPr>
        <w:t xml:space="preserve"> </w:t>
      </w:r>
      <w:r>
        <w:rPr>
          <w:rFonts w:hint="eastAsia" w:cs="黑体"/>
          <w:color w:val="auto"/>
        </w:rPr>
        <w:t>合同协议书</w:t>
      </w:r>
    </w:p>
    <w:p w14:paraId="01345A3A">
      <w:pPr>
        <w:spacing w:line="360" w:lineRule="exact"/>
        <w:rPr>
          <w:color w:val="auto"/>
          <w:u w:val="single"/>
        </w:rPr>
      </w:pPr>
      <w:r>
        <w:rPr>
          <w:rFonts w:hint="eastAsia" w:hAnsi="宋体" w:cs="宋体"/>
          <w:color w:val="auto"/>
        </w:rPr>
        <w:t>发包人（全称）：</w:t>
      </w:r>
      <w:r>
        <w:rPr>
          <w:rFonts w:hint="eastAsia" w:hAnsi="宋体" w:cs="宋体"/>
          <w:color w:val="auto"/>
          <w:u w:val="single"/>
          <w:lang w:eastAsia="zh-CN"/>
        </w:rPr>
        <w:t>岑溪市梨木中学</w:t>
      </w:r>
      <w:r>
        <w:rPr>
          <w:rFonts w:hAnsi="宋体"/>
          <w:color w:val="auto"/>
          <w:u w:val="single"/>
        </w:rPr>
        <w:t xml:space="preserve"> </w:t>
      </w:r>
      <w:r>
        <w:rPr>
          <w:rFonts w:hint="eastAsia" w:hAnsi="宋体"/>
          <w:color w:val="auto"/>
          <w:u w:val="single"/>
        </w:rPr>
        <w:t xml:space="preserve">    </w:t>
      </w:r>
    </w:p>
    <w:p w14:paraId="5EC17BA2">
      <w:pPr>
        <w:spacing w:line="360" w:lineRule="exact"/>
        <w:rPr>
          <w:color w:val="auto"/>
          <w:u w:val="single"/>
        </w:rPr>
      </w:pPr>
      <w:r>
        <w:rPr>
          <w:rFonts w:hint="eastAsia" w:hAnsi="宋体" w:cs="宋体"/>
          <w:color w:val="auto"/>
        </w:rPr>
        <w:t>承包人（全称）：</w:t>
      </w:r>
      <w:r>
        <w:rPr>
          <w:rFonts w:hAnsi="宋体"/>
          <w:color w:val="auto"/>
          <w:u w:val="single"/>
        </w:rPr>
        <w:t xml:space="preserve">            </w:t>
      </w:r>
      <w:r>
        <w:rPr>
          <w:rFonts w:hint="eastAsia" w:hAnsi="宋体"/>
          <w:color w:val="auto"/>
          <w:u w:val="single"/>
        </w:rPr>
        <w:t xml:space="preserve">    </w:t>
      </w:r>
      <w:r>
        <w:rPr>
          <w:rFonts w:hAnsi="宋体"/>
          <w:color w:val="auto"/>
          <w:u w:val="single"/>
        </w:rPr>
        <w:t xml:space="preserve">       </w:t>
      </w:r>
    </w:p>
    <w:p w14:paraId="4E15CA06">
      <w:pPr>
        <w:spacing w:line="360" w:lineRule="exact"/>
        <w:ind w:firstLine="420" w:firstLineChars="200"/>
        <w:rPr>
          <w:rFonts w:hAnsi="宋体"/>
          <w:color w:val="auto"/>
        </w:rPr>
      </w:pPr>
      <w:r>
        <w:rPr>
          <w:rFonts w:hint="eastAsia" w:hAnsi="宋体" w:cs="宋体"/>
          <w:color w:val="auto"/>
        </w:rPr>
        <w:t>依据《中华人民共和国民法典》《中华人民共和国建筑法》及有关法律规定，遵循平等、自愿、公平和诚实信用的原则，双方就</w:t>
      </w:r>
      <w:r>
        <w:rPr>
          <w:rFonts w:hint="eastAsia" w:hAnsi="宋体" w:cs="宋体"/>
          <w:color w:val="auto"/>
          <w:u w:val="single"/>
        </w:rPr>
        <w:t> </w:t>
      </w:r>
      <w:r>
        <w:rPr>
          <w:rFonts w:hint="eastAsia" w:hAnsi="宋体" w:cs="宋体"/>
          <w:color w:val="auto"/>
          <w:u w:val="single"/>
          <w:lang w:eastAsia="zh-CN"/>
        </w:rPr>
        <w:t>岑溪市梨木中学学生食堂扩建工程</w:t>
      </w:r>
      <w:r>
        <w:rPr>
          <w:rFonts w:hint="eastAsia" w:hAnsi="宋体" w:cs="宋体"/>
          <w:color w:val="auto"/>
        </w:rPr>
        <w:t>施工及有关事项，根据发包人竞争性磋商文件及承包人响应文件，共同达成如下协议：</w:t>
      </w:r>
      <w:bookmarkStart w:id="124" w:name="_Toc351203481"/>
    </w:p>
    <w:p w14:paraId="01480E20">
      <w:pPr>
        <w:spacing w:line="360" w:lineRule="exact"/>
        <w:ind w:firstLine="422" w:firstLineChars="200"/>
        <w:outlineLvl w:val="0"/>
        <w:rPr>
          <w:b/>
          <w:bCs/>
          <w:color w:val="auto"/>
        </w:rPr>
      </w:pPr>
      <w:r>
        <w:rPr>
          <w:rFonts w:hint="eastAsia" w:hAnsi="宋体" w:cs="宋体"/>
          <w:b/>
          <w:bCs/>
          <w:color w:val="auto"/>
        </w:rPr>
        <w:t>一、工程概况</w:t>
      </w:r>
      <w:bookmarkEnd w:id="124"/>
    </w:p>
    <w:p w14:paraId="0FC601CC">
      <w:pPr>
        <w:spacing w:line="360" w:lineRule="exact"/>
        <w:ind w:firstLine="411" w:firstLineChars="196"/>
        <w:rPr>
          <w:color w:val="auto"/>
          <w:u w:val="single"/>
        </w:rPr>
      </w:pPr>
      <w:r>
        <w:rPr>
          <w:color w:val="auto"/>
        </w:rPr>
        <w:t xml:space="preserve">1. </w:t>
      </w:r>
      <w:r>
        <w:rPr>
          <w:rFonts w:hint="eastAsia" w:hAnsi="宋体" w:cs="宋体"/>
          <w:color w:val="auto"/>
        </w:rPr>
        <w:t>工程名称：</w:t>
      </w:r>
      <w:r>
        <w:rPr>
          <w:rFonts w:hint="eastAsia" w:hAnsi="宋体" w:cs="宋体"/>
          <w:color w:val="auto"/>
          <w:u w:val="single"/>
        </w:rPr>
        <w:t> </w:t>
      </w:r>
      <w:r>
        <w:rPr>
          <w:rFonts w:hint="eastAsia" w:hAnsi="宋体" w:cs="宋体"/>
          <w:color w:val="auto"/>
          <w:u w:val="single"/>
          <w:lang w:eastAsia="zh-CN"/>
        </w:rPr>
        <w:t>岑溪市梨木中学学生食堂扩建工程</w:t>
      </w:r>
      <w:r>
        <w:rPr>
          <w:color w:val="auto"/>
          <w:u w:val="single"/>
        </w:rPr>
        <w:t xml:space="preserve"> </w:t>
      </w:r>
      <w:r>
        <w:rPr>
          <w:rFonts w:hint="eastAsia" w:hAnsi="宋体" w:cs="宋体"/>
          <w:color w:val="auto"/>
        </w:rPr>
        <w:t>。</w:t>
      </w:r>
    </w:p>
    <w:p w14:paraId="11A18916">
      <w:pPr>
        <w:spacing w:line="360" w:lineRule="exact"/>
        <w:ind w:firstLine="411" w:firstLineChars="196"/>
        <w:rPr>
          <w:color w:val="auto"/>
        </w:rPr>
      </w:pPr>
      <w:r>
        <w:rPr>
          <w:color w:val="auto"/>
        </w:rPr>
        <w:t xml:space="preserve">2. </w:t>
      </w:r>
      <w:r>
        <w:rPr>
          <w:rFonts w:hint="eastAsia" w:hAnsi="宋体" w:cs="宋体"/>
          <w:color w:val="auto"/>
        </w:rPr>
        <w:t>工程地点：</w:t>
      </w:r>
      <w:r>
        <w:rPr>
          <w:color w:val="auto"/>
          <w:u w:val="single"/>
        </w:rPr>
        <w:t xml:space="preserve">   </w:t>
      </w:r>
      <w:r>
        <w:rPr>
          <w:rFonts w:hint="eastAsia"/>
          <w:color w:val="auto"/>
          <w:u w:val="single"/>
        </w:rPr>
        <w:t xml:space="preserve">                                    </w:t>
      </w:r>
      <w:r>
        <w:rPr>
          <w:color w:val="auto"/>
          <w:u w:val="single"/>
        </w:rPr>
        <w:t xml:space="preserve">    </w:t>
      </w:r>
      <w:r>
        <w:rPr>
          <w:rFonts w:hint="eastAsia" w:hAnsi="宋体" w:cs="宋体"/>
          <w:color w:val="auto"/>
        </w:rPr>
        <w:t>。</w:t>
      </w:r>
    </w:p>
    <w:p w14:paraId="40889219">
      <w:pPr>
        <w:spacing w:line="360" w:lineRule="exact"/>
        <w:ind w:firstLine="411" w:firstLineChars="196"/>
        <w:rPr>
          <w:color w:val="auto"/>
        </w:rPr>
      </w:pPr>
      <w:r>
        <w:rPr>
          <w:color w:val="auto"/>
        </w:rPr>
        <w:t xml:space="preserve">3. </w:t>
      </w:r>
      <w:r>
        <w:rPr>
          <w:rFonts w:hint="eastAsia" w:hAnsi="宋体" w:cs="宋体"/>
          <w:color w:val="auto"/>
        </w:rPr>
        <w:t>工程立项批准文号：</w:t>
      </w:r>
      <w:r>
        <w:rPr>
          <w:color w:val="auto"/>
          <w:u w:val="single"/>
        </w:rPr>
        <w:t xml:space="preserve">   </w:t>
      </w:r>
      <w:r>
        <w:rPr>
          <w:rFonts w:hint="eastAsia"/>
          <w:color w:val="auto"/>
          <w:u w:val="single"/>
        </w:rPr>
        <w:t xml:space="preserve">                            </w:t>
      </w:r>
      <w:r>
        <w:rPr>
          <w:color w:val="auto"/>
          <w:u w:val="single"/>
        </w:rPr>
        <w:t xml:space="preserve">    </w:t>
      </w:r>
      <w:r>
        <w:rPr>
          <w:rFonts w:hint="eastAsia" w:hAnsi="宋体" w:cs="宋体"/>
          <w:color w:val="auto"/>
        </w:rPr>
        <w:t>。</w:t>
      </w:r>
    </w:p>
    <w:p w14:paraId="4020F008">
      <w:pPr>
        <w:spacing w:line="360" w:lineRule="exact"/>
        <w:ind w:firstLine="411" w:firstLineChars="196"/>
        <w:rPr>
          <w:color w:val="auto"/>
        </w:rPr>
      </w:pPr>
      <w:r>
        <w:rPr>
          <w:color w:val="auto"/>
        </w:rPr>
        <w:t xml:space="preserve">4. </w:t>
      </w:r>
      <w:r>
        <w:rPr>
          <w:rFonts w:hint="eastAsia" w:hAnsi="宋体" w:cs="宋体"/>
          <w:color w:val="auto"/>
        </w:rPr>
        <w:t>资金来源：</w:t>
      </w:r>
      <w:r>
        <w:rPr>
          <w:color w:val="auto"/>
          <w:u w:val="single"/>
        </w:rPr>
        <w:t xml:space="preserve">    </w:t>
      </w:r>
      <w:r>
        <w:rPr>
          <w:rFonts w:hint="eastAsia"/>
          <w:color w:val="auto"/>
          <w:u w:val="single"/>
        </w:rPr>
        <w:t xml:space="preserve">                                    </w:t>
      </w:r>
      <w:r>
        <w:rPr>
          <w:color w:val="auto"/>
          <w:u w:val="single"/>
        </w:rPr>
        <w:t xml:space="preserve">   </w:t>
      </w:r>
      <w:r>
        <w:rPr>
          <w:rFonts w:hint="eastAsia" w:hAnsi="宋体" w:cs="宋体"/>
          <w:color w:val="auto"/>
        </w:rPr>
        <w:t>。</w:t>
      </w:r>
    </w:p>
    <w:p w14:paraId="2BB51890">
      <w:pPr>
        <w:spacing w:line="360" w:lineRule="exact"/>
        <w:ind w:firstLine="411" w:firstLineChars="196"/>
        <w:rPr>
          <w:color w:val="auto"/>
        </w:rPr>
      </w:pPr>
      <w:r>
        <w:rPr>
          <w:color w:val="auto"/>
        </w:rPr>
        <w:t xml:space="preserve">5. </w:t>
      </w:r>
      <w:r>
        <w:rPr>
          <w:rFonts w:hint="eastAsia" w:hAnsi="宋体" w:cs="宋体"/>
          <w:color w:val="auto"/>
        </w:rPr>
        <w:t>工程内容：</w:t>
      </w:r>
      <w:r>
        <w:rPr>
          <w:color w:val="auto"/>
          <w:u w:val="single"/>
        </w:rPr>
        <w:t xml:space="preserve">   </w:t>
      </w:r>
      <w:r>
        <w:rPr>
          <w:rFonts w:hint="eastAsia"/>
          <w:color w:val="auto"/>
          <w:u w:val="single"/>
        </w:rPr>
        <w:t xml:space="preserve">                                    </w:t>
      </w:r>
      <w:r>
        <w:rPr>
          <w:color w:val="auto"/>
          <w:u w:val="single"/>
        </w:rPr>
        <w:t xml:space="preserve">    </w:t>
      </w:r>
      <w:r>
        <w:rPr>
          <w:rFonts w:hint="eastAsia" w:hAnsi="宋体" w:cs="宋体"/>
          <w:color w:val="auto"/>
        </w:rPr>
        <w:t>。</w:t>
      </w:r>
    </w:p>
    <w:p w14:paraId="087B204E">
      <w:pPr>
        <w:spacing w:line="360" w:lineRule="exact"/>
        <w:ind w:firstLine="411" w:firstLineChars="196"/>
        <w:rPr>
          <w:color w:val="auto"/>
        </w:rPr>
      </w:pPr>
      <w:r>
        <w:rPr>
          <w:color w:val="auto"/>
        </w:rPr>
        <w:t xml:space="preserve">6. </w:t>
      </w:r>
      <w:r>
        <w:rPr>
          <w:rFonts w:hint="eastAsia" w:hAnsi="宋体" w:cs="宋体"/>
          <w:color w:val="auto"/>
        </w:rPr>
        <w:t>工程承包范围：</w:t>
      </w:r>
    </w:p>
    <w:p w14:paraId="2B264EAD">
      <w:pPr>
        <w:spacing w:line="360" w:lineRule="exact"/>
        <w:ind w:firstLine="405" w:firstLineChars="193"/>
        <w:rPr>
          <w:rFonts w:hAnsi="宋体"/>
          <w:color w:val="auto"/>
        </w:rPr>
      </w:pPr>
      <w:r>
        <w:rPr>
          <w:color w:val="auto"/>
          <w:u w:val="single"/>
        </w:rPr>
        <w:t xml:space="preserve">  </w:t>
      </w:r>
      <w:r>
        <w:rPr>
          <w:rFonts w:hint="eastAsia"/>
          <w:color w:val="auto"/>
          <w:u w:val="single"/>
        </w:rPr>
        <w:t xml:space="preserve">                                                    </w:t>
      </w:r>
      <w:r>
        <w:rPr>
          <w:color w:val="auto"/>
          <w:u w:val="single"/>
        </w:rPr>
        <w:t xml:space="preserve">  </w:t>
      </w:r>
      <w:r>
        <w:rPr>
          <w:rFonts w:hint="eastAsia" w:hAnsi="宋体" w:cs="宋体"/>
          <w:color w:val="auto"/>
        </w:rPr>
        <w:t>。</w:t>
      </w:r>
    </w:p>
    <w:p w14:paraId="37CA594B">
      <w:pPr>
        <w:spacing w:line="360" w:lineRule="exact"/>
        <w:ind w:firstLine="407" w:firstLineChars="193"/>
        <w:outlineLvl w:val="0"/>
        <w:rPr>
          <w:b/>
          <w:bCs/>
          <w:color w:val="auto"/>
        </w:rPr>
      </w:pPr>
      <w:bookmarkStart w:id="125" w:name="_Toc351203482"/>
      <w:r>
        <w:rPr>
          <w:rFonts w:hint="eastAsia" w:hAnsi="宋体" w:cs="宋体"/>
          <w:b/>
          <w:bCs/>
          <w:color w:val="auto"/>
        </w:rPr>
        <w:t>二、合同工期</w:t>
      </w:r>
      <w:bookmarkEnd w:id="125"/>
    </w:p>
    <w:p w14:paraId="704514E3">
      <w:pPr>
        <w:spacing w:line="360" w:lineRule="exact"/>
        <w:ind w:firstLine="459"/>
        <w:rPr>
          <w:color w:val="auto"/>
        </w:rPr>
      </w:pPr>
      <w:r>
        <w:rPr>
          <w:rFonts w:hint="eastAsia" w:hAnsi="宋体" w:cs="宋体"/>
          <w:color w:val="auto"/>
        </w:rPr>
        <w:t>计划开工日期：</w:t>
      </w:r>
      <w:r>
        <w:rPr>
          <w:rFonts w:hAnsi="宋体"/>
          <w:color w:val="auto"/>
          <w:u w:val="single"/>
        </w:rPr>
        <w:t></w:t>
      </w:r>
      <w:r>
        <w:rPr>
          <w:rFonts w:hAnsi="宋体"/>
          <w:color w:val="auto"/>
        </w:rPr>
        <w:t>年</w:t>
      </w:r>
      <w:r>
        <w:rPr>
          <w:rFonts w:hAnsi="宋体"/>
          <w:color w:val="auto"/>
          <w:u w:val="single"/>
        </w:rPr>
        <w:t></w:t>
      </w:r>
      <w:r>
        <w:rPr>
          <w:rFonts w:hAnsi="宋体"/>
          <w:color w:val="auto"/>
        </w:rPr>
        <w:t>月</w:t>
      </w:r>
      <w:r>
        <w:rPr>
          <w:rFonts w:hAnsi="宋体"/>
          <w:color w:val="auto"/>
          <w:u w:val="single"/>
        </w:rPr>
        <w:t></w:t>
      </w:r>
      <w:r>
        <w:rPr>
          <w:rFonts w:hAnsi="宋体"/>
          <w:color w:val="auto"/>
        </w:rPr>
        <w:t>日。</w:t>
      </w:r>
      <w:r>
        <w:rPr>
          <w:rFonts w:hint="eastAsia" w:hAnsi="宋体" w:cs="宋体"/>
          <w:color w:val="auto"/>
        </w:rPr>
        <w:t>（具体以发包人书面通知为准）</w:t>
      </w:r>
    </w:p>
    <w:p w14:paraId="087768AB">
      <w:pPr>
        <w:spacing w:line="360" w:lineRule="exact"/>
        <w:ind w:firstLine="459"/>
        <w:rPr>
          <w:color w:val="auto"/>
        </w:rPr>
      </w:pPr>
      <w:r>
        <w:rPr>
          <w:rFonts w:hint="eastAsia" w:hAnsi="宋体" w:cs="宋体"/>
          <w:color w:val="auto"/>
        </w:rPr>
        <w:t>计划竣工日期：</w:t>
      </w:r>
      <w:r>
        <w:rPr>
          <w:rFonts w:hAnsi="宋体"/>
          <w:color w:val="auto"/>
          <w:u w:val="single"/>
        </w:rPr>
        <w:t></w:t>
      </w:r>
      <w:r>
        <w:rPr>
          <w:rFonts w:hAnsi="宋体"/>
          <w:color w:val="auto"/>
        </w:rPr>
        <w:t>年</w:t>
      </w:r>
      <w:r>
        <w:rPr>
          <w:rFonts w:hAnsi="宋体"/>
          <w:color w:val="auto"/>
          <w:u w:val="single"/>
        </w:rPr>
        <w:t></w:t>
      </w:r>
      <w:r>
        <w:rPr>
          <w:rFonts w:hAnsi="宋体"/>
          <w:color w:val="auto"/>
        </w:rPr>
        <w:t>月</w:t>
      </w:r>
      <w:r>
        <w:rPr>
          <w:rFonts w:hAnsi="宋体"/>
          <w:color w:val="auto"/>
          <w:u w:val="single"/>
        </w:rPr>
        <w:t></w:t>
      </w:r>
      <w:r>
        <w:rPr>
          <w:rFonts w:hAnsi="宋体"/>
          <w:color w:val="auto"/>
        </w:rPr>
        <w:t>日</w:t>
      </w:r>
      <w:r>
        <w:rPr>
          <w:rFonts w:hint="eastAsia" w:hAnsi="宋体" w:cs="宋体"/>
          <w:color w:val="auto"/>
        </w:rPr>
        <w:t>。</w:t>
      </w:r>
    </w:p>
    <w:p w14:paraId="26FC9BE1">
      <w:pPr>
        <w:spacing w:line="360" w:lineRule="exact"/>
        <w:ind w:firstLine="459"/>
        <w:rPr>
          <w:rFonts w:hAnsi="宋体"/>
          <w:color w:val="auto"/>
        </w:rPr>
      </w:pPr>
      <w:r>
        <w:rPr>
          <w:rFonts w:hint="eastAsia" w:hAnsi="宋体" w:cs="宋体"/>
          <w:color w:val="auto"/>
        </w:rPr>
        <w:t>工期总日历天数：</w:t>
      </w:r>
      <w:r>
        <w:rPr>
          <w:rFonts w:hint="eastAsia" w:hAnsi="宋体" w:cs="宋体"/>
          <w:color w:val="auto"/>
          <w:u w:val="single"/>
        </w:rPr>
        <w:t xml:space="preserve">         </w:t>
      </w:r>
      <w:r>
        <w:rPr>
          <w:rFonts w:hint="eastAsia" w:hAnsi="宋体" w:cs="宋体"/>
          <w:color w:val="auto"/>
        </w:rPr>
        <w:t>天。工期总日历天数与根据前述计划开竣工日期计算的工期天数不一致的，以工期总日历天数为准。</w:t>
      </w:r>
    </w:p>
    <w:p w14:paraId="5D2DB250">
      <w:pPr>
        <w:spacing w:line="360" w:lineRule="exact"/>
        <w:ind w:firstLine="459"/>
        <w:outlineLvl w:val="0"/>
        <w:rPr>
          <w:b/>
          <w:bCs/>
          <w:color w:val="auto"/>
        </w:rPr>
      </w:pPr>
      <w:bookmarkStart w:id="126" w:name="_Toc351203483"/>
      <w:r>
        <w:rPr>
          <w:rFonts w:hint="eastAsia" w:hAnsi="宋体" w:cs="宋体"/>
          <w:b/>
          <w:bCs/>
          <w:color w:val="auto"/>
        </w:rPr>
        <w:t>三、质量标准</w:t>
      </w:r>
      <w:bookmarkEnd w:id="126"/>
    </w:p>
    <w:p w14:paraId="5026485E">
      <w:pPr>
        <w:spacing w:line="360" w:lineRule="exact"/>
        <w:ind w:firstLine="459"/>
        <w:rPr>
          <w:rFonts w:hAnsi="宋体"/>
          <w:color w:val="auto"/>
        </w:rPr>
      </w:pPr>
      <w:r>
        <w:rPr>
          <w:rFonts w:hint="eastAsia" w:hAnsi="宋体" w:cs="宋体"/>
          <w:color w:val="auto"/>
        </w:rPr>
        <w:t>工程质量符合</w:t>
      </w:r>
      <w:r>
        <w:rPr>
          <w:rFonts w:hint="eastAsia" w:eastAsia="仿宋_GB2312"/>
          <w:color w:val="auto"/>
          <w:u w:val="single"/>
        </w:rPr>
        <w:t xml:space="preserve"> </w:t>
      </w:r>
      <w:r>
        <w:rPr>
          <w:rFonts w:hint="eastAsia" w:hAnsi="宋体" w:cs="宋体"/>
          <w:color w:val="auto"/>
          <w:u w:val="single"/>
        </w:rPr>
        <w:t xml:space="preserve"> 满足国家现行与本项目相应的施工竣工验收规范之“合格”  </w:t>
      </w:r>
      <w:r>
        <w:rPr>
          <w:rFonts w:hint="eastAsia" w:hAnsi="宋体" w:cs="宋体"/>
          <w:color w:val="auto"/>
        </w:rPr>
        <w:t>标准。</w:t>
      </w:r>
    </w:p>
    <w:p w14:paraId="4DF13D46">
      <w:pPr>
        <w:spacing w:line="360" w:lineRule="exact"/>
        <w:ind w:firstLine="459"/>
        <w:outlineLvl w:val="0"/>
        <w:rPr>
          <w:rFonts w:hAnsi="宋体"/>
          <w:b/>
          <w:bCs/>
          <w:color w:val="auto"/>
        </w:rPr>
      </w:pPr>
      <w:bookmarkStart w:id="127" w:name="_Toc351203484"/>
      <w:r>
        <w:rPr>
          <w:rFonts w:hint="eastAsia" w:hAnsi="宋体" w:cs="宋体"/>
          <w:b/>
          <w:bCs/>
          <w:color w:val="auto"/>
        </w:rPr>
        <w:t>四、签约合同价与合同价格形式</w:t>
      </w:r>
      <w:bookmarkEnd w:id="127"/>
    </w:p>
    <w:p w14:paraId="5D2C27D9">
      <w:pPr>
        <w:spacing w:line="360" w:lineRule="exact"/>
        <w:ind w:firstLine="459"/>
        <w:rPr>
          <w:color w:val="auto"/>
        </w:rPr>
      </w:pPr>
      <w:r>
        <w:rPr>
          <w:color w:val="auto"/>
        </w:rPr>
        <w:t xml:space="preserve">1. </w:t>
      </w:r>
      <w:r>
        <w:rPr>
          <w:rFonts w:hint="eastAsia" w:hAnsi="宋体" w:cs="宋体"/>
          <w:color w:val="auto"/>
        </w:rPr>
        <w:t>签约合同价为：</w:t>
      </w:r>
    </w:p>
    <w:p w14:paraId="305FDED6">
      <w:pPr>
        <w:spacing w:line="360" w:lineRule="exact"/>
        <w:ind w:firstLine="525" w:firstLineChars="250"/>
        <w:rPr>
          <w:rFonts w:hAnsi="宋体"/>
          <w:color w:val="auto"/>
        </w:rPr>
      </w:pPr>
      <w:r>
        <w:rPr>
          <w:rFonts w:hint="eastAsia" w:hAnsi="宋体" w:cs="宋体"/>
          <w:color w:val="auto"/>
        </w:rPr>
        <w:t>人民币（大写）</w:t>
      </w:r>
      <w:r>
        <w:rPr>
          <w:color w:val="auto"/>
          <w:u w:val="single"/>
        </w:rPr>
        <w:t xml:space="preserve">                 </w:t>
      </w:r>
      <w:r>
        <w:rPr>
          <w:rFonts w:hint="eastAsia" w:cs="宋体"/>
          <w:color w:val="auto"/>
        </w:rPr>
        <w:t>（</w:t>
      </w:r>
      <w:r>
        <w:rPr>
          <w:color w:val="auto"/>
        </w:rPr>
        <w:t>¥</w:t>
      </w:r>
      <w:r>
        <w:rPr>
          <w:color w:val="auto"/>
          <w:u w:val="single"/>
        </w:rPr>
        <w:t xml:space="preserve">            </w:t>
      </w:r>
      <w:r>
        <w:rPr>
          <w:rFonts w:hint="eastAsia" w:hAnsi="宋体" w:cs="宋体"/>
          <w:color w:val="auto"/>
        </w:rPr>
        <w:t>元</w:t>
      </w:r>
      <w:r>
        <w:rPr>
          <w:rFonts w:hint="eastAsia" w:cs="宋体"/>
          <w:color w:val="auto"/>
        </w:rPr>
        <w:t>）</w:t>
      </w:r>
      <w:r>
        <w:rPr>
          <w:rFonts w:hint="eastAsia" w:hAnsi="宋体" w:cs="宋体"/>
          <w:color w:val="auto"/>
        </w:rPr>
        <w:t>；</w:t>
      </w:r>
    </w:p>
    <w:p w14:paraId="520FA133">
      <w:pPr>
        <w:spacing w:line="360" w:lineRule="exact"/>
        <w:ind w:firstLine="525" w:firstLineChars="250"/>
        <w:rPr>
          <w:rFonts w:hAnsi="宋体"/>
          <w:color w:val="auto"/>
        </w:rPr>
      </w:pPr>
      <w:r>
        <w:rPr>
          <w:rFonts w:hint="eastAsia" w:hAnsi="宋体" w:cs="宋体"/>
          <w:color w:val="auto"/>
        </w:rPr>
        <w:t>其中：</w:t>
      </w:r>
    </w:p>
    <w:p w14:paraId="6CC2190B">
      <w:pPr>
        <w:spacing w:line="360" w:lineRule="exact"/>
        <w:ind w:firstLine="420" w:firstLineChars="200"/>
        <w:rPr>
          <w:color w:val="auto"/>
        </w:rPr>
      </w:pPr>
      <w:r>
        <w:rPr>
          <w:rFonts w:hint="eastAsia" w:hAnsi="宋体" w:cs="宋体"/>
          <w:color w:val="auto"/>
        </w:rPr>
        <w:t>（</w:t>
      </w:r>
      <w:r>
        <w:rPr>
          <w:rFonts w:hAnsi="宋体"/>
          <w:color w:val="auto"/>
        </w:rPr>
        <w:t>1</w:t>
      </w:r>
      <w:r>
        <w:rPr>
          <w:rFonts w:hint="eastAsia" w:hAnsi="宋体" w:cs="宋体"/>
          <w:color w:val="auto"/>
        </w:rPr>
        <w:t>）安全文明施工费：</w:t>
      </w:r>
    </w:p>
    <w:p w14:paraId="4A4030C8">
      <w:pPr>
        <w:spacing w:line="360" w:lineRule="exact"/>
        <w:ind w:left="420" w:leftChars="200" w:firstLine="525" w:firstLineChars="250"/>
        <w:rPr>
          <w:rFonts w:hAnsi="宋体"/>
          <w:color w:val="auto"/>
        </w:rPr>
      </w:pPr>
      <w:r>
        <w:rPr>
          <w:rFonts w:hint="eastAsia" w:hAnsi="宋体" w:cs="宋体"/>
          <w:color w:val="auto"/>
        </w:rPr>
        <w:t>人民币（大写）</w:t>
      </w:r>
      <w:r>
        <w:rPr>
          <w:color w:val="auto"/>
          <w:u w:val="single"/>
        </w:rPr>
        <w:t xml:space="preserve">              </w:t>
      </w:r>
      <w:r>
        <w:rPr>
          <w:color w:val="auto"/>
        </w:rPr>
        <w:t xml:space="preserve"> </w:t>
      </w:r>
      <w:r>
        <w:rPr>
          <w:rFonts w:hint="eastAsia" w:cs="宋体"/>
          <w:color w:val="auto"/>
        </w:rPr>
        <w:t>（</w:t>
      </w:r>
      <w:r>
        <w:rPr>
          <w:color w:val="auto"/>
        </w:rPr>
        <w:t>¥</w:t>
      </w:r>
      <w:r>
        <w:rPr>
          <w:color w:val="auto"/>
          <w:u w:val="single"/>
        </w:rPr>
        <w:t xml:space="preserve">          </w:t>
      </w:r>
      <w:r>
        <w:rPr>
          <w:rFonts w:hint="eastAsia" w:hAnsi="宋体" w:cs="宋体"/>
          <w:color w:val="auto"/>
        </w:rPr>
        <w:t>元</w:t>
      </w:r>
      <w:r>
        <w:rPr>
          <w:rFonts w:hint="eastAsia" w:cs="宋体"/>
          <w:color w:val="auto"/>
        </w:rPr>
        <w:t>）</w:t>
      </w:r>
      <w:r>
        <w:rPr>
          <w:rFonts w:hint="eastAsia" w:hAnsi="宋体" w:cs="宋体"/>
          <w:color w:val="auto"/>
        </w:rPr>
        <w:t>；</w:t>
      </w:r>
    </w:p>
    <w:p w14:paraId="1E9DCCFE">
      <w:pPr>
        <w:spacing w:line="360" w:lineRule="exact"/>
        <w:ind w:firstLine="420" w:firstLineChars="200"/>
        <w:rPr>
          <w:color w:val="auto"/>
        </w:rPr>
      </w:pPr>
      <w:r>
        <w:rPr>
          <w:rFonts w:hint="eastAsia" w:hAnsi="宋体" w:cs="宋体"/>
          <w:color w:val="auto"/>
        </w:rPr>
        <w:t>（</w:t>
      </w:r>
      <w:r>
        <w:rPr>
          <w:color w:val="auto"/>
        </w:rPr>
        <w:t>2</w:t>
      </w:r>
      <w:r>
        <w:rPr>
          <w:rFonts w:hint="eastAsia" w:hAnsi="宋体" w:cs="宋体"/>
          <w:color w:val="auto"/>
        </w:rPr>
        <w:t>）材料和工程设备暂估价金额：</w:t>
      </w:r>
    </w:p>
    <w:p w14:paraId="7F1783C1">
      <w:pPr>
        <w:spacing w:line="360" w:lineRule="exact"/>
        <w:ind w:firstLine="945" w:firstLineChars="450"/>
        <w:rPr>
          <w:color w:val="auto"/>
        </w:rPr>
      </w:pPr>
      <w:r>
        <w:rPr>
          <w:rFonts w:hint="eastAsia" w:hAnsi="宋体" w:cs="宋体"/>
          <w:color w:val="auto"/>
        </w:rPr>
        <w:t>人民币（大写）</w:t>
      </w:r>
      <w:r>
        <w:rPr>
          <w:color w:val="auto"/>
          <w:u w:val="single"/>
        </w:rPr>
        <w:t xml:space="preserve">              </w:t>
      </w:r>
      <w:r>
        <w:rPr>
          <w:color w:val="auto"/>
        </w:rPr>
        <w:t xml:space="preserve"> </w:t>
      </w:r>
      <w:r>
        <w:rPr>
          <w:rFonts w:hint="eastAsia" w:cs="宋体"/>
          <w:color w:val="auto"/>
        </w:rPr>
        <w:t>（</w:t>
      </w:r>
      <w:r>
        <w:rPr>
          <w:color w:val="auto"/>
        </w:rPr>
        <w:t>¥</w:t>
      </w:r>
      <w:r>
        <w:rPr>
          <w:color w:val="auto"/>
          <w:u w:val="single"/>
        </w:rPr>
        <w:t xml:space="preserve">          </w:t>
      </w:r>
      <w:r>
        <w:rPr>
          <w:rFonts w:hint="eastAsia" w:hAnsi="宋体" w:cs="宋体"/>
          <w:color w:val="auto"/>
        </w:rPr>
        <w:t>元</w:t>
      </w:r>
      <w:r>
        <w:rPr>
          <w:rFonts w:hint="eastAsia" w:cs="宋体"/>
          <w:color w:val="auto"/>
        </w:rPr>
        <w:t>）</w:t>
      </w:r>
      <w:r>
        <w:rPr>
          <w:rFonts w:hint="eastAsia" w:hAnsi="宋体" w:cs="宋体"/>
          <w:color w:val="auto"/>
        </w:rPr>
        <w:t>；</w:t>
      </w:r>
    </w:p>
    <w:p w14:paraId="1B8D3DF5">
      <w:pPr>
        <w:spacing w:line="360" w:lineRule="exact"/>
        <w:ind w:firstLine="420" w:firstLineChars="200"/>
        <w:rPr>
          <w:color w:val="auto"/>
        </w:rPr>
      </w:pPr>
      <w:r>
        <w:rPr>
          <w:rFonts w:hint="eastAsia" w:hAnsi="宋体" w:cs="宋体"/>
          <w:color w:val="auto"/>
        </w:rPr>
        <w:t>（</w:t>
      </w:r>
      <w:r>
        <w:rPr>
          <w:color w:val="auto"/>
        </w:rPr>
        <w:t>3</w:t>
      </w:r>
      <w:r>
        <w:rPr>
          <w:rFonts w:hint="eastAsia" w:hAnsi="宋体" w:cs="宋体"/>
          <w:color w:val="auto"/>
        </w:rPr>
        <w:t>）专业工程暂估价金额：</w:t>
      </w:r>
    </w:p>
    <w:p w14:paraId="15C285A9">
      <w:pPr>
        <w:spacing w:line="360" w:lineRule="exact"/>
        <w:ind w:firstLine="945" w:firstLineChars="450"/>
        <w:rPr>
          <w:color w:val="auto"/>
        </w:rPr>
      </w:pPr>
      <w:r>
        <w:rPr>
          <w:rFonts w:hint="eastAsia" w:hAnsi="宋体" w:cs="宋体"/>
          <w:color w:val="auto"/>
        </w:rPr>
        <w:t>人民币（大写）</w:t>
      </w:r>
      <w:r>
        <w:rPr>
          <w:color w:val="auto"/>
          <w:u w:val="single"/>
        </w:rPr>
        <w:t xml:space="preserve">              </w:t>
      </w:r>
      <w:r>
        <w:rPr>
          <w:color w:val="auto"/>
        </w:rPr>
        <w:t xml:space="preserve"> </w:t>
      </w:r>
      <w:r>
        <w:rPr>
          <w:rFonts w:hint="eastAsia" w:cs="宋体"/>
          <w:color w:val="auto"/>
        </w:rPr>
        <w:t>（</w:t>
      </w:r>
      <w:r>
        <w:rPr>
          <w:color w:val="auto"/>
        </w:rPr>
        <w:t>¥</w:t>
      </w:r>
      <w:r>
        <w:rPr>
          <w:color w:val="auto"/>
          <w:u w:val="single"/>
        </w:rPr>
        <w:t xml:space="preserve">          </w:t>
      </w:r>
      <w:r>
        <w:rPr>
          <w:rFonts w:hint="eastAsia" w:hAnsi="宋体" w:cs="宋体"/>
          <w:color w:val="auto"/>
        </w:rPr>
        <w:t>元</w:t>
      </w:r>
      <w:r>
        <w:rPr>
          <w:rFonts w:hint="eastAsia" w:cs="宋体"/>
          <w:color w:val="auto"/>
        </w:rPr>
        <w:t>）</w:t>
      </w:r>
      <w:r>
        <w:rPr>
          <w:rFonts w:hint="eastAsia" w:hAnsi="宋体" w:cs="宋体"/>
          <w:color w:val="auto"/>
        </w:rPr>
        <w:t>；</w:t>
      </w:r>
    </w:p>
    <w:p w14:paraId="0E5C5AE7">
      <w:pPr>
        <w:spacing w:line="360" w:lineRule="exact"/>
        <w:ind w:firstLine="420" w:firstLineChars="200"/>
        <w:rPr>
          <w:color w:val="auto"/>
        </w:rPr>
      </w:pPr>
      <w:r>
        <w:rPr>
          <w:rFonts w:hint="eastAsia" w:hAnsi="宋体" w:cs="宋体"/>
          <w:color w:val="auto"/>
        </w:rPr>
        <w:t>（</w:t>
      </w:r>
      <w:r>
        <w:rPr>
          <w:color w:val="auto"/>
        </w:rPr>
        <w:t>4</w:t>
      </w:r>
      <w:r>
        <w:rPr>
          <w:rFonts w:hint="eastAsia" w:hAnsi="宋体" w:cs="宋体"/>
          <w:color w:val="auto"/>
        </w:rPr>
        <w:t>）暂列金额：</w:t>
      </w:r>
    </w:p>
    <w:p w14:paraId="7DA43684">
      <w:pPr>
        <w:spacing w:line="360" w:lineRule="exact"/>
        <w:ind w:firstLine="945" w:firstLineChars="450"/>
        <w:rPr>
          <w:rFonts w:hAnsi="宋体"/>
          <w:color w:val="auto"/>
        </w:rPr>
      </w:pPr>
      <w:r>
        <w:rPr>
          <w:rFonts w:hint="eastAsia" w:hAnsi="宋体" w:cs="宋体"/>
          <w:color w:val="auto"/>
        </w:rPr>
        <w:t>人民币（大写）</w:t>
      </w:r>
      <w:r>
        <w:rPr>
          <w:color w:val="auto"/>
          <w:u w:val="single"/>
        </w:rPr>
        <w:t xml:space="preserve">              </w:t>
      </w:r>
      <w:r>
        <w:rPr>
          <w:color w:val="auto"/>
        </w:rPr>
        <w:t xml:space="preserve"> </w:t>
      </w:r>
      <w:r>
        <w:rPr>
          <w:rFonts w:hint="eastAsia" w:cs="宋体"/>
          <w:color w:val="auto"/>
        </w:rPr>
        <w:t>（</w:t>
      </w:r>
      <w:r>
        <w:rPr>
          <w:color w:val="auto"/>
        </w:rPr>
        <w:t>¥</w:t>
      </w:r>
      <w:r>
        <w:rPr>
          <w:color w:val="auto"/>
          <w:u w:val="single"/>
        </w:rPr>
        <w:t xml:space="preserve">          </w:t>
      </w:r>
      <w:r>
        <w:rPr>
          <w:rFonts w:hint="eastAsia" w:hAnsi="宋体" w:cs="宋体"/>
          <w:color w:val="auto"/>
        </w:rPr>
        <w:t>元</w:t>
      </w:r>
      <w:r>
        <w:rPr>
          <w:rFonts w:hint="eastAsia" w:cs="宋体"/>
          <w:color w:val="auto"/>
        </w:rPr>
        <w:t>）</w:t>
      </w:r>
      <w:r>
        <w:rPr>
          <w:rFonts w:hint="eastAsia" w:hAnsi="宋体" w:cs="宋体"/>
          <w:color w:val="auto"/>
        </w:rPr>
        <w:t>。</w:t>
      </w:r>
    </w:p>
    <w:p w14:paraId="4825BE54">
      <w:pPr>
        <w:numPr>
          <w:ilvl w:val="0"/>
          <w:numId w:val="1"/>
        </w:numPr>
        <w:spacing w:line="360" w:lineRule="exact"/>
        <w:ind w:firstLine="420" w:firstLineChars="200"/>
        <w:rPr>
          <w:rFonts w:hint="eastAsia" w:hAnsi="宋体" w:cs="宋体"/>
          <w:color w:val="auto"/>
        </w:rPr>
      </w:pPr>
      <w:r>
        <w:rPr>
          <w:rFonts w:hint="eastAsia" w:hAnsi="宋体" w:cs="宋体"/>
          <w:color w:val="auto"/>
        </w:rPr>
        <w:t>合同价格形式：</w:t>
      </w:r>
      <w:r>
        <w:rPr>
          <w:rFonts w:hint="eastAsia"/>
          <w:color w:val="auto"/>
        </w:rPr>
        <w:t>单价合同</w:t>
      </w:r>
      <w:r>
        <w:rPr>
          <w:rFonts w:hint="eastAsia" w:hAnsi="宋体" w:cs="宋体"/>
          <w:color w:val="auto"/>
        </w:rPr>
        <w:t>。</w:t>
      </w:r>
    </w:p>
    <w:p w14:paraId="0F49A1C6">
      <w:pPr>
        <w:spacing w:line="360" w:lineRule="exact"/>
        <w:ind w:firstLine="420" w:firstLineChars="200"/>
        <w:rPr>
          <w:color w:val="auto"/>
        </w:rPr>
      </w:pPr>
      <w:r>
        <w:rPr>
          <w:rFonts w:hint="eastAsia"/>
          <w:color w:val="auto"/>
        </w:rPr>
        <w:t>3.</w:t>
      </w:r>
      <w:r>
        <w:rPr>
          <w:rFonts w:hint="eastAsia" w:ascii="宋体" w:hAnsi="宋体" w:cs="宋体"/>
          <w:color w:val="auto"/>
          <w:szCs w:val="21"/>
        </w:rPr>
        <w:t>发包人将工程款按合同约定划入承包人账户，其中工程款支付账户（承包人需于合同签订之日起30日内在岑溪市设立本项目资金监管账户并书面通知发包人，承包人原因逾期提供账号造成工程款不到位的责任由承包人自行承担）为</w:t>
      </w:r>
      <w:r>
        <w:rPr>
          <w:rFonts w:hint="eastAsia" w:ascii="宋体" w:hAnsi="宋体" w:cs="宋体"/>
          <w:bCs/>
          <w:color w:val="auto"/>
          <w:szCs w:val="21"/>
        </w:rPr>
        <w:t>该笔工程款的</w:t>
      </w:r>
      <w:r>
        <w:rPr>
          <w:rFonts w:hint="eastAsia" w:ascii="宋体" w:hAnsi="宋体" w:cs="宋体"/>
          <w:bCs/>
          <w:color w:val="auto"/>
          <w:szCs w:val="21"/>
          <w:u w:val="single"/>
        </w:rPr>
        <w:t xml:space="preserve">           </w:t>
      </w:r>
      <w:r>
        <w:rPr>
          <w:rFonts w:hint="eastAsia" w:ascii="宋体" w:hAnsi="宋体" w:cs="宋体"/>
          <w:bCs/>
          <w:color w:val="auto"/>
          <w:szCs w:val="21"/>
        </w:rPr>
        <w:t>%，</w:t>
      </w:r>
      <w:r>
        <w:rPr>
          <w:rFonts w:hint="eastAsia" w:ascii="宋体" w:hAnsi="宋体" w:cs="宋体"/>
          <w:color w:val="auto"/>
          <w:szCs w:val="21"/>
        </w:rPr>
        <w:t>汇入</w:t>
      </w:r>
      <w:r>
        <w:rPr>
          <w:rFonts w:hint="eastAsia" w:ascii="宋体" w:hAnsi="宋体" w:cs="宋体"/>
          <w:bCs/>
          <w:color w:val="auto"/>
          <w:szCs w:val="21"/>
        </w:rPr>
        <w:t>农民工工资支付专用账户（农民工工资支付专用账户</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bCs/>
          <w:color w:val="auto"/>
          <w:szCs w:val="21"/>
        </w:rPr>
        <w:t>账号：</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bCs/>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bCs/>
          <w:color w:val="auto"/>
          <w:szCs w:val="21"/>
        </w:rPr>
        <w:t>为该笔工程款的</w:t>
      </w:r>
      <w:r>
        <w:rPr>
          <w:rFonts w:hint="eastAsia" w:ascii="宋体" w:hAnsi="宋体" w:cs="宋体"/>
          <w:bCs/>
          <w:color w:val="auto"/>
          <w:szCs w:val="21"/>
          <w:u w:val="single"/>
        </w:rPr>
        <w:t xml:space="preserve">           </w:t>
      </w:r>
      <w:r>
        <w:rPr>
          <w:rFonts w:hint="eastAsia" w:ascii="宋体" w:hAnsi="宋体" w:cs="宋体"/>
          <w:bCs/>
          <w:color w:val="auto"/>
          <w:szCs w:val="21"/>
        </w:rPr>
        <w:t>%</w:t>
      </w:r>
      <w:r>
        <w:rPr>
          <w:rFonts w:hint="eastAsia" w:ascii="宋体" w:hAnsi="宋体" w:cs="宋体"/>
          <w:color w:val="auto"/>
          <w:szCs w:val="21"/>
        </w:rPr>
        <w:t>。</w:t>
      </w:r>
    </w:p>
    <w:p w14:paraId="22CC9606">
      <w:pPr>
        <w:spacing w:line="360" w:lineRule="exact"/>
        <w:ind w:firstLine="422" w:firstLineChars="200"/>
        <w:outlineLvl w:val="0"/>
        <w:rPr>
          <w:b/>
          <w:bCs/>
          <w:color w:val="auto"/>
        </w:rPr>
      </w:pPr>
      <w:bookmarkStart w:id="128" w:name="_Toc351203485"/>
      <w:r>
        <w:rPr>
          <w:rFonts w:hint="eastAsia" w:hAnsi="宋体" w:cs="宋体"/>
          <w:b/>
          <w:bCs/>
          <w:color w:val="auto"/>
        </w:rPr>
        <w:t>五、</w:t>
      </w:r>
      <w:bookmarkEnd w:id="128"/>
      <w:r>
        <w:rPr>
          <w:rFonts w:hint="eastAsia" w:hAnsi="宋体" w:cs="宋体"/>
          <w:b/>
          <w:bCs/>
          <w:color w:val="auto"/>
        </w:rPr>
        <w:t>项目经理</w:t>
      </w:r>
    </w:p>
    <w:p w14:paraId="1F38CE6D">
      <w:pPr>
        <w:spacing w:line="360" w:lineRule="exact"/>
        <w:ind w:firstLine="420" w:firstLineChars="200"/>
        <w:rPr>
          <w:rFonts w:hAnsi="宋体"/>
          <w:color w:val="auto"/>
        </w:rPr>
      </w:pPr>
      <w:r>
        <w:rPr>
          <w:rFonts w:hint="eastAsia" w:hAnsi="宋体" w:cs="宋体"/>
          <w:color w:val="auto"/>
        </w:rPr>
        <w:t>承包人项目经理：</w:t>
      </w:r>
      <w:r>
        <w:rPr>
          <w:color w:val="auto"/>
          <w:u w:val="single"/>
        </w:rPr>
        <w:t xml:space="preserve">                     </w:t>
      </w:r>
      <w:r>
        <w:rPr>
          <w:rFonts w:hint="eastAsia" w:hAnsi="宋体" w:cs="宋体"/>
          <w:color w:val="auto"/>
        </w:rPr>
        <w:t>。</w:t>
      </w:r>
    </w:p>
    <w:p w14:paraId="512D9B54">
      <w:pPr>
        <w:spacing w:line="360" w:lineRule="exact"/>
        <w:ind w:firstLine="422" w:firstLineChars="200"/>
        <w:outlineLvl w:val="0"/>
        <w:rPr>
          <w:b/>
          <w:bCs/>
          <w:color w:val="auto"/>
        </w:rPr>
      </w:pPr>
      <w:bookmarkStart w:id="129" w:name="_Toc351203486"/>
      <w:r>
        <w:rPr>
          <w:rFonts w:hint="eastAsia" w:hAnsi="宋体" w:cs="宋体"/>
          <w:b/>
          <w:bCs/>
          <w:color w:val="auto"/>
        </w:rPr>
        <w:t>六、合同文件构成</w:t>
      </w:r>
      <w:bookmarkEnd w:id="129"/>
    </w:p>
    <w:p w14:paraId="392D4A57">
      <w:pPr>
        <w:spacing w:line="360" w:lineRule="exact"/>
        <w:ind w:firstLine="420" w:firstLineChars="200"/>
        <w:rPr>
          <w:color w:val="auto"/>
        </w:rPr>
      </w:pPr>
      <w:r>
        <w:rPr>
          <w:rFonts w:hint="eastAsia" w:hAnsi="宋体" w:cs="宋体"/>
          <w:color w:val="auto"/>
        </w:rPr>
        <w:t>本协议书与下列文件一起构成合同文件：</w:t>
      </w:r>
    </w:p>
    <w:p w14:paraId="1350B425">
      <w:pPr>
        <w:autoSpaceDE w:val="0"/>
        <w:autoSpaceDN w:val="0"/>
        <w:adjustRightInd w:val="0"/>
        <w:spacing w:line="360" w:lineRule="exact"/>
        <w:ind w:firstLine="420" w:firstLineChars="200"/>
        <w:jc w:val="left"/>
        <w:rPr>
          <w:color w:val="auto"/>
        </w:rPr>
      </w:pPr>
      <w:r>
        <w:rPr>
          <w:rFonts w:hint="eastAsia" w:hAnsi="宋体" w:cs="宋体"/>
          <w:color w:val="auto"/>
        </w:rPr>
        <w:t>（</w:t>
      </w:r>
      <w:r>
        <w:rPr>
          <w:color w:val="auto"/>
        </w:rPr>
        <w:t>1</w:t>
      </w:r>
      <w:r>
        <w:rPr>
          <w:rFonts w:hint="eastAsia" w:hAnsi="宋体" w:cs="宋体"/>
          <w:color w:val="auto"/>
        </w:rPr>
        <w:t>）成交通知书（如有）；</w:t>
      </w:r>
    </w:p>
    <w:p w14:paraId="0B34233E">
      <w:pPr>
        <w:autoSpaceDE w:val="0"/>
        <w:autoSpaceDN w:val="0"/>
        <w:adjustRightInd w:val="0"/>
        <w:spacing w:line="360" w:lineRule="exact"/>
        <w:ind w:firstLine="420" w:firstLineChars="200"/>
        <w:jc w:val="left"/>
        <w:rPr>
          <w:color w:val="auto"/>
        </w:rPr>
      </w:pPr>
      <w:r>
        <w:rPr>
          <w:rFonts w:hint="eastAsia" w:hAnsi="宋体" w:cs="宋体"/>
          <w:color w:val="auto"/>
        </w:rPr>
        <w:t>（</w:t>
      </w:r>
      <w:r>
        <w:rPr>
          <w:color w:val="auto"/>
        </w:rPr>
        <w:t>2</w:t>
      </w:r>
      <w:r>
        <w:rPr>
          <w:rFonts w:hint="eastAsia" w:hAnsi="宋体" w:cs="宋体"/>
          <w:color w:val="auto"/>
        </w:rPr>
        <w:t>）竞标函及竞标函附录；</w:t>
      </w:r>
      <w:r>
        <w:rPr>
          <w:color w:val="auto"/>
        </w:rPr>
        <w:t xml:space="preserve"> </w:t>
      </w:r>
    </w:p>
    <w:p w14:paraId="65A07DD1">
      <w:pPr>
        <w:autoSpaceDE w:val="0"/>
        <w:autoSpaceDN w:val="0"/>
        <w:adjustRightInd w:val="0"/>
        <w:spacing w:line="360" w:lineRule="exact"/>
        <w:ind w:firstLine="420" w:firstLineChars="200"/>
        <w:jc w:val="left"/>
        <w:rPr>
          <w:color w:val="auto"/>
        </w:rPr>
      </w:pPr>
      <w:r>
        <w:rPr>
          <w:rFonts w:hint="eastAsia" w:hAnsi="宋体" w:cs="宋体"/>
          <w:color w:val="auto"/>
        </w:rPr>
        <w:t>（</w:t>
      </w:r>
      <w:r>
        <w:rPr>
          <w:color w:val="auto"/>
        </w:rPr>
        <w:t>3</w:t>
      </w:r>
      <w:r>
        <w:rPr>
          <w:rFonts w:hint="eastAsia" w:hAnsi="宋体" w:cs="宋体"/>
          <w:color w:val="auto"/>
        </w:rPr>
        <w:t>）专用合同条款及其附件；</w:t>
      </w:r>
    </w:p>
    <w:p w14:paraId="0159BCF8">
      <w:pPr>
        <w:autoSpaceDE w:val="0"/>
        <w:autoSpaceDN w:val="0"/>
        <w:adjustRightInd w:val="0"/>
        <w:spacing w:line="360" w:lineRule="exact"/>
        <w:ind w:firstLine="420" w:firstLineChars="200"/>
        <w:jc w:val="left"/>
        <w:rPr>
          <w:color w:val="auto"/>
        </w:rPr>
      </w:pPr>
      <w:r>
        <w:rPr>
          <w:rFonts w:hint="eastAsia" w:hAnsi="宋体" w:cs="宋体"/>
          <w:color w:val="auto"/>
        </w:rPr>
        <w:t>（</w:t>
      </w:r>
      <w:r>
        <w:rPr>
          <w:color w:val="auto"/>
        </w:rPr>
        <w:t>4</w:t>
      </w:r>
      <w:r>
        <w:rPr>
          <w:rFonts w:hint="eastAsia" w:hAnsi="宋体" w:cs="宋体"/>
          <w:color w:val="auto"/>
        </w:rPr>
        <w:t>）通用合同条款；</w:t>
      </w:r>
    </w:p>
    <w:p w14:paraId="52284C21">
      <w:pPr>
        <w:autoSpaceDE w:val="0"/>
        <w:autoSpaceDN w:val="0"/>
        <w:adjustRightInd w:val="0"/>
        <w:spacing w:line="360" w:lineRule="exact"/>
        <w:ind w:firstLine="420" w:firstLineChars="200"/>
        <w:jc w:val="left"/>
        <w:rPr>
          <w:color w:val="auto"/>
        </w:rPr>
      </w:pPr>
      <w:r>
        <w:rPr>
          <w:rFonts w:hint="eastAsia" w:hAnsi="宋体" w:cs="宋体"/>
          <w:color w:val="auto"/>
        </w:rPr>
        <w:t>（</w:t>
      </w:r>
      <w:r>
        <w:rPr>
          <w:color w:val="auto"/>
        </w:rPr>
        <w:t>5</w:t>
      </w:r>
      <w:r>
        <w:rPr>
          <w:rFonts w:hint="eastAsia" w:hAnsi="宋体" w:cs="宋体"/>
          <w:color w:val="auto"/>
        </w:rPr>
        <w:t>）</w:t>
      </w:r>
      <w:r>
        <w:rPr>
          <w:rFonts w:ascii="宋体" w:hAnsi="宋体" w:cs="宋体"/>
          <w:color w:val="auto"/>
          <w:kern w:val="1"/>
          <w:szCs w:val="21"/>
        </w:rPr>
        <w:t>技术标准和要求</w:t>
      </w:r>
      <w:r>
        <w:rPr>
          <w:rFonts w:hint="eastAsia" w:hAnsi="宋体" w:cs="宋体"/>
          <w:color w:val="auto"/>
        </w:rPr>
        <w:t>；</w:t>
      </w:r>
    </w:p>
    <w:p w14:paraId="27C7FBA1">
      <w:pPr>
        <w:autoSpaceDE w:val="0"/>
        <w:autoSpaceDN w:val="0"/>
        <w:adjustRightInd w:val="0"/>
        <w:spacing w:line="360" w:lineRule="exact"/>
        <w:ind w:firstLine="420" w:firstLineChars="200"/>
        <w:jc w:val="left"/>
        <w:rPr>
          <w:color w:val="auto"/>
        </w:rPr>
      </w:pPr>
      <w:r>
        <w:rPr>
          <w:rFonts w:hint="eastAsia" w:hAnsi="宋体" w:cs="宋体"/>
          <w:color w:val="auto"/>
        </w:rPr>
        <w:t>（</w:t>
      </w:r>
      <w:r>
        <w:rPr>
          <w:color w:val="auto"/>
        </w:rPr>
        <w:t>6</w:t>
      </w:r>
      <w:r>
        <w:rPr>
          <w:rFonts w:hint="eastAsia" w:hAnsi="宋体" w:cs="宋体"/>
          <w:color w:val="auto"/>
        </w:rPr>
        <w:t>）</w:t>
      </w:r>
      <w:r>
        <w:rPr>
          <w:rFonts w:ascii="宋体" w:hAnsi="宋体" w:cs="宋体"/>
          <w:color w:val="auto"/>
          <w:kern w:val="1"/>
          <w:szCs w:val="21"/>
        </w:rPr>
        <w:t>已标价工程量清单或预算书</w:t>
      </w:r>
      <w:r>
        <w:rPr>
          <w:rFonts w:hint="eastAsia" w:hAnsi="宋体" w:cs="宋体"/>
          <w:color w:val="auto"/>
        </w:rPr>
        <w:t>；</w:t>
      </w:r>
    </w:p>
    <w:p w14:paraId="1E3E9425">
      <w:pPr>
        <w:autoSpaceDE w:val="0"/>
        <w:autoSpaceDN w:val="0"/>
        <w:adjustRightInd w:val="0"/>
        <w:spacing w:line="360" w:lineRule="exact"/>
        <w:ind w:firstLine="420" w:firstLineChars="200"/>
        <w:jc w:val="left"/>
        <w:rPr>
          <w:color w:val="auto"/>
        </w:rPr>
      </w:pPr>
      <w:r>
        <w:rPr>
          <w:rFonts w:hint="eastAsia" w:hAnsi="宋体" w:cs="宋体"/>
          <w:color w:val="auto"/>
        </w:rPr>
        <w:t>（</w:t>
      </w:r>
      <w:r>
        <w:rPr>
          <w:color w:val="auto"/>
        </w:rPr>
        <w:t>7</w:t>
      </w:r>
      <w:r>
        <w:rPr>
          <w:rFonts w:hint="eastAsia" w:hAnsi="宋体" w:cs="宋体"/>
          <w:color w:val="auto"/>
        </w:rPr>
        <w:t>）</w:t>
      </w:r>
      <w:r>
        <w:rPr>
          <w:rFonts w:ascii="宋体" w:hAnsi="宋体" w:cs="宋体"/>
          <w:color w:val="auto"/>
          <w:kern w:val="1"/>
          <w:szCs w:val="21"/>
        </w:rPr>
        <w:t>图纸</w:t>
      </w:r>
      <w:r>
        <w:rPr>
          <w:rFonts w:hint="eastAsia" w:hAnsi="宋体" w:cs="宋体"/>
          <w:color w:val="auto"/>
        </w:rPr>
        <w:t>；</w:t>
      </w:r>
    </w:p>
    <w:p w14:paraId="5CDDF289">
      <w:pPr>
        <w:autoSpaceDE w:val="0"/>
        <w:autoSpaceDN w:val="0"/>
        <w:adjustRightInd w:val="0"/>
        <w:spacing w:line="360" w:lineRule="exact"/>
        <w:ind w:firstLine="420" w:firstLineChars="200"/>
        <w:jc w:val="left"/>
        <w:rPr>
          <w:rFonts w:cs="宋体"/>
          <w:color w:val="auto"/>
          <w:kern w:val="1"/>
          <w:szCs w:val="21"/>
        </w:rPr>
      </w:pPr>
      <w:r>
        <w:rPr>
          <w:rFonts w:hint="eastAsia" w:hAnsi="宋体" w:cs="宋体"/>
          <w:color w:val="auto"/>
        </w:rPr>
        <w:t>（</w:t>
      </w:r>
      <w:r>
        <w:rPr>
          <w:color w:val="auto"/>
        </w:rPr>
        <w:t>8</w:t>
      </w:r>
      <w:r>
        <w:rPr>
          <w:rFonts w:hint="eastAsia" w:hAnsi="宋体" w:cs="宋体"/>
          <w:color w:val="auto"/>
        </w:rPr>
        <w:t>）其他合同文件</w:t>
      </w:r>
      <w:r>
        <w:rPr>
          <w:rFonts w:cs="宋体"/>
          <w:color w:val="auto"/>
          <w:kern w:val="1"/>
          <w:szCs w:val="21"/>
        </w:rPr>
        <w:t>。</w:t>
      </w:r>
    </w:p>
    <w:p w14:paraId="2B9E31F6">
      <w:pPr>
        <w:spacing w:line="360" w:lineRule="exact"/>
        <w:ind w:firstLine="420"/>
        <w:jc w:val="left"/>
        <w:rPr>
          <w:rFonts w:ascii="宋体" w:hAnsi="宋体"/>
          <w:color w:val="auto"/>
          <w:kern w:val="1"/>
          <w:szCs w:val="21"/>
        </w:rPr>
      </w:pPr>
      <w:r>
        <w:rPr>
          <w:rFonts w:ascii="宋体" w:hAnsi="宋体" w:cs="宋体"/>
          <w:color w:val="auto"/>
          <w:kern w:val="1"/>
          <w:szCs w:val="21"/>
        </w:rPr>
        <w:t>在合同订立及履行过程中形成的与合同有关的文件均构成合同文件组成部分。</w:t>
      </w:r>
    </w:p>
    <w:p w14:paraId="32C22294">
      <w:pPr>
        <w:pStyle w:val="21"/>
        <w:spacing w:line="360" w:lineRule="exact"/>
        <w:rPr>
          <w:color w:val="auto"/>
        </w:rPr>
      </w:pPr>
      <w:r>
        <w:rPr>
          <w:rFonts w:ascii="宋体" w:hAnsi="宋体" w:cs="宋体"/>
          <w:color w:val="auto"/>
          <w:kern w:val="1"/>
          <w:szCs w:val="21"/>
        </w:rPr>
        <w:t>上述各项合同文件包括合同当事人就该项合同文件所作出的补充和修改，属于同一类内容的文件，应以最新签署的为准。专用合同条款及其附件须经合同当事人签字或盖章。</w:t>
      </w:r>
    </w:p>
    <w:p w14:paraId="15C7AC98">
      <w:pPr>
        <w:autoSpaceDE w:val="0"/>
        <w:autoSpaceDN w:val="0"/>
        <w:adjustRightInd w:val="0"/>
        <w:spacing w:line="360" w:lineRule="exact"/>
        <w:ind w:firstLine="420" w:firstLineChars="200"/>
        <w:jc w:val="left"/>
        <w:rPr>
          <w:rFonts w:hAnsi="宋体"/>
          <w:color w:val="auto"/>
        </w:rPr>
      </w:pPr>
      <w:r>
        <w:rPr>
          <w:rFonts w:hint="eastAsia" w:hAnsi="宋体" w:cs="宋体"/>
          <w:color w:val="auto"/>
        </w:rPr>
        <w:t>上述各项合同文件包括合同当事人就该项合同文件所作出的补充和修改，属于同一类内容的文件，应以最新签署的为准（违反磋商文件</w:t>
      </w:r>
      <w:r>
        <w:rPr>
          <w:rFonts w:hAnsi="宋体" w:cs="宋体"/>
          <w:color w:val="auto"/>
        </w:rPr>
        <w:t>实质性内容的约定除外</w:t>
      </w:r>
      <w:r>
        <w:rPr>
          <w:rFonts w:hint="eastAsia" w:hAnsi="宋体" w:cs="宋体"/>
          <w:color w:val="auto"/>
        </w:rPr>
        <w:t>）。专用合同条款及其附件须经合同当事人签字或盖章。</w:t>
      </w:r>
    </w:p>
    <w:p w14:paraId="13CC18D7">
      <w:pPr>
        <w:autoSpaceDE w:val="0"/>
        <w:autoSpaceDN w:val="0"/>
        <w:adjustRightInd w:val="0"/>
        <w:spacing w:line="360" w:lineRule="exact"/>
        <w:ind w:firstLine="422" w:firstLineChars="200"/>
        <w:jc w:val="left"/>
        <w:outlineLvl w:val="0"/>
        <w:rPr>
          <w:b/>
          <w:bCs/>
          <w:color w:val="auto"/>
        </w:rPr>
      </w:pPr>
      <w:bookmarkStart w:id="130" w:name="_Toc351203487"/>
      <w:r>
        <w:rPr>
          <w:rFonts w:hint="eastAsia" w:hAnsi="宋体" w:cs="宋体"/>
          <w:b/>
          <w:bCs/>
          <w:color w:val="auto"/>
        </w:rPr>
        <w:t>七、承诺</w:t>
      </w:r>
      <w:bookmarkEnd w:id="130"/>
    </w:p>
    <w:p w14:paraId="216D4A42">
      <w:pPr>
        <w:spacing w:line="360" w:lineRule="exact"/>
        <w:ind w:firstLine="420" w:firstLineChars="200"/>
        <w:rPr>
          <w:color w:val="auto"/>
        </w:rPr>
      </w:pPr>
      <w:r>
        <w:rPr>
          <w:color w:val="auto"/>
        </w:rPr>
        <w:t xml:space="preserve">1. </w:t>
      </w:r>
      <w:r>
        <w:rPr>
          <w:rFonts w:hint="eastAsia" w:hAnsi="宋体" w:cs="宋体"/>
          <w:color w:val="auto"/>
        </w:rPr>
        <w:t>发包人承诺按照法律规定履行项目审批手续、筹集工程建设资金并按照合同约定的期限和方式支付合同价款。</w:t>
      </w:r>
    </w:p>
    <w:p w14:paraId="7B1AA024">
      <w:pPr>
        <w:spacing w:line="360" w:lineRule="exact"/>
        <w:ind w:firstLine="420" w:firstLineChars="200"/>
        <w:rPr>
          <w:color w:val="auto"/>
        </w:rPr>
      </w:pPr>
      <w:r>
        <w:rPr>
          <w:color w:val="auto"/>
        </w:rPr>
        <w:t xml:space="preserve">2. </w:t>
      </w:r>
      <w:r>
        <w:rPr>
          <w:rFonts w:hint="eastAsia" w:hAnsi="宋体" w:cs="宋体"/>
          <w:color w:val="auto"/>
        </w:rPr>
        <w:t>承包人承诺按照法律规定及合同约定组织完成工程施工，确保工程质量和安全，不进行转包及违法分包，并在缺陷责任期及保修期内承担相应的工程维修责任。</w:t>
      </w:r>
    </w:p>
    <w:p w14:paraId="349D685C">
      <w:pPr>
        <w:spacing w:line="360" w:lineRule="exact"/>
        <w:ind w:firstLine="420" w:firstLineChars="200"/>
        <w:rPr>
          <w:rFonts w:hAnsi="宋体"/>
          <w:color w:val="auto"/>
        </w:rPr>
      </w:pPr>
      <w:r>
        <w:rPr>
          <w:color w:val="auto"/>
        </w:rPr>
        <w:t xml:space="preserve">3. </w:t>
      </w:r>
      <w:r>
        <w:rPr>
          <w:rFonts w:hint="eastAsia" w:hAnsi="宋体" w:cs="宋体"/>
          <w:color w:val="auto"/>
        </w:rPr>
        <w:t>发包人和承包人通过政府采购形式签订合同的，双方理解并承诺不再就同一工程另行签订与合同实质性内容相背离的协议。</w:t>
      </w:r>
      <w:bookmarkStart w:id="131" w:name="_Toc351203488"/>
    </w:p>
    <w:p w14:paraId="59DF89C0">
      <w:pPr>
        <w:spacing w:line="360" w:lineRule="exact"/>
        <w:ind w:firstLine="422" w:firstLineChars="200"/>
        <w:outlineLvl w:val="0"/>
        <w:rPr>
          <w:b/>
          <w:bCs/>
          <w:color w:val="auto"/>
        </w:rPr>
      </w:pPr>
      <w:r>
        <w:rPr>
          <w:rFonts w:hint="eastAsia" w:hAnsi="宋体" w:cs="宋体"/>
          <w:b/>
          <w:bCs/>
          <w:color w:val="auto"/>
        </w:rPr>
        <w:t>八、词语含义</w:t>
      </w:r>
      <w:bookmarkEnd w:id="131"/>
    </w:p>
    <w:p w14:paraId="46CFB4C1">
      <w:pPr>
        <w:spacing w:line="360" w:lineRule="exact"/>
        <w:ind w:firstLine="420" w:firstLineChars="200"/>
        <w:rPr>
          <w:rFonts w:hAnsi="宋体"/>
          <w:color w:val="auto"/>
        </w:rPr>
      </w:pPr>
      <w:r>
        <w:rPr>
          <w:rFonts w:hint="eastAsia" w:hAnsi="宋体" w:cs="宋体"/>
          <w:color w:val="auto"/>
        </w:rPr>
        <w:t>本协议书中词语含义与第二部分通用合同条款中赋予的含义相同。</w:t>
      </w:r>
    </w:p>
    <w:p w14:paraId="52E0F63C">
      <w:pPr>
        <w:spacing w:line="360" w:lineRule="exact"/>
        <w:ind w:firstLine="422" w:firstLineChars="200"/>
        <w:outlineLvl w:val="0"/>
        <w:rPr>
          <w:b/>
          <w:bCs/>
          <w:color w:val="auto"/>
        </w:rPr>
      </w:pPr>
      <w:bookmarkStart w:id="132" w:name="_Toc351203489"/>
      <w:r>
        <w:rPr>
          <w:rFonts w:hint="eastAsia" w:hAnsi="宋体" w:cs="宋体"/>
          <w:b/>
          <w:bCs/>
          <w:color w:val="auto"/>
        </w:rPr>
        <w:t>九、签订时间</w:t>
      </w:r>
      <w:bookmarkEnd w:id="132"/>
    </w:p>
    <w:p w14:paraId="4AB9A480">
      <w:pPr>
        <w:spacing w:line="360" w:lineRule="exact"/>
        <w:ind w:firstLine="420" w:firstLineChars="200"/>
        <w:rPr>
          <w:rFonts w:hAnsi="宋体"/>
          <w:color w:val="auto"/>
        </w:rPr>
      </w:pPr>
      <w:r>
        <w:rPr>
          <w:rFonts w:hint="eastAsia" w:hAnsi="宋体" w:cs="宋体"/>
          <w:color w:val="auto"/>
        </w:rPr>
        <w:t>本合同于</w:t>
      </w:r>
      <w:r>
        <w:rPr>
          <w:color w:val="auto"/>
          <w:u w:val="single"/>
        </w:rPr>
        <w:t xml:space="preserve">         </w:t>
      </w:r>
      <w:r>
        <w:rPr>
          <w:rFonts w:hint="eastAsia" w:hAnsi="宋体" w:cs="宋体"/>
          <w:color w:val="auto"/>
        </w:rPr>
        <w:t>年</w:t>
      </w:r>
      <w:r>
        <w:rPr>
          <w:color w:val="auto"/>
          <w:u w:val="single"/>
        </w:rPr>
        <w:t xml:space="preserve">    </w:t>
      </w:r>
      <w:r>
        <w:rPr>
          <w:rFonts w:hint="eastAsia" w:hAnsi="宋体" w:cs="宋体"/>
          <w:color w:val="auto"/>
        </w:rPr>
        <w:t>月</w:t>
      </w:r>
      <w:r>
        <w:rPr>
          <w:color w:val="auto"/>
          <w:u w:val="single"/>
        </w:rPr>
        <w:t xml:space="preserve">    </w:t>
      </w:r>
      <w:r>
        <w:rPr>
          <w:rFonts w:hint="eastAsia" w:hAnsi="宋体" w:cs="宋体"/>
          <w:color w:val="auto"/>
        </w:rPr>
        <w:t>日签订。</w:t>
      </w:r>
    </w:p>
    <w:p w14:paraId="68C7FD07">
      <w:pPr>
        <w:spacing w:line="360" w:lineRule="exact"/>
        <w:ind w:firstLine="422" w:firstLineChars="200"/>
        <w:outlineLvl w:val="0"/>
        <w:rPr>
          <w:b/>
          <w:bCs/>
          <w:color w:val="auto"/>
        </w:rPr>
      </w:pPr>
      <w:bookmarkStart w:id="133" w:name="_Toc351203490"/>
      <w:r>
        <w:rPr>
          <w:rFonts w:hint="eastAsia" w:hAnsi="宋体" w:cs="宋体"/>
          <w:b/>
          <w:bCs/>
          <w:color w:val="auto"/>
        </w:rPr>
        <w:t>十、签订地点</w:t>
      </w:r>
      <w:bookmarkEnd w:id="133"/>
    </w:p>
    <w:p w14:paraId="013A74E5">
      <w:pPr>
        <w:spacing w:line="360" w:lineRule="exact"/>
        <w:ind w:firstLine="420" w:firstLineChars="200"/>
        <w:rPr>
          <w:rFonts w:hAnsi="宋体"/>
          <w:color w:val="auto"/>
        </w:rPr>
      </w:pPr>
      <w:r>
        <w:rPr>
          <w:rFonts w:hint="eastAsia" w:hAnsi="宋体" w:cs="宋体"/>
          <w:color w:val="auto"/>
        </w:rPr>
        <w:t>本合同在</w:t>
      </w:r>
      <w:r>
        <w:rPr>
          <w:color w:val="auto"/>
          <w:u w:val="single"/>
        </w:rPr>
        <w:t xml:space="preserve">  </w:t>
      </w:r>
      <w:r>
        <w:rPr>
          <w:rFonts w:hint="eastAsia"/>
          <w:color w:val="auto"/>
          <w:kern w:val="1"/>
          <w:szCs w:val="21"/>
          <w:u w:val="single"/>
        </w:rPr>
        <w:t xml:space="preserve">广西梧州市岑溪市 </w:t>
      </w:r>
      <w:r>
        <w:rPr>
          <w:color w:val="auto"/>
          <w:u w:val="single"/>
        </w:rPr>
        <w:t xml:space="preserve"> </w:t>
      </w:r>
      <w:r>
        <w:rPr>
          <w:rFonts w:hint="eastAsia" w:hAnsi="宋体" w:cs="宋体"/>
          <w:color w:val="auto"/>
        </w:rPr>
        <w:t>签订。</w:t>
      </w:r>
    </w:p>
    <w:p w14:paraId="703FE852">
      <w:pPr>
        <w:spacing w:line="360" w:lineRule="exact"/>
        <w:ind w:firstLine="422" w:firstLineChars="200"/>
        <w:outlineLvl w:val="0"/>
        <w:rPr>
          <w:b/>
          <w:bCs/>
          <w:color w:val="auto"/>
        </w:rPr>
      </w:pPr>
      <w:bookmarkStart w:id="134" w:name="_Toc351203491"/>
      <w:r>
        <w:rPr>
          <w:rFonts w:hint="eastAsia" w:hAnsi="宋体" w:cs="宋体"/>
          <w:b/>
          <w:bCs/>
          <w:color w:val="auto"/>
        </w:rPr>
        <w:t>十一、补充协议</w:t>
      </w:r>
      <w:bookmarkEnd w:id="134"/>
    </w:p>
    <w:p w14:paraId="3C11C400">
      <w:pPr>
        <w:spacing w:line="360" w:lineRule="exact"/>
        <w:ind w:firstLine="420" w:firstLineChars="200"/>
        <w:rPr>
          <w:rFonts w:hAnsi="宋体"/>
          <w:color w:val="auto"/>
        </w:rPr>
      </w:pPr>
      <w:r>
        <w:rPr>
          <w:rFonts w:hint="eastAsia" w:hAnsi="宋体" w:cs="宋体"/>
          <w:color w:val="auto"/>
        </w:rPr>
        <w:t>合同未尽事宜，合同当事人另行签订补充协议，补充协议是合同的组成部分。</w:t>
      </w:r>
    </w:p>
    <w:p w14:paraId="0296CD3F">
      <w:pPr>
        <w:spacing w:line="360" w:lineRule="exact"/>
        <w:ind w:firstLine="422" w:firstLineChars="200"/>
        <w:outlineLvl w:val="0"/>
        <w:rPr>
          <w:b/>
          <w:bCs/>
          <w:color w:val="auto"/>
        </w:rPr>
      </w:pPr>
      <w:bookmarkStart w:id="135" w:name="_Toc351203492"/>
      <w:r>
        <w:rPr>
          <w:rFonts w:hint="eastAsia" w:hAnsi="宋体" w:cs="宋体"/>
          <w:b/>
          <w:bCs/>
          <w:color w:val="auto"/>
        </w:rPr>
        <w:t>十二、合同生效</w:t>
      </w:r>
      <w:bookmarkEnd w:id="135"/>
    </w:p>
    <w:p w14:paraId="7CD7504B">
      <w:pPr>
        <w:spacing w:line="360" w:lineRule="exact"/>
        <w:ind w:firstLine="420" w:firstLineChars="200"/>
        <w:rPr>
          <w:rFonts w:hAnsi="宋体"/>
          <w:color w:val="auto"/>
        </w:rPr>
      </w:pPr>
      <w:r>
        <w:rPr>
          <w:rFonts w:hint="eastAsia" w:hAnsi="宋体" w:cs="宋体"/>
          <w:color w:val="auto"/>
        </w:rPr>
        <w:t>本合同自</w:t>
      </w:r>
      <w:r>
        <w:rPr>
          <w:color w:val="auto"/>
          <w:u w:val="single"/>
        </w:rPr>
        <w:t xml:space="preserve">  </w:t>
      </w:r>
      <w:r>
        <w:rPr>
          <w:rFonts w:hint="eastAsia"/>
          <w:color w:val="auto"/>
          <w:kern w:val="1"/>
          <w:szCs w:val="21"/>
          <w:u w:val="single"/>
        </w:rPr>
        <w:t xml:space="preserve">双方法定代表人或其委托代理人签字或盖章并加盖公章 </w:t>
      </w:r>
      <w:r>
        <w:rPr>
          <w:color w:val="auto"/>
          <w:u w:val="single"/>
        </w:rPr>
        <w:t xml:space="preserve"> </w:t>
      </w:r>
      <w:r>
        <w:rPr>
          <w:rFonts w:hint="eastAsia" w:hAnsi="宋体" w:cs="宋体"/>
          <w:color w:val="auto"/>
        </w:rPr>
        <w:t>生效。</w:t>
      </w:r>
    </w:p>
    <w:p w14:paraId="7F59CEAF">
      <w:pPr>
        <w:spacing w:line="360" w:lineRule="exact"/>
        <w:ind w:firstLine="422"/>
        <w:outlineLvl w:val="0"/>
        <w:rPr>
          <w:rFonts w:cs="宋体"/>
          <w:b/>
          <w:color w:val="auto"/>
          <w:kern w:val="1"/>
          <w:szCs w:val="21"/>
        </w:rPr>
      </w:pPr>
      <w:bookmarkStart w:id="136" w:name="_Toc25527"/>
      <w:bookmarkStart w:id="137" w:name="_Toc21136"/>
      <w:bookmarkStart w:id="138" w:name="_Toc836"/>
      <w:bookmarkStart w:id="139" w:name="_Toc12169"/>
      <w:r>
        <w:rPr>
          <w:rFonts w:hint="eastAsia" w:cs="宋体"/>
          <w:b/>
          <w:color w:val="auto"/>
          <w:kern w:val="1"/>
          <w:szCs w:val="21"/>
        </w:rPr>
        <w:t>十三、特别约定</w:t>
      </w:r>
      <w:bookmarkEnd w:id="136"/>
      <w:bookmarkEnd w:id="137"/>
      <w:bookmarkEnd w:id="138"/>
      <w:bookmarkEnd w:id="139"/>
    </w:p>
    <w:p w14:paraId="22D10C15">
      <w:pPr>
        <w:spacing w:line="360" w:lineRule="exact"/>
        <w:ind w:right="-210" w:rightChars="-100" w:firstLine="422"/>
        <w:outlineLvl w:val="0"/>
        <w:rPr>
          <w:rFonts w:hint="eastAsia" w:cs="宋体"/>
          <w:bCs/>
          <w:color w:val="auto"/>
          <w:kern w:val="1"/>
          <w:szCs w:val="21"/>
        </w:rPr>
      </w:pPr>
      <w:bookmarkStart w:id="140" w:name="_Toc29676"/>
      <w:bookmarkStart w:id="141" w:name="_Toc31211"/>
      <w:bookmarkStart w:id="142" w:name="_Toc16459"/>
      <w:bookmarkStart w:id="143" w:name="_Toc16468"/>
      <w:r>
        <w:rPr>
          <w:rFonts w:hint="eastAsia" w:cs="宋体"/>
          <w:bCs/>
          <w:color w:val="auto"/>
          <w:kern w:val="1"/>
          <w:szCs w:val="21"/>
        </w:rPr>
        <w:t>发包人和承包人双方约定，合同签章页所写的地址作为往来信函、送达仲裁或诉讼等文书的确认地址。文书邮寄至双方约定的上述送达地址，因载明的地址有误或未及时告知变更后的地址，导致相关通知或文书未能实际接收的、邮寄送达的，相关通知或文书自交付邮寄之日起5日即视为送达，一方拒收该邮件的，直接视为已送达。</w:t>
      </w:r>
      <w:bookmarkEnd w:id="140"/>
      <w:bookmarkEnd w:id="141"/>
      <w:bookmarkEnd w:id="142"/>
      <w:bookmarkEnd w:id="143"/>
    </w:p>
    <w:p w14:paraId="4BF48788">
      <w:pPr>
        <w:spacing w:line="360" w:lineRule="exact"/>
        <w:ind w:firstLine="422"/>
        <w:outlineLvl w:val="0"/>
        <w:rPr>
          <w:rFonts w:ascii="宋体" w:hAnsi="宋体"/>
          <w:b/>
          <w:color w:val="auto"/>
          <w:kern w:val="1"/>
          <w:szCs w:val="21"/>
        </w:rPr>
      </w:pPr>
      <w:bookmarkStart w:id="144" w:name="_Toc351203493"/>
      <w:bookmarkEnd w:id="144"/>
      <w:bookmarkStart w:id="145" w:name="_Toc22805"/>
      <w:bookmarkStart w:id="146" w:name="_Toc6010"/>
      <w:bookmarkStart w:id="147" w:name="_Toc18504"/>
      <w:bookmarkStart w:id="148" w:name="_Toc17854"/>
      <w:bookmarkStart w:id="149" w:name="_Toc19300"/>
      <w:r>
        <w:rPr>
          <w:rFonts w:ascii="宋体" w:hAnsi="宋体" w:cs="宋体"/>
          <w:b/>
          <w:color w:val="auto"/>
          <w:kern w:val="1"/>
          <w:szCs w:val="21"/>
        </w:rPr>
        <w:t>十</w:t>
      </w:r>
      <w:r>
        <w:rPr>
          <w:rFonts w:hint="eastAsia" w:ascii="宋体" w:hAnsi="宋体" w:cs="宋体"/>
          <w:b/>
          <w:color w:val="auto"/>
          <w:kern w:val="1"/>
          <w:szCs w:val="21"/>
        </w:rPr>
        <w:t>四</w:t>
      </w:r>
      <w:r>
        <w:rPr>
          <w:rFonts w:ascii="宋体" w:hAnsi="宋体" w:cs="宋体"/>
          <w:b/>
          <w:color w:val="auto"/>
          <w:kern w:val="1"/>
          <w:szCs w:val="21"/>
        </w:rPr>
        <w:t>、合同份数</w:t>
      </w:r>
      <w:bookmarkEnd w:id="145"/>
      <w:bookmarkEnd w:id="146"/>
      <w:bookmarkEnd w:id="147"/>
      <w:bookmarkEnd w:id="148"/>
      <w:bookmarkEnd w:id="149"/>
    </w:p>
    <w:p w14:paraId="236B1E67">
      <w:pPr>
        <w:spacing w:line="360" w:lineRule="exact"/>
        <w:ind w:firstLine="420" w:firstLineChars="200"/>
        <w:rPr>
          <w:rFonts w:hint="eastAsia"/>
          <w:color w:val="auto"/>
        </w:rPr>
      </w:pPr>
      <w:r>
        <w:rPr>
          <w:rFonts w:ascii="宋体" w:hAnsi="宋体" w:cs="宋体"/>
          <w:color w:val="auto"/>
          <w:kern w:val="1"/>
          <w:szCs w:val="21"/>
        </w:rPr>
        <w:t>本合同一式</w:t>
      </w:r>
      <w:r>
        <w:rPr>
          <w:rFonts w:hint="eastAsia" w:ascii="宋体" w:hAnsi="宋体"/>
          <w:color w:val="auto"/>
          <w:kern w:val="1"/>
          <w:szCs w:val="21"/>
          <w:u w:val="single"/>
        </w:rPr>
        <w:t>壹拾贰</w:t>
      </w:r>
      <w:r>
        <w:rPr>
          <w:rFonts w:ascii="宋体" w:hAnsi="宋体" w:cs="宋体"/>
          <w:color w:val="auto"/>
          <w:kern w:val="1"/>
          <w:szCs w:val="21"/>
        </w:rPr>
        <w:t>份，均具有同等法律效力，发包人执</w:t>
      </w:r>
      <w:r>
        <w:rPr>
          <w:rFonts w:hint="eastAsia" w:ascii="宋体" w:hAnsi="宋体"/>
          <w:color w:val="auto"/>
          <w:kern w:val="1"/>
          <w:szCs w:val="21"/>
          <w:u w:val="single"/>
        </w:rPr>
        <w:t>玖</w:t>
      </w:r>
      <w:r>
        <w:rPr>
          <w:rFonts w:ascii="宋体" w:hAnsi="宋体" w:cs="宋体"/>
          <w:color w:val="auto"/>
          <w:kern w:val="1"/>
          <w:szCs w:val="21"/>
        </w:rPr>
        <w:t>份，承包人执</w:t>
      </w:r>
      <w:r>
        <w:rPr>
          <w:rFonts w:hint="eastAsia" w:ascii="宋体" w:hAnsi="宋体"/>
          <w:color w:val="auto"/>
          <w:kern w:val="1"/>
          <w:szCs w:val="21"/>
          <w:u w:val="single"/>
        </w:rPr>
        <w:t>叁</w:t>
      </w:r>
      <w:r>
        <w:rPr>
          <w:rFonts w:ascii="宋体" w:hAnsi="宋体" w:cs="宋体"/>
          <w:color w:val="auto"/>
          <w:kern w:val="1"/>
          <w:szCs w:val="21"/>
        </w:rPr>
        <w:t>份</w:t>
      </w:r>
      <w:r>
        <w:rPr>
          <w:rFonts w:hint="eastAsia" w:ascii="宋体" w:hAnsi="宋体" w:cs="宋体"/>
          <w:color w:val="auto"/>
          <w:kern w:val="1"/>
          <w:szCs w:val="21"/>
        </w:rPr>
        <w:t>。</w:t>
      </w:r>
    </w:p>
    <w:p w14:paraId="1E91FE81">
      <w:pPr>
        <w:spacing w:line="360" w:lineRule="exact"/>
        <w:rPr>
          <w:rFonts w:hint="eastAsia" w:hAnsi="宋体" w:cs="宋体"/>
          <w:color w:val="auto"/>
        </w:rPr>
      </w:pPr>
    </w:p>
    <w:p w14:paraId="45A10954">
      <w:pPr>
        <w:spacing w:line="360" w:lineRule="exact"/>
        <w:rPr>
          <w:color w:val="auto"/>
        </w:rPr>
      </w:pPr>
      <w:r>
        <w:rPr>
          <w:rFonts w:hint="eastAsia" w:hAnsi="宋体" w:cs="宋体"/>
          <w:color w:val="auto"/>
        </w:rPr>
        <w:t>发包人：</w:t>
      </w:r>
      <w:r>
        <w:rPr>
          <w:color w:val="auto"/>
        </w:rPr>
        <w:t xml:space="preserve">  </w:t>
      </w:r>
      <w:r>
        <w:rPr>
          <w:rFonts w:hint="eastAsia" w:cs="宋体"/>
          <w:color w:val="auto"/>
        </w:rPr>
        <w:t>（</w:t>
      </w:r>
      <w:r>
        <w:rPr>
          <w:rFonts w:hint="eastAsia" w:hAnsi="宋体" w:cs="宋体"/>
          <w:color w:val="auto"/>
        </w:rPr>
        <w:t>公章</w:t>
      </w:r>
      <w:r>
        <w:rPr>
          <w:rFonts w:hint="eastAsia" w:cs="宋体"/>
          <w:color w:val="auto"/>
        </w:rPr>
        <w:t>）</w:t>
      </w:r>
      <w:r>
        <w:rPr>
          <w:color w:val="auto"/>
        </w:rPr>
        <w:t xml:space="preserve">                              </w:t>
      </w:r>
      <w:r>
        <w:rPr>
          <w:rFonts w:hint="eastAsia" w:hAnsi="宋体" w:cs="宋体"/>
          <w:color w:val="auto"/>
        </w:rPr>
        <w:t>承包人：</w:t>
      </w:r>
      <w:r>
        <w:rPr>
          <w:color w:val="auto"/>
        </w:rPr>
        <w:t xml:space="preserve">  </w:t>
      </w:r>
      <w:r>
        <w:rPr>
          <w:rFonts w:hint="eastAsia" w:cs="宋体"/>
          <w:color w:val="auto"/>
        </w:rPr>
        <w:t>（</w:t>
      </w:r>
      <w:r>
        <w:rPr>
          <w:rFonts w:hint="eastAsia" w:hAnsi="宋体" w:cs="宋体"/>
          <w:color w:val="auto"/>
        </w:rPr>
        <w:t>公章</w:t>
      </w:r>
      <w:r>
        <w:rPr>
          <w:rFonts w:hint="eastAsia" w:cs="宋体"/>
          <w:color w:val="auto"/>
        </w:rPr>
        <w:t>）</w:t>
      </w:r>
    </w:p>
    <w:p w14:paraId="6469F40E">
      <w:pPr>
        <w:spacing w:line="360" w:lineRule="exact"/>
        <w:rPr>
          <w:color w:val="auto"/>
          <w:u w:val="single"/>
        </w:rPr>
      </w:pPr>
      <w:r>
        <w:rPr>
          <w:color w:val="auto"/>
        </w:rPr>
        <w:t xml:space="preserve">                                 </w:t>
      </w:r>
    </w:p>
    <w:p w14:paraId="7A0BD661">
      <w:pPr>
        <w:spacing w:line="360" w:lineRule="exact"/>
        <w:rPr>
          <w:color w:val="auto"/>
        </w:rPr>
      </w:pPr>
      <w:r>
        <w:rPr>
          <w:rFonts w:hint="eastAsia" w:hAnsi="宋体" w:cs="宋体"/>
          <w:color w:val="auto"/>
        </w:rPr>
        <w:t>法定代表人或其委托代理人：</w:t>
      </w:r>
      <w:r>
        <w:rPr>
          <w:color w:val="auto"/>
        </w:rPr>
        <w:t xml:space="preserve">                    </w:t>
      </w:r>
      <w:r>
        <w:rPr>
          <w:rFonts w:hint="eastAsia" w:hAnsi="宋体" w:cs="宋体"/>
          <w:color w:val="auto"/>
        </w:rPr>
        <w:t>法定代表人或其委托代理人：</w:t>
      </w:r>
    </w:p>
    <w:p w14:paraId="10D827AC">
      <w:pPr>
        <w:spacing w:line="360" w:lineRule="exact"/>
        <w:rPr>
          <w:color w:val="auto"/>
        </w:rPr>
      </w:pPr>
      <w:r>
        <w:rPr>
          <w:rFonts w:hint="eastAsia" w:hAnsi="宋体" w:cs="宋体"/>
          <w:color w:val="auto"/>
        </w:rPr>
        <w:t>（签字）</w:t>
      </w:r>
      <w:r>
        <w:rPr>
          <w:color w:val="auto"/>
        </w:rPr>
        <w:t xml:space="preserve">                                     </w:t>
      </w:r>
      <w:r>
        <w:rPr>
          <w:rFonts w:hint="eastAsia" w:hAnsi="宋体" w:cs="宋体"/>
          <w:color w:val="auto"/>
        </w:rPr>
        <w:t>（签字）</w:t>
      </w:r>
    </w:p>
    <w:p w14:paraId="628FC934">
      <w:pPr>
        <w:spacing w:line="360" w:lineRule="exact"/>
        <w:rPr>
          <w:color w:val="auto"/>
          <w:u w:val="single"/>
        </w:rPr>
      </w:pPr>
    </w:p>
    <w:p w14:paraId="35049D0A">
      <w:pPr>
        <w:tabs>
          <w:tab w:val="left" w:pos="4410"/>
        </w:tabs>
        <w:spacing w:line="360" w:lineRule="exact"/>
        <w:rPr>
          <w:color w:val="auto"/>
        </w:rPr>
      </w:pPr>
      <w:r>
        <w:rPr>
          <w:rFonts w:hint="eastAsia" w:hAnsi="宋体" w:cs="宋体"/>
          <w:color w:val="auto"/>
        </w:rPr>
        <w:t>统一社会信用代码：</w:t>
      </w:r>
      <w:r>
        <w:rPr>
          <w:color w:val="auto"/>
          <w:u w:val="single"/>
        </w:rPr>
        <w:t xml:space="preserve">       </w:t>
      </w:r>
      <w:r>
        <w:rPr>
          <w:rFonts w:hint="eastAsia"/>
          <w:color w:val="auto"/>
          <w:u w:val="single"/>
        </w:rPr>
        <w:t xml:space="preserve">    </w:t>
      </w:r>
      <w:r>
        <w:rPr>
          <w:color w:val="auto"/>
        </w:rPr>
        <w:t xml:space="preserve">                  </w:t>
      </w:r>
      <w:r>
        <w:rPr>
          <w:rFonts w:hint="eastAsia" w:cs="宋体"/>
          <w:color w:val="auto"/>
        </w:rPr>
        <w:t>统一</w:t>
      </w:r>
      <w:r>
        <w:rPr>
          <w:rFonts w:hint="eastAsia" w:hAnsi="宋体" w:cs="宋体"/>
          <w:color w:val="auto"/>
        </w:rPr>
        <w:t>社会信用代码：</w:t>
      </w:r>
      <w:r>
        <w:rPr>
          <w:color w:val="auto"/>
          <w:u w:val="single"/>
        </w:rPr>
        <w:t xml:space="preserve">          </w:t>
      </w:r>
      <w:r>
        <w:rPr>
          <w:rFonts w:hint="eastAsia"/>
          <w:color w:val="auto"/>
          <w:u w:val="single"/>
        </w:rPr>
        <w:t xml:space="preserve">        </w:t>
      </w:r>
      <w:r>
        <w:rPr>
          <w:color w:val="auto"/>
        </w:rPr>
        <w:t xml:space="preserve"> </w:t>
      </w:r>
    </w:p>
    <w:p w14:paraId="3D410180">
      <w:pPr>
        <w:spacing w:line="360" w:lineRule="exact"/>
        <w:rPr>
          <w:color w:val="auto"/>
        </w:rPr>
      </w:pPr>
      <w:r>
        <w:rPr>
          <w:rFonts w:hint="eastAsia" w:hAnsi="宋体" w:cs="宋体"/>
          <w:color w:val="auto"/>
        </w:rPr>
        <w:t>地</w:t>
      </w:r>
      <w:r>
        <w:rPr>
          <w:color w:val="auto"/>
        </w:rPr>
        <w:t xml:space="preserve">  </w:t>
      </w:r>
      <w:r>
        <w:rPr>
          <w:rFonts w:hint="eastAsia" w:hAnsi="宋体" w:cs="宋体"/>
          <w:color w:val="auto"/>
        </w:rPr>
        <w:t>址：</w:t>
      </w:r>
      <w:r>
        <w:rPr>
          <w:color w:val="auto"/>
          <w:u w:val="single"/>
        </w:rPr>
        <w:t xml:space="preserve">     </w:t>
      </w:r>
      <w:r>
        <w:rPr>
          <w:rFonts w:hint="eastAsia"/>
          <w:color w:val="auto"/>
          <w:u w:val="single"/>
        </w:rPr>
        <w:t xml:space="preserve">                </w:t>
      </w:r>
      <w:r>
        <w:rPr>
          <w:color w:val="auto"/>
        </w:rPr>
        <w:t xml:space="preserve">                  </w:t>
      </w:r>
      <w:r>
        <w:rPr>
          <w:rFonts w:hint="eastAsia" w:hAnsi="宋体" w:cs="宋体"/>
          <w:color w:val="auto"/>
        </w:rPr>
        <w:t>地</w:t>
      </w:r>
      <w:r>
        <w:rPr>
          <w:color w:val="auto"/>
        </w:rPr>
        <w:t xml:space="preserve">  </w:t>
      </w:r>
      <w:r>
        <w:rPr>
          <w:rFonts w:hint="eastAsia" w:hAnsi="宋体" w:cs="宋体"/>
          <w:color w:val="auto"/>
        </w:rPr>
        <w:t>址：</w:t>
      </w:r>
      <w:r>
        <w:rPr>
          <w:color w:val="auto"/>
          <w:u w:val="single"/>
        </w:rPr>
        <w:t xml:space="preserve">        </w:t>
      </w:r>
      <w:r>
        <w:rPr>
          <w:rFonts w:hint="eastAsia"/>
          <w:color w:val="auto"/>
          <w:u w:val="single"/>
        </w:rPr>
        <w:t xml:space="preserve">                    </w:t>
      </w:r>
    </w:p>
    <w:p w14:paraId="585C9A55">
      <w:pPr>
        <w:spacing w:line="360" w:lineRule="exact"/>
        <w:rPr>
          <w:color w:val="auto"/>
        </w:rPr>
      </w:pPr>
      <w:r>
        <w:rPr>
          <w:rFonts w:hint="eastAsia" w:hAnsi="宋体" w:cs="宋体"/>
          <w:color w:val="auto"/>
        </w:rPr>
        <w:t>邮政编码：</w:t>
      </w:r>
      <w:r>
        <w:rPr>
          <w:color w:val="auto"/>
          <w:u w:val="single"/>
        </w:rPr>
        <w:t xml:space="preserve">      </w:t>
      </w:r>
      <w:r>
        <w:rPr>
          <w:rFonts w:hint="eastAsia"/>
          <w:color w:val="auto"/>
          <w:u w:val="single"/>
        </w:rPr>
        <w:t xml:space="preserve">             </w:t>
      </w:r>
      <w:r>
        <w:rPr>
          <w:color w:val="auto"/>
        </w:rPr>
        <w:t xml:space="preserve">                 </w:t>
      </w:r>
      <w:r>
        <w:rPr>
          <w:rFonts w:hint="eastAsia"/>
          <w:color w:val="auto"/>
        </w:rPr>
        <w:t xml:space="preserve"> </w:t>
      </w:r>
      <w:r>
        <w:rPr>
          <w:rFonts w:hint="eastAsia" w:hAnsi="宋体" w:cs="宋体"/>
          <w:color w:val="auto"/>
        </w:rPr>
        <w:t>邮政编码：</w:t>
      </w:r>
      <w:r>
        <w:rPr>
          <w:color w:val="auto"/>
          <w:u w:val="single"/>
        </w:rPr>
        <w:t xml:space="preserve">  </w:t>
      </w:r>
      <w:r>
        <w:rPr>
          <w:rFonts w:hint="eastAsia"/>
          <w:color w:val="auto"/>
          <w:u w:val="single"/>
        </w:rPr>
        <w:t xml:space="preserve">                       </w:t>
      </w:r>
      <w:r>
        <w:rPr>
          <w:color w:val="auto"/>
          <w:u w:val="single"/>
        </w:rPr>
        <w:t xml:space="preserve"> </w:t>
      </w:r>
    </w:p>
    <w:p w14:paraId="70AC4A05">
      <w:pPr>
        <w:spacing w:line="360" w:lineRule="exact"/>
        <w:rPr>
          <w:color w:val="auto"/>
        </w:rPr>
      </w:pPr>
      <w:r>
        <w:rPr>
          <w:rFonts w:hint="eastAsia" w:hAnsi="宋体" w:cs="宋体"/>
          <w:color w:val="auto"/>
        </w:rPr>
        <w:t>法定代表人：</w:t>
      </w:r>
      <w:r>
        <w:rPr>
          <w:color w:val="auto"/>
          <w:u w:val="single"/>
        </w:rPr>
        <w:t xml:space="preserve">          </w:t>
      </w:r>
      <w:r>
        <w:rPr>
          <w:rFonts w:hint="eastAsia"/>
          <w:color w:val="auto"/>
          <w:u w:val="single"/>
        </w:rPr>
        <w:t xml:space="preserve">       </w:t>
      </w:r>
      <w:r>
        <w:rPr>
          <w:color w:val="auto"/>
        </w:rPr>
        <w:t xml:space="preserve">                  </w:t>
      </w:r>
      <w:r>
        <w:rPr>
          <w:rFonts w:hint="eastAsia" w:hAnsi="宋体" w:cs="宋体"/>
          <w:color w:val="auto"/>
        </w:rPr>
        <w:t>法定代表人：</w:t>
      </w:r>
      <w:r>
        <w:rPr>
          <w:color w:val="auto"/>
          <w:u w:val="single"/>
        </w:rPr>
        <w:t xml:space="preserve">            </w:t>
      </w:r>
      <w:r>
        <w:rPr>
          <w:rFonts w:hint="eastAsia"/>
          <w:color w:val="auto"/>
          <w:u w:val="single"/>
        </w:rPr>
        <w:t xml:space="preserve">           </w:t>
      </w:r>
      <w:r>
        <w:rPr>
          <w:color w:val="auto"/>
          <w:u w:val="single"/>
        </w:rPr>
        <w:t xml:space="preserve"> </w:t>
      </w:r>
    </w:p>
    <w:p w14:paraId="4AFAC14B">
      <w:pPr>
        <w:spacing w:line="360" w:lineRule="exact"/>
        <w:rPr>
          <w:color w:val="auto"/>
        </w:rPr>
      </w:pPr>
      <w:r>
        <w:rPr>
          <w:rFonts w:hint="eastAsia" w:hAnsi="宋体" w:cs="宋体"/>
          <w:color w:val="auto"/>
        </w:rPr>
        <w:t>委托代理人：</w:t>
      </w:r>
      <w:r>
        <w:rPr>
          <w:color w:val="auto"/>
          <w:u w:val="single"/>
        </w:rPr>
        <w:t xml:space="preserve">           </w:t>
      </w:r>
      <w:r>
        <w:rPr>
          <w:rFonts w:hint="eastAsia"/>
          <w:color w:val="auto"/>
          <w:u w:val="single"/>
        </w:rPr>
        <w:t xml:space="preserve">      </w:t>
      </w:r>
      <w:r>
        <w:rPr>
          <w:color w:val="auto"/>
        </w:rPr>
        <w:t xml:space="preserve">                  </w:t>
      </w:r>
      <w:r>
        <w:rPr>
          <w:rFonts w:hint="eastAsia" w:hAnsi="宋体" w:cs="宋体"/>
          <w:color w:val="auto"/>
        </w:rPr>
        <w:t>委托代理人：</w:t>
      </w:r>
      <w:r>
        <w:rPr>
          <w:color w:val="auto"/>
          <w:u w:val="single"/>
        </w:rPr>
        <w:t xml:space="preserve">           </w:t>
      </w:r>
      <w:r>
        <w:rPr>
          <w:rFonts w:hint="eastAsia"/>
          <w:color w:val="auto"/>
          <w:u w:val="single"/>
        </w:rPr>
        <w:t xml:space="preserve">            </w:t>
      </w:r>
      <w:r>
        <w:rPr>
          <w:color w:val="auto"/>
          <w:u w:val="single"/>
        </w:rPr>
        <w:t xml:space="preserve">  </w:t>
      </w:r>
    </w:p>
    <w:p w14:paraId="085D3753">
      <w:pPr>
        <w:spacing w:line="360" w:lineRule="exact"/>
        <w:rPr>
          <w:color w:val="auto"/>
        </w:rPr>
      </w:pPr>
      <w:r>
        <w:rPr>
          <w:rFonts w:hint="eastAsia" w:hAnsi="宋体" w:cs="宋体"/>
          <w:color w:val="auto"/>
        </w:rPr>
        <w:t>电</w:t>
      </w:r>
      <w:r>
        <w:rPr>
          <w:color w:val="auto"/>
        </w:rPr>
        <w:t xml:space="preserve">  </w:t>
      </w:r>
      <w:r>
        <w:rPr>
          <w:rFonts w:hint="eastAsia" w:hAnsi="宋体" w:cs="宋体"/>
          <w:color w:val="auto"/>
        </w:rPr>
        <w:t>话：</w:t>
      </w:r>
      <w:r>
        <w:rPr>
          <w:color w:val="auto"/>
          <w:u w:val="single"/>
        </w:rPr>
        <w:t xml:space="preserve">  </w:t>
      </w:r>
      <w:r>
        <w:rPr>
          <w:rFonts w:hint="eastAsia"/>
          <w:color w:val="auto"/>
          <w:u w:val="single"/>
        </w:rPr>
        <w:t xml:space="preserve">                  </w:t>
      </w:r>
      <w:r>
        <w:rPr>
          <w:color w:val="auto"/>
          <w:u w:val="single"/>
        </w:rPr>
        <w:t xml:space="preserve"> </w:t>
      </w:r>
      <w:r>
        <w:rPr>
          <w:color w:val="auto"/>
        </w:rPr>
        <w:t xml:space="preserve">                  </w:t>
      </w:r>
      <w:r>
        <w:rPr>
          <w:rFonts w:hint="eastAsia" w:hAnsi="宋体" w:cs="宋体"/>
          <w:color w:val="auto"/>
        </w:rPr>
        <w:t>电</w:t>
      </w:r>
      <w:r>
        <w:rPr>
          <w:color w:val="auto"/>
        </w:rPr>
        <w:t xml:space="preserve">  </w:t>
      </w:r>
      <w:r>
        <w:rPr>
          <w:rFonts w:hint="eastAsia" w:hAnsi="宋体" w:cs="宋体"/>
          <w:color w:val="auto"/>
        </w:rPr>
        <w:t>话：</w:t>
      </w:r>
      <w:r>
        <w:rPr>
          <w:color w:val="auto"/>
          <w:u w:val="single"/>
        </w:rPr>
        <w:t xml:space="preserve">    </w:t>
      </w:r>
      <w:r>
        <w:rPr>
          <w:rFonts w:hint="eastAsia"/>
          <w:color w:val="auto"/>
          <w:u w:val="single"/>
        </w:rPr>
        <w:t xml:space="preserve">                       </w:t>
      </w:r>
      <w:r>
        <w:rPr>
          <w:color w:val="auto"/>
          <w:u w:val="single"/>
        </w:rPr>
        <w:t xml:space="preserve"> </w:t>
      </w:r>
    </w:p>
    <w:p w14:paraId="09BA16F0">
      <w:pPr>
        <w:spacing w:line="360" w:lineRule="exact"/>
        <w:rPr>
          <w:color w:val="auto"/>
        </w:rPr>
      </w:pPr>
      <w:r>
        <w:rPr>
          <w:rFonts w:hint="eastAsia" w:hAnsi="宋体" w:cs="宋体"/>
          <w:color w:val="auto"/>
        </w:rPr>
        <w:t>传</w:t>
      </w:r>
      <w:r>
        <w:rPr>
          <w:color w:val="auto"/>
        </w:rPr>
        <w:t xml:space="preserve">  </w:t>
      </w:r>
      <w:r>
        <w:rPr>
          <w:rFonts w:hint="eastAsia" w:hAnsi="宋体" w:cs="宋体"/>
          <w:color w:val="auto"/>
        </w:rPr>
        <w:t>真：</w:t>
      </w:r>
      <w:r>
        <w:rPr>
          <w:color w:val="auto"/>
          <w:u w:val="single"/>
        </w:rPr>
        <w:t xml:space="preserve">   </w:t>
      </w:r>
      <w:r>
        <w:rPr>
          <w:rFonts w:hint="eastAsia"/>
          <w:color w:val="auto"/>
          <w:u w:val="single"/>
        </w:rPr>
        <w:t xml:space="preserve">                  </w:t>
      </w:r>
      <w:r>
        <w:rPr>
          <w:color w:val="auto"/>
        </w:rPr>
        <w:t xml:space="preserve">                  </w:t>
      </w:r>
      <w:r>
        <w:rPr>
          <w:rFonts w:hint="eastAsia" w:hAnsi="宋体" w:cs="宋体"/>
          <w:color w:val="auto"/>
        </w:rPr>
        <w:t>传</w:t>
      </w:r>
      <w:r>
        <w:rPr>
          <w:color w:val="auto"/>
        </w:rPr>
        <w:t xml:space="preserve">  </w:t>
      </w:r>
      <w:r>
        <w:rPr>
          <w:rFonts w:hint="eastAsia" w:hAnsi="宋体" w:cs="宋体"/>
          <w:color w:val="auto"/>
        </w:rPr>
        <w:t>真：</w:t>
      </w:r>
      <w:r>
        <w:rPr>
          <w:color w:val="auto"/>
          <w:u w:val="single"/>
        </w:rPr>
        <w:t xml:space="preserve">    </w:t>
      </w:r>
      <w:r>
        <w:rPr>
          <w:rFonts w:hint="eastAsia"/>
          <w:color w:val="auto"/>
          <w:u w:val="single"/>
        </w:rPr>
        <w:t xml:space="preserve">                        </w:t>
      </w:r>
      <w:r>
        <w:rPr>
          <w:color w:val="auto"/>
          <w:u w:val="single"/>
        </w:rPr>
        <w:t xml:space="preserve"> </w:t>
      </w:r>
    </w:p>
    <w:p w14:paraId="6922ADDF">
      <w:pPr>
        <w:spacing w:line="360" w:lineRule="exact"/>
        <w:rPr>
          <w:color w:val="auto"/>
        </w:rPr>
      </w:pPr>
      <w:r>
        <w:rPr>
          <w:rFonts w:hint="eastAsia" w:hAnsi="宋体" w:cs="宋体"/>
          <w:color w:val="auto"/>
        </w:rPr>
        <w:t>电子信箱：</w:t>
      </w:r>
      <w:r>
        <w:rPr>
          <w:color w:val="auto"/>
          <w:u w:val="single"/>
        </w:rPr>
        <w:t xml:space="preserve">                 </w:t>
      </w:r>
      <w:r>
        <w:rPr>
          <w:rFonts w:hint="eastAsia"/>
          <w:color w:val="auto"/>
          <w:u w:val="single"/>
        </w:rPr>
        <w:t xml:space="preserve">  </w:t>
      </w:r>
      <w:r>
        <w:rPr>
          <w:color w:val="auto"/>
        </w:rPr>
        <w:t xml:space="preserve">                  </w:t>
      </w:r>
      <w:r>
        <w:rPr>
          <w:rFonts w:hint="eastAsia" w:hAnsi="宋体" w:cs="宋体"/>
          <w:color w:val="auto"/>
        </w:rPr>
        <w:t>电子信箱：</w:t>
      </w:r>
      <w:r>
        <w:rPr>
          <w:color w:val="auto"/>
          <w:u w:val="single"/>
        </w:rPr>
        <w:t xml:space="preserve">   </w:t>
      </w:r>
      <w:r>
        <w:rPr>
          <w:rFonts w:hint="eastAsia"/>
          <w:color w:val="auto"/>
          <w:u w:val="single"/>
        </w:rPr>
        <w:t xml:space="preserve">                      </w:t>
      </w:r>
    </w:p>
    <w:p w14:paraId="320D9479">
      <w:pPr>
        <w:spacing w:line="360" w:lineRule="exact"/>
        <w:rPr>
          <w:color w:val="auto"/>
        </w:rPr>
      </w:pPr>
      <w:r>
        <w:rPr>
          <w:rFonts w:hint="eastAsia" w:hAnsi="宋体" w:cs="宋体"/>
          <w:color w:val="auto"/>
        </w:rPr>
        <w:t>开户银行：</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u w:val="single"/>
        </w:rPr>
        <w:t xml:space="preserve"> </w:t>
      </w:r>
      <w:r>
        <w:rPr>
          <w:color w:val="auto"/>
        </w:rPr>
        <w:t xml:space="preserve">                  </w:t>
      </w:r>
      <w:r>
        <w:rPr>
          <w:rFonts w:hint="eastAsia" w:hAnsi="宋体" w:cs="宋体"/>
          <w:color w:val="auto"/>
        </w:rPr>
        <w:t>开户银行：</w:t>
      </w:r>
      <w:r>
        <w:rPr>
          <w:color w:val="auto"/>
          <w:u w:val="single"/>
        </w:rPr>
        <w:t xml:space="preserve">  </w:t>
      </w:r>
      <w:r>
        <w:rPr>
          <w:rFonts w:hint="eastAsia"/>
          <w:color w:val="auto"/>
          <w:u w:val="single"/>
        </w:rPr>
        <w:t xml:space="preserve">                      </w:t>
      </w:r>
      <w:r>
        <w:rPr>
          <w:color w:val="auto"/>
          <w:u w:val="single"/>
        </w:rPr>
        <w:t xml:space="preserve"> </w:t>
      </w:r>
    </w:p>
    <w:p w14:paraId="519565EF">
      <w:pPr>
        <w:spacing w:line="360" w:lineRule="exact"/>
        <w:rPr>
          <w:color w:val="auto"/>
          <w:u w:val="single"/>
        </w:rPr>
      </w:pPr>
      <w:r>
        <w:rPr>
          <w:rFonts w:hint="eastAsia" w:hAnsi="宋体" w:cs="宋体"/>
          <w:color w:val="auto"/>
        </w:rPr>
        <w:t>账</w:t>
      </w:r>
      <w:r>
        <w:rPr>
          <w:color w:val="auto"/>
        </w:rPr>
        <w:t xml:space="preserve">  </w:t>
      </w:r>
      <w:r>
        <w:rPr>
          <w:rFonts w:hint="eastAsia" w:hAnsi="宋体" w:cs="宋体"/>
          <w:color w:val="auto"/>
        </w:rPr>
        <w:t>号：</w:t>
      </w:r>
      <w:r>
        <w:rPr>
          <w:color w:val="auto"/>
          <w:u w:val="single"/>
        </w:rPr>
        <w:t xml:space="preserve">       </w:t>
      </w:r>
      <w:r>
        <w:rPr>
          <w:rFonts w:hint="eastAsia"/>
          <w:color w:val="auto"/>
          <w:u w:val="single"/>
        </w:rPr>
        <w:t xml:space="preserve">              </w:t>
      </w:r>
      <w:r>
        <w:rPr>
          <w:color w:val="auto"/>
        </w:rPr>
        <w:t xml:space="preserve">                  </w:t>
      </w:r>
      <w:r>
        <w:rPr>
          <w:rFonts w:hint="eastAsia" w:hAnsi="宋体" w:cs="宋体"/>
          <w:color w:val="auto"/>
        </w:rPr>
        <w:t>账</w:t>
      </w:r>
      <w:r>
        <w:rPr>
          <w:color w:val="auto"/>
        </w:rPr>
        <w:t xml:space="preserve">  </w:t>
      </w:r>
      <w:r>
        <w:rPr>
          <w:rFonts w:hint="eastAsia" w:hAnsi="宋体" w:cs="宋体"/>
          <w:color w:val="auto"/>
        </w:rPr>
        <w:t>号：</w:t>
      </w:r>
      <w:r>
        <w:rPr>
          <w:color w:val="auto"/>
          <w:u w:val="single"/>
        </w:rPr>
        <w:t xml:space="preserve">    </w:t>
      </w:r>
      <w:r>
        <w:rPr>
          <w:rFonts w:hint="eastAsia"/>
          <w:color w:val="auto"/>
          <w:u w:val="single"/>
        </w:rPr>
        <w:t xml:space="preserve">                      </w:t>
      </w:r>
      <w:r>
        <w:rPr>
          <w:color w:val="auto"/>
          <w:u w:val="single"/>
        </w:rPr>
        <w:t xml:space="preserve"> </w:t>
      </w:r>
    </w:p>
    <w:p w14:paraId="24A09289">
      <w:pPr>
        <w:pStyle w:val="5"/>
        <w:spacing w:line="360" w:lineRule="exact"/>
        <w:jc w:val="center"/>
        <w:rPr>
          <w:rFonts w:ascii="宋体" w:hAnsi="宋体" w:cs="宋体"/>
          <w:color w:val="auto"/>
          <w:szCs w:val="21"/>
        </w:rPr>
      </w:pPr>
      <w:r>
        <w:rPr>
          <w:rFonts w:ascii="宋体" w:hAnsi="宋体" w:cs="宋体"/>
          <w:color w:val="auto"/>
          <w:sz w:val="24"/>
        </w:rPr>
        <w:br w:type="page"/>
      </w:r>
      <w:bookmarkStart w:id="150" w:name="_Toc26741"/>
      <w:bookmarkStart w:id="151" w:name="_Toc4509"/>
      <w:bookmarkStart w:id="152" w:name="_Toc4294"/>
      <w:bookmarkStart w:id="153" w:name="_Toc18139"/>
      <w:bookmarkStart w:id="154" w:name="_Toc25940"/>
      <w:r>
        <w:rPr>
          <w:rFonts w:hint="eastAsia" w:ascii="宋体" w:hAnsi="宋体"/>
          <w:color w:val="auto"/>
          <w:sz w:val="28"/>
          <w:szCs w:val="28"/>
          <w:lang w:val="zh-CN"/>
        </w:rPr>
        <w:t>第二部分 通用</w:t>
      </w:r>
      <w:r>
        <w:rPr>
          <w:rFonts w:ascii="宋体" w:hAnsi="宋体"/>
          <w:color w:val="auto"/>
          <w:sz w:val="28"/>
          <w:szCs w:val="28"/>
          <w:lang w:val="zh-CN"/>
        </w:rPr>
        <w:t>合同条款</w:t>
      </w:r>
      <w:bookmarkEnd w:id="150"/>
      <w:bookmarkEnd w:id="151"/>
      <w:bookmarkEnd w:id="152"/>
      <w:bookmarkEnd w:id="153"/>
      <w:bookmarkEnd w:id="154"/>
    </w:p>
    <w:p w14:paraId="141FC64B">
      <w:pPr>
        <w:pStyle w:val="8"/>
        <w:spacing w:before="120" w:after="120" w:line="360" w:lineRule="exact"/>
        <w:rPr>
          <w:rFonts w:hint="eastAsia" w:ascii="宋体" w:hAnsi="宋体" w:cs="宋体"/>
          <w:bCs w:val="0"/>
          <w:color w:val="auto"/>
          <w:sz w:val="21"/>
          <w:szCs w:val="21"/>
        </w:rPr>
      </w:pPr>
      <w:bookmarkStart w:id="155" w:name="_Toc351203495"/>
      <w:r>
        <w:rPr>
          <w:rFonts w:hint="eastAsia" w:ascii="宋体" w:hAnsi="宋体" w:cs="宋体"/>
          <w:bCs w:val="0"/>
          <w:color w:val="auto"/>
          <w:sz w:val="21"/>
          <w:szCs w:val="21"/>
        </w:rPr>
        <w:t>1.</w:t>
      </w:r>
      <w:bookmarkStart w:id="156" w:name="_Toc303538976"/>
      <w:bookmarkEnd w:id="156"/>
      <w:bookmarkStart w:id="157" w:name="_Toc303538973"/>
      <w:bookmarkEnd w:id="157"/>
      <w:bookmarkStart w:id="158" w:name="_Toc303538975"/>
      <w:bookmarkEnd w:id="158"/>
      <w:bookmarkStart w:id="159" w:name="_Toc303538974"/>
      <w:bookmarkEnd w:id="159"/>
      <w:bookmarkStart w:id="160" w:name="_Toc303538972"/>
      <w:bookmarkEnd w:id="160"/>
      <w:bookmarkStart w:id="161" w:name="_Toc296346528"/>
      <w:bookmarkStart w:id="162" w:name="_Toc296503027"/>
      <w:r>
        <w:rPr>
          <w:rFonts w:hint="eastAsia" w:ascii="宋体" w:hAnsi="宋体" w:cs="宋体"/>
          <w:bCs w:val="0"/>
          <w:color w:val="auto"/>
          <w:sz w:val="21"/>
          <w:szCs w:val="21"/>
        </w:rPr>
        <w:t xml:space="preserve"> 一般约定</w:t>
      </w:r>
      <w:bookmarkEnd w:id="155"/>
      <w:bookmarkEnd w:id="161"/>
      <w:bookmarkEnd w:id="162"/>
    </w:p>
    <w:p w14:paraId="2292EEFB">
      <w:pPr>
        <w:pStyle w:val="9"/>
        <w:spacing w:before="120" w:after="120" w:line="360" w:lineRule="exact"/>
        <w:ind w:firstLine="422" w:firstLineChars="200"/>
        <w:rPr>
          <w:rFonts w:hint="eastAsia" w:ascii="宋体" w:hAnsi="宋体" w:cs="宋体"/>
          <w:color w:val="auto"/>
          <w:sz w:val="21"/>
          <w:szCs w:val="21"/>
        </w:rPr>
      </w:pPr>
      <w:bookmarkStart w:id="163" w:name="_Toc337558728"/>
      <w:bookmarkStart w:id="164" w:name="_Toc296346529"/>
      <w:bookmarkStart w:id="165" w:name="_Toc296503028"/>
      <w:bookmarkStart w:id="166" w:name="_Toc351203496"/>
      <w:r>
        <w:rPr>
          <w:rFonts w:hint="eastAsia" w:ascii="宋体" w:hAnsi="宋体" w:cs="宋体"/>
          <w:color w:val="auto"/>
          <w:sz w:val="21"/>
          <w:szCs w:val="21"/>
        </w:rPr>
        <w:t>1.1词语定义</w:t>
      </w:r>
      <w:bookmarkEnd w:id="163"/>
      <w:bookmarkEnd w:id="164"/>
      <w:bookmarkEnd w:id="165"/>
      <w:r>
        <w:rPr>
          <w:rFonts w:hint="eastAsia" w:ascii="宋体" w:hAnsi="宋体" w:cs="宋体"/>
          <w:color w:val="auto"/>
          <w:sz w:val="21"/>
          <w:szCs w:val="21"/>
        </w:rPr>
        <w:t>与解释</w:t>
      </w:r>
      <w:bookmarkEnd w:id="166"/>
    </w:p>
    <w:p w14:paraId="02E4512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合同协议书、通用合同条款、专用合同条款中的下列词语具有本款所赋予的含义：</w:t>
      </w:r>
    </w:p>
    <w:p w14:paraId="49C18F46">
      <w:pPr>
        <w:autoSpaceDE w:val="0"/>
        <w:autoSpaceDN w:val="0"/>
        <w:adjustRightInd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 xml:space="preserve">    1.1.1 合同</w:t>
      </w:r>
    </w:p>
    <w:p w14:paraId="4B2D3EE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1.1.1.1 合同：是指根据法律规定和合同当事人约定具有约束力的文件，构成合同的文件包括合同协议书、成交通知书（如果有）、竞标函及其附录（如果有）、专用合同条款</w:t>
      </w:r>
      <w:r>
        <w:rPr>
          <w:rFonts w:hint="eastAsia" w:ascii="宋体" w:hAnsi="宋体" w:cs="宋体"/>
          <w:color w:val="auto"/>
          <w:szCs w:val="21"/>
        </w:rPr>
        <w:t>及其附件</w:t>
      </w:r>
      <w:r>
        <w:rPr>
          <w:rFonts w:hint="eastAsia" w:ascii="宋体" w:hAnsi="宋体" w:cs="宋体"/>
          <w:color w:val="auto"/>
          <w:kern w:val="0"/>
          <w:szCs w:val="21"/>
        </w:rPr>
        <w:t>、通用合同条款、技术标准和要求、图纸、已标价工程量清单或预算书以及其他合同文件。</w:t>
      </w:r>
    </w:p>
    <w:p w14:paraId="6F309CB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1.1.1.2 合同协议书：是指构成合同的由发包人和承包人共同签署的称为“合同协议书”的书面文件。</w:t>
      </w:r>
    </w:p>
    <w:p w14:paraId="0DF95B5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1.1.1.3 成交通知书：是指构成合同的由发包人通知承包人成交的书面文件。</w:t>
      </w:r>
    </w:p>
    <w:p w14:paraId="6FD9335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1.1.1.4 竞标函：是指构成合同的由承包人填写并签署的用于竞标的称为“竞标函”的文件。</w:t>
      </w:r>
    </w:p>
    <w:p w14:paraId="6154D90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1.1.1.5 竞标函附录：是指构成合同的附在竞标函后的称为“竞标函附录”的文件。</w:t>
      </w:r>
    </w:p>
    <w:p w14:paraId="070CA19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1.1.1.6 技术标准和要求：是指构成合同的施工应当遵守的或指导施工的国家、行业或地方的技术标准和要求，以及合同约定的技术标准和要求。</w:t>
      </w:r>
    </w:p>
    <w:p w14:paraId="38F8E881">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2135926F">
      <w:pPr>
        <w:autoSpaceDE w:val="0"/>
        <w:autoSpaceDN w:val="0"/>
        <w:adjustRightInd w:val="0"/>
        <w:spacing w:line="360" w:lineRule="exact"/>
        <w:ind w:firstLine="409" w:firstLineChars="195"/>
        <w:jc w:val="left"/>
        <w:rPr>
          <w:rFonts w:hint="eastAsia" w:ascii="宋体" w:hAnsi="宋体" w:cs="宋体"/>
          <w:color w:val="auto"/>
          <w:kern w:val="0"/>
          <w:szCs w:val="21"/>
        </w:rPr>
      </w:pPr>
      <w:r>
        <w:rPr>
          <w:rFonts w:hint="eastAsia" w:ascii="宋体" w:hAnsi="宋体" w:cs="宋体"/>
          <w:color w:val="auto"/>
          <w:kern w:val="0"/>
          <w:szCs w:val="21"/>
        </w:rPr>
        <w:t>1.1.1.8 已标价工程量清单：是指构成合同的由承包人按照规定的格式和要求填写并标明价格的工程量清单，包括说明和表格。</w:t>
      </w:r>
    </w:p>
    <w:p w14:paraId="1FD48EB2">
      <w:pPr>
        <w:autoSpaceDE w:val="0"/>
        <w:autoSpaceDN w:val="0"/>
        <w:adjustRightInd w:val="0"/>
        <w:spacing w:line="360" w:lineRule="exact"/>
        <w:ind w:firstLine="409" w:firstLineChars="195"/>
        <w:jc w:val="left"/>
        <w:rPr>
          <w:rFonts w:hint="eastAsia" w:ascii="宋体" w:hAnsi="宋体" w:cs="宋体"/>
          <w:color w:val="auto"/>
          <w:kern w:val="0"/>
          <w:szCs w:val="21"/>
        </w:rPr>
      </w:pPr>
      <w:r>
        <w:rPr>
          <w:rFonts w:hint="eastAsia" w:ascii="宋体" w:hAnsi="宋体" w:cs="宋体"/>
          <w:color w:val="auto"/>
          <w:kern w:val="0"/>
          <w:szCs w:val="21"/>
        </w:rPr>
        <w:t>1.1.1.9 预算书：是指构成合同的由承包人按照发包人规定的格式和要求编制的工程预算文件。</w:t>
      </w:r>
    </w:p>
    <w:p w14:paraId="7306C9B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1.1.1.10 其他合同文件：是指经合同当事人约定的与工程施工有关的具有合同约束力的文件或书面协议。合同当事人可以在专用合同条款中进行约定。</w:t>
      </w:r>
    </w:p>
    <w:p w14:paraId="6735DBAE">
      <w:pPr>
        <w:autoSpaceDE w:val="0"/>
        <w:autoSpaceDN w:val="0"/>
        <w:adjustRightInd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 xml:space="preserve">    1.1.2 合同当事人及其他相关方</w:t>
      </w:r>
    </w:p>
    <w:p w14:paraId="7432935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1.1.2.1 合同当事人：是指发包人和（或）承包人。</w:t>
      </w:r>
    </w:p>
    <w:p w14:paraId="232BF57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1.1.2.2 发包人：是指与承包人签订合同协议书的当事人及取得该当事人资格的合法继承人。</w:t>
      </w:r>
    </w:p>
    <w:p w14:paraId="69CE205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1.1.2.3 承包人：是指与发包人签订合同协议书的，具有相应工程施工承包资质的当事人及取得该当事人资格的合法继承人。</w:t>
      </w:r>
    </w:p>
    <w:p w14:paraId="0A611A7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1.1.2.4 监理人：是指在专用合同条款中指明的，受发包人委托按照法律规定进行工程监督管理的法人或其他组织。</w:t>
      </w:r>
    </w:p>
    <w:p w14:paraId="5F0EADE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1.1.2.5 设计人：是指在专用合同条款中指明的，受发包人委托负责工程设计并具备相应工程设计资质的法人或其他组织。</w:t>
      </w:r>
    </w:p>
    <w:p w14:paraId="034634DC">
      <w:pPr>
        <w:spacing w:line="360" w:lineRule="exact"/>
        <w:ind w:firstLine="409" w:firstLineChars="195"/>
        <w:jc w:val="left"/>
        <w:rPr>
          <w:rFonts w:hint="eastAsia" w:ascii="宋体" w:hAnsi="宋体" w:cs="宋体"/>
          <w:color w:val="auto"/>
          <w:kern w:val="0"/>
          <w:szCs w:val="21"/>
        </w:rPr>
      </w:pPr>
      <w:r>
        <w:rPr>
          <w:rFonts w:hint="eastAsia" w:ascii="宋体" w:hAnsi="宋体" w:cs="宋体"/>
          <w:color w:val="auto"/>
          <w:kern w:val="0"/>
          <w:szCs w:val="21"/>
        </w:rPr>
        <w:t>1.1.2.6 分包人：</w:t>
      </w:r>
      <w:bookmarkStart w:id="167" w:name="#go5"/>
      <w:bookmarkEnd w:id="167"/>
      <w:r>
        <w:rPr>
          <w:rFonts w:hint="eastAsia" w:ascii="宋体" w:hAnsi="宋体" w:cs="宋体"/>
          <w:color w:val="auto"/>
          <w:kern w:val="0"/>
          <w:szCs w:val="21"/>
        </w:rPr>
        <w:t>是指按照法律规定和合同约定，分包部分工程或工作，并与承包人签订分包合同的具有相应资质的法人。</w:t>
      </w:r>
    </w:p>
    <w:p w14:paraId="609BFCE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1.1.2.7 发包人代表：是指由发包人任命并派驻施工现场在发包人授权范围内行使发包人权利的人。</w:t>
      </w:r>
    </w:p>
    <w:p w14:paraId="06B6FE6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1.1.2.8 项目经理：是指由承包人任命并派驻施工现场，在承包人授权范围内负责合同履行，且按照法律规定具有相应资格的项目负责人。</w:t>
      </w:r>
    </w:p>
    <w:p w14:paraId="6EE0050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1.1.2.9 总监理工程师：是指由监理人任命并派驻施工现场进行工程监理的总负责人。</w:t>
      </w:r>
    </w:p>
    <w:p w14:paraId="6E830D4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1.1.3 工程和设备</w:t>
      </w:r>
    </w:p>
    <w:p w14:paraId="696270D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1.1.3.1 工程：是指与合同协议书中工程承包范围对应的永久工程和（或）临时工程。</w:t>
      </w:r>
    </w:p>
    <w:p w14:paraId="27F6593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1.1.3.2 永久工程：是指按合同约定建造并移交给发包人的工程，包括工程设备。</w:t>
      </w:r>
    </w:p>
    <w:p w14:paraId="760E025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1.1.3.3 临时工程：是指为完成合同约定的永久工程所修建的各类临时性工程，不包括施工设备。</w:t>
      </w:r>
    </w:p>
    <w:p w14:paraId="1BA533F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1.1.3.4 单位工程：是指在合同协议书中指明的，具备独立施工条件并能形成独立使用功能的永久工程。</w:t>
      </w:r>
    </w:p>
    <w:p w14:paraId="604685A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1.1.3.5 工程设备：是指构成永久工程的市政公用设备、金属结构设备、仪器及其他类似的设备和装置。</w:t>
      </w:r>
    </w:p>
    <w:p w14:paraId="3201C7C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1.1.3.6 施工设备：是指为完成合同约定的各项工作所需的设备、器具和其他物品，但不包括工程设备、临时工程和材料。</w:t>
      </w:r>
    </w:p>
    <w:p w14:paraId="5B88203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1.1.3.7 施工现场：是指用于工程施工的场所，以及在专用合同条款中指明作为施工场所组成部分的其他场所，包括永久占地和临时占地。</w:t>
      </w:r>
    </w:p>
    <w:p w14:paraId="746D28A7">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1.1.3.8临时设施：是指为完成合同约定的各项工作所服务的临时性生产和生活设施。</w:t>
      </w:r>
    </w:p>
    <w:p w14:paraId="14D2927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1.1.3.9 永久占地：是指专用合同条款中指明为实施工程需永久占用的土地。</w:t>
      </w:r>
    </w:p>
    <w:p w14:paraId="79A28E40">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1.1.3.10 临时占地：是指专用合同条款中指明为实施工程需要临时占用的土地。</w:t>
      </w:r>
    </w:p>
    <w:p w14:paraId="7BF7BF8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1.1.4 日期和期限</w:t>
      </w:r>
    </w:p>
    <w:p w14:paraId="2580C22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2CFECDD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1.1.4.2 竣工日期：包括计划竣工日期和实际竣工日期。计划竣工日期是指合同协议书约定的竣工日期；实际竣工日期按照第13.2.3项〔竣工日期〕的约定确定。 </w:t>
      </w:r>
    </w:p>
    <w:p w14:paraId="0F443282">
      <w:pPr>
        <w:spacing w:line="360" w:lineRule="exact"/>
        <w:ind w:firstLine="426" w:firstLineChars="203"/>
        <w:rPr>
          <w:rFonts w:hint="eastAsia" w:ascii="宋体" w:hAnsi="宋体" w:cs="宋体"/>
          <w:color w:val="auto"/>
          <w:szCs w:val="21"/>
        </w:rPr>
      </w:pPr>
      <w:r>
        <w:rPr>
          <w:rFonts w:hint="eastAsia" w:ascii="宋体" w:hAnsi="宋体" w:cs="宋体"/>
          <w:color w:val="auto"/>
          <w:kern w:val="0"/>
          <w:szCs w:val="21"/>
        </w:rPr>
        <w:t>1.1.4.3 工期：是指在合同协议书约定的承包人完成工程所需的期限，包括按照合同约定所作的期限变更。</w:t>
      </w:r>
    </w:p>
    <w:p w14:paraId="755A421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1.1.4.4 缺陷责任期：是指承包人按照合同约定承担缺陷修复义务，且发包人预留质量保证金（已缴纳履约保证金的除外）的期限，自工程实际竣工日期起计算。</w:t>
      </w:r>
    </w:p>
    <w:p w14:paraId="3EC939A8">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1.1.4.5 保修期：是指承包人按照合同约定对工程承担保修责任的期限，从工程竣工验收合格之日起计算。</w:t>
      </w:r>
    </w:p>
    <w:p w14:paraId="3517226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1.1.4.6 基准日期：采购发包的工程以响应文件提交前28天的日期为基准日期，直接发包的工程以合同签订日前28天的日期为基准日期。</w:t>
      </w:r>
    </w:p>
    <w:p w14:paraId="3DEB9748">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1.1.4.7 天：除特别指明外，均指日历天。合同中按天计算时间的，开始当天不计入，从次日开始计算，期限最后一天的截止时间为当天24:00时。</w:t>
      </w:r>
    </w:p>
    <w:p w14:paraId="6CAECE1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1.1.5 合同价格和费用</w:t>
      </w:r>
    </w:p>
    <w:p w14:paraId="591F2947">
      <w:pPr>
        <w:spacing w:line="360" w:lineRule="exact"/>
        <w:ind w:firstLine="420" w:firstLineChars="200"/>
        <w:jc w:val="left"/>
        <w:rPr>
          <w:rFonts w:hint="eastAsia" w:ascii="宋体" w:hAnsi="宋体" w:cs="宋体"/>
          <w:color w:val="auto"/>
          <w:szCs w:val="21"/>
        </w:rPr>
      </w:pPr>
      <w:r>
        <w:rPr>
          <w:rFonts w:hint="eastAsia" w:ascii="宋体" w:hAnsi="宋体" w:cs="宋体"/>
          <w:color w:val="auto"/>
          <w:kern w:val="0"/>
          <w:szCs w:val="21"/>
        </w:rPr>
        <w:t>1.1.5.1 签约合同价：是指</w:t>
      </w:r>
      <w:r>
        <w:rPr>
          <w:rFonts w:hint="eastAsia" w:ascii="宋体" w:hAnsi="宋体" w:cs="宋体"/>
          <w:color w:val="auto"/>
          <w:szCs w:val="21"/>
        </w:rPr>
        <w:t>发包人和承包人在合同协议书中确定的总金额，包括安全文明施工费、暂估价及暂列金额等。</w:t>
      </w:r>
    </w:p>
    <w:p w14:paraId="436CA14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1.1.5.2 合同价格：是指发包人用于支付承包人按照合同约定完成承包范围内全部工作的金额，包括合同履行过程中按合同约定发生的价格变化。</w:t>
      </w:r>
    </w:p>
    <w:p w14:paraId="13C11E58">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1.1.5.3 费用：是指为履行合同所发生的或将要发生的所有必需的开支，包括管理费和应分摊的其他费用，但不包括利润。</w:t>
      </w:r>
    </w:p>
    <w:p w14:paraId="19DB693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1.1.5.4 暂估价：是指发包人在工程量清单或预算书中提供的用于支付必然发生但暂时不能确定价格的材料、工程设备的单价、专业工程以及服务工作的金额。</w:t>
      </w:r>
    </w:p>
    <w:p w14:paraId="5751BF61">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1C8B1A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1.1.5.6 计日工：是指合同履行过程中，承包人完成发包人提出的零星工作或需要采用计日工计价的变更工作时，按合同中约定的单价计价的一种方式。</w:t>
      </w:r>
    </w:p>
    <w:p w14:paraId="37A51975">
      <w:pPr>
        <w:spacing w:line="360" w:lineRule="exact"/>
        <w:ind w:firstLine="420" w:firstLineChars="200"/>
        <w:jc w:val="left"/>
        <w:rPr>
          <w:rFonts w:hint="eastAsia" w:ascii="宋体" w:hAnsi="宋体" w:cs="宋体"/>
          <w:color w:val="auto"/>
          <w:szCs w:val="21"/>
        </w:rPr>
      </w:pPr>
      <w:r>
        <w:rPr>
          <w:rFonts w:hint="eastAsia" w:ascii="宋体" w:hAnsi="宋体" w:cs="宋体"/>
          <w:color w:val="auto"/>
          <w:kern w:val="0"/>
          <w:szCs w:val="21"/>
        </w:rPr>
        <w:t>1.1.5.7 质量保证金</w:t>
      </w:r>
      <w:bookmarkStart w:id="168" w:name="#go2"/>
      <w:bookmarkEnd w:id="168"/>
      <w:r>
        <w:rPr>
          <w:rFonts w:hint="eastAsia" w:ascii="宋体" w:hAnsi="宋体" w:cs="宋体"/>
          <w:color w:val="auto"/>
          <w:kern w:val="0"/>
          <w:szCs w:val="21"/>
        </w:rPr>
        <w:t>：是指按照第15.3款〔质量保证金〕约定承包人用于保证其在缺陷责任期内履行缺陷修补义务的担保</w:t>
      </w:r>
      <w:r>
        <w:rPr>
          <w:rFonts w:hint="eastAsia" w:ascii="宋体" w:hAnsi="宋体" w:cs="宋体"/>
          <w:color w:val="auto"/>
          <w:szCs w:val="21"/>
        </w:rPr>
        <w:t>。</w:t>
      </w:r>
    </w:p>
    <w:p w14:paraId="45ACA33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1.1.5.8 总价项目：是指在现行国家、行业以及地方的计量规则中无工程量计算规则，在已标价工程量清单或预算书中以总价或以费率形式计算的项目。</w:t>
      </w:r>
    </w:p>
    <w:p w14:paraId="001FF767">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1.1.6 其他</w:t>
      </w:r>
    </w:p>
    <w:p w14:paraId="49114BE0">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1.1.6.1 书面形式：是指合同文件、信函、电报、传真等可以有形地表现所载内容的形式。</w:t>
      </w:r>
    </w:p>
    <w:p w14:paraId="7C21D1FD">
      <w:pPr>
        <w:pStyle w:val="9"/>
        <w:spacing w:before="120" w:after="120" w:line="360" w:lineRule="exact"/>
        <w:rPr>
          <w:rFonts w:hint="eastAsia" w:ascii="宋体" w:hAnsi="宋体" w:cs="宋体"/>
          <w:b w:val="0"/>
          <w:color w:val="auto"/>
          <w:sz w:val="21"/>
          <w:szCs w:val="21"/>
        </w:rPr>
      </w:pPr>
      <w:r>
        <w:rPr>
          <w:rFonts w:hint="eastAsia" w:ascii="宋体" w:hAnsi="宋体" w:cs="宋体"/>
          <w:b w:val="0"/>
          <w:color w:val="auto"/>
          <w:sz w:val="21"/>
          <w:szCs w:val="21"/>
        </w:rPr>
        <w:t xml:space="preserve">    </w:t>
      </w:r>
      <w:bookmarkStart w:id="169" w:name="_Toc296346530"/>
      <w:bookmarkStart w:id="170" w:name="_Toc296503029"/>
      <w:bookmarkStart w:id="171" w:name="_Toc337558729"/>
      <w:bookmarkStart w:id="172" w:name="_Toc351203497"/>
      <w:r>
        <w:rPr>
          <w:rFonts w:hint="eastAsia" w:ascii="宋体" w:hAnsi="宋体" w:cs="宋体"/>
          <w:color w:val="auto"/>
          <w:sz w:val="21"/>
          <w:szCs w:val="21"/>
        </w:rPr>
        <w:t>1.2语言文字</w:t>
      </w:r>
      <w:bookmarkEnd w:id="169"/>
      <w:bookmarkEnd w:id="170"/>
      <w:bookmarkEnd w:id="171"/>
      <w:bookmarkEnd w:id="172"/>
    </w:p>
    <w:p w14:paraId="6AEE6DC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合同以中国的汉语简体文字编写、解释和说明。合同当事人在专用合同条款中约定使用两种以上语言时，汉语为优先解释和说明合同的语言。</w:t>
      </w:r>
    </w:p>
    <w:p w14:paraId="3AB4C22C">
      <w:pPr>
        <w:pStyle w:val="9"/>
        <w:spacing w:before="120" w:after="120" w:line="360" w:lineRule="exact"/>
        <w:ind w:firstLine="422" w:firstLineChars="200"/>
        <w:rPr>
          <w:rFonts w:hint="eastAsia" w:ascii="宋体" w:hAnsi="宋体" w:cs="宋体"/>
          <w:color w:val="auto"/>
          <w:sz w:val="21"/>
          <w:szCs w:val="21"/>
        </w:rPr>
      </w:pPr>
      <w:bookmarkStart w:id="173" w:name="_Toc351203498"/>
      <w:bookmarkStart w:id="174" w:name="_Toc337558730"/>
      <w:bookmarkStart w:id="175" w:name="_Toc296346531"/>
      <w:bookmarkStart w:id="176" w:name="_Toc296503030"/>
      <w:r>
        <w:rPr>
          <w:rFonts w:hint="eastAsia" w:ascii="宋体" w:hAnsi="宋体" w:cs="宋体"/>
          <w:color w:val="auto"/>
          <w:sz w:val="21"/>
          <w:szCs w:val="21"/>
        </w:rPr>
        <w:t>1.3法律</w:t>
      </w:r>
      <w:bookmarkEnd w:id="173"/>
      <w:bookmarkEnd w:id="174"/>
      <w:bookmarkEnd w:id="175"/>
      <w:bookmarkEnd w:id="176"/>
    </w:p>
    <w:p w14:paraId="26B8635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合同所称法律是指中华人民共和国法律、行政法规、部门规章，以及工程所在地的地方性法规、自治条例、单行条例和地方政府规章等。</w:t>
      </w:r>
    </w:p>
    <w:p w14:paraId="1C41FA0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合同当事人可以在专用合同条款中约定合同适用的其他规范性文件。</w:t>
      </w:r>
    </w:p>
    <w:p w14:paraId="106E3093">
      <w:pPr>
        <w:pStyle w:val="9"/>
        <w:spacing w:before="120" w:after="120" w:line="360" w:lineRule="exact"/>
        <w:ind w:firstLine="422" w:firstLineChars="200"/>
        <w:rPr>
          <w:rFonts w:hint="eastAsia" w:ascii="宋体" w:hAnsi="宋体" w:cs="宋体"/>
          <w:color w:val="auto"/>
          <w:sz w:val="21"/>
          <w:szCs w:val="21"/>
        </w:rPr>
      </w:pPr>
      <w:bookmarkStart w:id="177" w:name="_Toc351203499"/>
      <w:r>
        <w:rPr>
          <w:rFonts w:hint="eastAsia" w:ascii="宋体" w:hAnsi="宋体" w:cs="宋体"/>
          <w:color w:val="auto"/>
          <w:sz w:val="21"/>
          <w:szCs w:val="21"/>
        </w:rPr>
        <w:t>1.4 标准和规范</w:t>
      </w:r>
      <w:bookmarkEnd w:id="177"/>
    </w:p>
    <w:p w14:paraId="74F12483">
      <w:pPr>
        <w:autoSpaceDE w:val="0"/>
        <w:autoSpaceDN w:val="0"/>
        <w:adjustRightInd w:val="0"/>
        <w:spacing w:line="360" w:lineRule="exact"/>
        <w:ind w:firstLine="640"/>
        <w:jc w:val="left"/>
        <w:rPr>
          <w:rFonts w:hint="eastAsia" w:ascii="宋体" w:hAnsi="宋体" w:cs="宋体"/>
          <w:color w:val="auto"/>
          <w:kern w:val="0"/>
          <w:szCs w:val="21"/>
        </w:rPr>
      </w:pPr>
      <w:r>
        <w:rPr>
          <w:rFonts w:hint="eastAsia" w:ascii="宋体" w:hAnsi="宋体" w:cs="宋体"/>
          <w:color w:val="auto"/>
          <w:kern w:val="0"/>
          <w:szCs w:val="21"/>
        </w:rPr>
        <w:t>1.4.1 适用于工程的国家标准、行业标准、工程所在地的地方性标准，以及相应的规范、规程等，合同当事人有特别要求的，应在专用合同条款中约定。</w:t>
      </w:r>
    </w:p>
    <w:p w14:paraId="7BE0697A">
      <w:pPr>
        <w:autoSpaceDE w:val="0"/>
        <w:autoSpaceDN w:val="0"/>
        <w:adjustRightInd w:val="0"/>
        <w:spacing w:line="360" w:lineRule="exact"/>
        <w:ind w:firstLine="640"/>
        <w:jc w:val="left"/>
        <w:rPr>
          <w:rFonts w:hint="eastAsia" w:ascii="宋体" w:hAnsi="宋体" w:cs="宋体"/>
          <w:color w:val="auto"/>
          <w:kern w:val="0"/>
          <w:szCs w:val="21"/>
        </w:rPr>
      </w:pPr>
      <w:r>
        <w:rPr>
          <w:rFonts w:hint="eastAsia" w:ascii="宋体" w:hAnsi="宋体" w:cs="宋体"/>
          <w:color w:val="auto"/>
          <w:kern w:val="0"/>
          <w:szCs w:val="21"/>
        </w:rPr>
        <w:t>1.4.2 发包人要求使用国外标准、规范的，发包人负责提供原文版本和中文译本，并在专用合同条款中约定提供标准规范的名称、份数和时间。</w:t>
      </w:r>
    </w:p>
    <w:p w14:paraId="431D4925">
      <w:pPr>
        <w:autoSpaceDE w:val="0"/>
        <w:autoSpaceDN w:val="0"/>
        <w:adjustRightInd w:val="0"/>
        <w:spacing w:line="360" w:lineRule="exact"/>
        <w:ind w:firstLine="640"/>
        <w:jc w:val="left"/>
        <w:rPr>
          <w:rFonts w:hint="eastAsia" w:ascii="宋体" w:hAnsi="宋体" w:cs="宋体"/>
          <w:color w:val="auto"/>
          <w:kern w:val="0"/>
          <w:szCs w:val="21"/>
        </w:rPr>
      </w:pPr>
      <w:r>
        <w:rPr>
          <w:rFonts w:hint="eastAsia" w:ascii="宋体" w:hAnsi="宋体" w:cs="宋体"/>
          <w:color w:val="auto"/>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58A7093">
      <w:pPr>
        <w:pStyle w:val="9"/>
        <w:spacing w:before="120" w:after="120" w:line="360" w:lineRule="exact"/>
        <w:ind w:firstLine="422" w:firstLineChars="200"/>
        <w:rPr>
          <w:rFonts w:hint="eastAsia" w:ascii="宋体" w:hAnsi="宋体" w:cs="宋体"/>
          <w:color w:val="auto"/>
          <w:sz w:val="21"/>
          <w:szCs w:val="21"/>
        </w:rPr>
      </w:pPr>
      <w:bookmarkStart w:id="178" w:name="_Toc351203500"/>
      <w:r>
        <w:rPr>
          <w:rFonts w:hint="eastAsia" w:ascii="宋体" w:hAnsi="宋体" w:cs="宋体"/>
          <w:color w:val="auto"/>
          <w:sz w:val="21"/>
          <w:szCs w:val="21"/>
        </w:rPr>
        <w:t>1</w:t>
      </w:r>
      <w:bookmarkStart w:id="179" w:name="_Toc296346532"/>
      <w:bookmarkStart w:id="180" w:name="_Toc296503031"/>
      <w:bookmarkStart w:id="181" w:name="_Toc337558731"/>
      <w:r>
        <w:rPr>
          <w:rFonts w:hint="eastAsia" w:ascii="宋体" w:hAnsi="宋体" w:cs="宋体"/>
          <w:color w:val="auto"/>
          <w:sz w:val="21"/>
          <w:szCs w:val="21"/>
        </w:rPr>
        <w:t>.5 合同文件的优先顺序</w:t>
      </w:r>
      <w:bookmarkEnd w:id="178"/>
    </w:p>
    <w:bookmarkEnd w:id="179"/>
    <w:bookmarkEnd w:id="180"/>
    <w:bookmarkEnd w:id="181"/>
    <w:p w14:paraId="3258661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组成合同的各项文件应互相解释，互为说明。除专用合同条款另有约定外，解释合同文件的优先顺序如下：</w:t>
      </w:r>
    </w:p>
    <w:p w14:paraId="2CEEED1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（1）合同协议书；</w:t>
      </w:r>
    </w:p>
    <w:p w14:paraId="44BE803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（2）成交通知书（如果有）；</w:t>
      </w:r>
    </w:p>
    <w:p w14:paraId="223C89F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（3）竞标函及其附录（如果有）；</w:t>
      </w:r>
    </w:p>
    <w:p w14:paraId="39A2185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（4）专用合同条款</w:t>
      </w:r>
      <w:r>
        <w:rPr>
          <w:rFonts w:hint="eastAsia" w:ascii="宋体" w:hAnsi="宋体" w:cs="宋体"/>
          <w:color w:val="auto"/>
          <w:szCs w:val="21"/>
        </w:rPr>
        <w:t>及其附件</w:t>
      </w:r>
      <w:r>
        <w:rPr>
          <w:rFonts w:hint="eastAsia" w:ascii="宋体" w:hAnsi="宋体" w:cs="宋体"/>
          <w:color w:val="auto"/>
          <w:kern w:val="0"/>
          <w:szCs w:val="21"/>
        </w:rPr>
        <w:t>；</w:t>
      </w:r>
    </w:p>
    <w:p w14:paraId="729D9A5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（5）通用合同条款；</w:t>
      </w:r>
    </w:p>
    <w:p w14:paraId="7AA40A7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（6）技术标准和要求；</w:t>
      </w:r>
    </w:p>
    <w:p w14:paraId="2973E53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（7）图纸；</w:t>
      </w:r>
    </w:p>
    <w:p w14:paraId="764B255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（8）已标价工程量清单或预算书；</w:t>
      </w:r>
    </w:p>
    <w:p w14:paraId="0BCFBACB">
      <w:pPr>
        <w:autoSpaceDE w:val="0"/>
        <w:autoSpaceDN w:val="0"/>
        <w:adjustRightInd w:val="0"/>
        <w:spacing w:line="360" w:lineRule="exact"/>
        <w:ind w:firstLine="420" w:firstLineChars="200"/>
        <w:jc w:val="left"/>
        <w:rPr>
          <w:rFonts w:hint="eastAsia" w:ascii="宋体" w:hAnsi="宋体" w:cs="宋体"/>
          <w:color w:val="auto"/>
          <w:szCs w:val="21"/>
        </w:rPr>
      </w:pPr>
      <w:r>
        <w:rPr>
          <w:rFonts w:hint="eastAsia" w:ascii="宋体" w:hAnsi="宋体" w:cs="宋体"/>
          <w:color w:val="auto"/>
          <w:kern w:val="0"/>
          <w:szCs w:val="21"/>
        </w:rPr>
        <w:t>（9）其他合同文件。</w:t>
      </w:r>
    </w:p>
    <w:p w14:paraId="0E4035AB">
      <w:pPr>
        <w:spacing w:line="360" w:lineRule="exact"/>
        <w:ind w:firstLine="447" w:firstLineChars="213"/>
        <w:rPr>
          <w:rFonts w:hint="eastAsia" w:ascii="宋体" w:hAnsi="宋体" w:cs="宋体"/>
          <w:color w:val="auto"/>
          <w:szCs w:val="21"/>
        </w:rPr>
      </w:pPr>
      <w:r>
        <w:rPr>
          <w:rFonts w:hint="eastAsia" w:ascii="宋体" w:hAnsi="宋体" w:cs="宋体"/>
          <w:color w:val="auto"/>
          <w:szCs w:val="21"/>
        </w:rPr>
        <w:t>上述各项合同文件包括合同当事人就该项合同文件所作出的补充和修改，属于同一类内容的文件，应以最新签署的为准。</w:t>
      </w:r>
    </w:p>
    <w:p w14:paraId="6624EEAB">
      <w:pPr>
        <w:spacing w:line="360" w:lineRule="exact"/>
        <w:ind w:firstLine="447" w:firstLineChars="213"/>
        <w:rPr>
          <w:rFonts w:hint="eastAsia" w:ascii="宋体" w:hAnsi="宋体" w:cs="宋体"/>
          <w:color w:val="auto"/>
          <w:szCs w:val="21"/>
        </w:rPr>
      </w:pPr>
      <w:r>
        <w:rPr>
          <w:rFonts w:hint="eastAsia" w:ascii="宋体" w:hAnsi="宋体" w:cs="宋体"/>
          <w:color w:val="auto"/>
          <w:szCs w:val="21"/>
        </w:rPr>
        <w:t>在合同订立及履行过程中形成的与合同有关的文件均构成合同文件组成部分，并根据其性质确定优先解释顺序。</w:t>
      </w:r>
    </w:p>
    <w:p w14:paraId="775D1A09">
      <w:pPr>
        <w:pStyle w:val="9"/>
        <w:spacing w:before="120" w:after="120" w:line="360" w:lineRule="exact"/>
        <w:ind w:firstLine="422" w:firstLineChars="200"/>
        <w:rPr>
          <w:rFonts w:hint="eastAsia" w:ascii="宋体" w:hAnsi="宋体" w:cs="宋体"/>
          <w:color w:val="auto"/>
          <w:sz w:val="21"/>
          <w:szCs w:val="21"/>
        </w:rPr>
      </w:pPr>
      <w:bookmarkStart w:id="182" w:name="_Toc351203501"/>
      <w:r>
        <w:rPr>
          <w:rFonts w:hint="eastAsia" w:ascii="宋体" w:hAnsi="宋体" w:cs="宋体"/>
          <w:color w:val="auto"/>
          <w:sz w:val="21"/>
          <w:szCs w:val="21"/>
        </w:rPr>
        <w:t>1</w:t>
      </w:r>
      <w:bookmarkStart w:id="183" w:name="_Toc296503032"/>
      <w:bookmarkStart w:id="184" w:name="_Toc296346533"/>
      <w:bookmarkStart w:id="185" w:name="_Toc337558732"/>
      <w:r>
        <w:rPr>
          <w:rFonts w:hint="eastAsia" w:ascii="宋体" w:hAnsi="宋体" w:cs="宋体"/>
          <w:color w:val="auto"/>
          <w:sz w:val="21"/>
          <w:szCs w:val="21"/>
        </w:rPr>
        <w:t>.6图纸和承包人文件</w:t>
      </w:r>
      <w:bookmarkEnd w:id="182"/>
    </w:p>
    <w:bookmarkEnd w:id="183"/>
    <w:bookmarkEnd w:id="184"/>
    <w:bookmarkEnd w:id="185"/>
    <w:p w14:paraId="1931DA8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1.6.1 图纸的提供和交底</w:t>
      </w:r>
    </w:p>
    <w:p w14:paraId="18A0638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C69F4C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因发包人未按合同约定提供图纸导致承包人费用增加和（或）工期延误的，按照第7.5.1项〔因发包人原因导致工期延误〕约定办理。</w:t>
      </w:r>
    </w:p>
    <w:p w14:paraId="0CC5FB3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1.6.2 图纸的错误</w:t>
      </w:r>
    </w:p>
    <w:p w14:paraId="67CC92B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7829CB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1.6.3 图纸的修改和补充</w:t>
      </w:r>
    </w:p>
    <w:p w14:paraId="3ABE424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682E67E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1.6.4 承包人文件</w:t>
      </w:r>
    </w:p>
    <w:p w14:paraId="5A3E90E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承包人应按照专用合同条款的约定提供应当由其编制的与工程施工有关的文件，并按照专用合同条款约定的期限、数量和形式提交监理人，并由监理人报送发包人。</w:t>
      </w:r>
    </w:p>
    <w:p w14:paraId="2570A25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8BCB99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1.6.5 图纸和承包人文件的保管</w:t>
      </w:r>
    </w:p>
    <w:p w14:paraId="6F7F62F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除专用合同条款另有约定外，承包人应在施工现场另外保存一套完整的图纸和承包人文件，供发包人、监理人及有关人员进行工程检查时使用。</w:t>
      </w:r>
    </w:p>
    <w:p w14:paraId="35FAA449">
      <w:pPr>
        <w:pStyle w:val="9"/>
        <w:spacing w:before="120" w:after="120" w:line="360" w:lineRule="exact"/>
        <w:ind w:firstLine="422" w:firstLineChars="200"/>
        <w:rPr>
          <w:rFonts w:hint="eastAsia" w:ascii="宋体" w:hAnsi="宋体" w:cs="宋体"/>
          <w:color w:val="auto"/>
          <w:sz w:val="21"/>
          <w:szCs w:val="21"/>
        </w:rPr>
      </w:pPr>
      <w:bookmarkStart w:id="186" w:name="_Toc351203502"/>
      <w:r>
        <w:rPr>
          <w:rFonts w:hint="eastAsia" w:ascii="宋体" w:hAnsi="宋体" w:cs="宋体"/>
          <w:color w:val="auto"/>
          <w:sz w:val="21"/>
          <w:szCs w:val="21"/>
        </w:rPr>
        <w:t>1</w:t>
      </w:r>
      <w:bookmarkStart w:id="187" w:name="_Toc337558733"/>
      <w:bookmarkStart w:id="188" w:name="_Toc296346534"/>
      <w:bookmarkStart w:id="189" w:name="_Toc296503033"/>
      <w:r>
        <w:rPr>
          <w:rFonts w:hint="eastAsia" w:ascii="宋体" w:hAnsi="宋体" w:cs="宋体"/>
          <w:color w:val="auto"/>
          <w:sz w:val="21"/>
          <w:szCs w:val="21"/>
        </w:rPr>
        <w:t>.7联络</w:t>
      </w:r>
      <w:bookmarkEnd w:id="186"/>
    </w:p>
    <w:bookmarkEnd w:id="187"/>
    <w:bookmarkEnd w:id="188"/>
    <w:bookmarkEnd w:id="189"/>
    <w:p w14:paraId="3E5C7CD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1.7.1 与合同有关的通知、批准、证明、证书、指示、指令、要求、请求、同意、意见、确定和决定等，均应采用书面形式，并应在合同约定的期限内送达接收人和送达地点。</w:t>
      </w:r>
    </w:p>
    <w:p w14:paraId="5AD1AF8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1.7.2 发包人和承包人应在专用合同条款中约定各自的送达接收人和送达地点。任何一方合同当事人指定的接收人或送达地点发生变动的，应提前3天以书面形式通知对方。</w:t>
      </w:r>
    </w:p>
    <w:p w14:paraId="6DC670B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1.7.3 发包人和承包人应当及时签收另一方送达至送达地点和指定接收人的来往信函。拒不签收的，由此增加的费用和（或）延误的工期由拒绝接收一方承担。</w:t>
      </w:r>
    </w:p>
    <w:p w14:paraId="37EA01A0">
      <w:pPr>
        <w:pStyle w:val="9"/>
        <w:spacing w:before="120" w:after="120" w:line="360" w:lineRule="exact"/>
        <w:ind w:firstLine="422" w:firstLineChars="200"/>
        <w:rPr>
          <w:rFonts w:hint="eastAsia" w:ascii="宋体" w:hAnsi="宋体" w:cs="宋体"/>
          <w:color w:val="auto"/>
          <w:sz w:val="21"/>
          <w:szCs w:val="21"/>
        </w:rPr>
      </w:pPr>
      <w:bookmarkStart w:id="190" w:name="_Toc351203503"/>
      <w:r>
        <w:rPr>
          <w:rFonts w:hint="eastAsia" w:ascii="宋体" w:hAnsi="宋体" w:cs="宋体"/>
          <w:color w:val="auto"/>
          <w:sz w:val="21"/>
          <w:szCs w:val="21"/>
        </w:rPr>
        <w:t>1</w:t>
      </w:r>
      <w:bookmarkStart w:id="191" w:name="_Toc296503035"/>
      <w:bookmarkStart w:id="192" w:name="_Toc296346536"/>
      <w:bookmarkStart w:id="193" w:name="_Toc337558734"/>
      <w:r>
        <w:rPr>
          <w:rFonts w:hint="eastAsia" w:ascii="宋体" w:hAnsi="宋体" w:cs="宋体"/>
          <w:color w:val="auto"/>
          <w:sz w:val="21"/>
          <w:szCs w:val="21"/>
        </w:rPr>
        <w:t>.8严禁贿赂</w:t>
      </w:r>
      <w:bookmarkEnd w:id="190"/>
    </w:p>
    <w:bookmarkEnd w:id="191"/>
    <w:bookmarkEnd w:id="192"/>
    <w:bookmarkEnd w:id="193"/>
    <w:p w14:paraId="0B80A12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合同当事人不得以贿赂或变相贿赂的方式，谋取非法利益或损害对方权益。因一方合同当事人的贿赂造成对方损失的，应赔偿损失，并承担相应的法律责任。</w:t>
      </w:r>
    </w:p>
    <w:p w14:paraId="64D4603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7717F914">
      <w:pPr>
        <w:pStyle w:val="9"/>
        <w:spacing w:before="120" w:after="120" w:line="360" w:lineRule="exact"/>
        <w:ind w:firstLine="422" w:firstLineChars="200"/>
        <w:rPr>
          <w:rFonts w:hint="eastAsia" w:ascii="宋体" w:hAnsi="宋体" w:cs="宋体"/>
          <w:color w:val="auto"/>
          <w:sz w:val="21"/>
          <w:szCs w:val="21"/>
        </w:rPr>
      </w:pPr>
      <w:bookmarkStart w:id="194" w:name="_Toc351203504"/>
      <w:r>
        <w:rPr>
          <w:rFonts w:hint="eastAsia" w:ascii="宋体" w:hAnsi="宋体" w:cs="宋体"/>
          <w:color w:val="auto"/>
          <w:sz w:val="21"/>
          <w:szCs w:val="21"/>
        </w:rPr>
        <w:t>1</w:t>
      </w:r>
      <w:bookmarkStart w:id="195" w:name="_Toc296503036"/>
      <w:bookmarkStart w:id="196" w:name="_Toc337558735"/>
      <w:bookmarkStart w:id="197" w:name="_Toc296346537"/>
      <w:r>
        <w:rPr>
          <w:rFonts w:hint="eastAsia" w:ascii="宋体" w:hAnsi="宋体" w:cs="宋体"/>
          <w:color w:val="auto"/>
          <w:sz w:val="21"/>
          <w:szCs w:val="21"/>
        </w:rPr>
        <w:t>.9化石、文物</w:t>
      </w:r>
      <w:bookmarkEnd w:id="194"/>
    </w:p>
    <w:bookmarkEnd w:id="195"/>
    <w:bookmarkEnd w:id="196"/>
    <w:bookmarkEnd w:id="197"/>
    <w:p w14:paraId="74C9F6F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50AF4F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发包人、监理人和承包人应按有关政府行政管理部门要求采取妥善的保护措施，由此增加的费用和（或）延误的工期由发包人承担。</w:t>
      </w:r>
    </w:p>
    <w:p w14:paraId="243730D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承包人发现文物后不及时报告或隐瞒不报，致使文物丢失或损坏的，应赔偿损失，并承担相应的法律责任。</w:t>
      </w:r>
    </w:p>
    <w:p w14:paraId="3C530B37">
      <w:pPr>
        <w:pStyle w:val="9"/>
        <w:spacing w:before="120" w:after="120" w:line="360" w:lineRule="exact"/>
        <w:ind w:firstLine="422" w:firstLineChars="200"/>
        <w:rPr>
          <w:rFonts w:hint="eastAsia" w:ascii="宋体" w:hAnsi="宋体" w:cs="宋体"/>
          <w:color w:val="auto"/>
          <w:sz w:val="21"/>
          <w:szCs w:val="21"/>
        </w:rPr>
      </w:pPr>
      <w:bookmarkStart w:id="198" w:name="_Toc351203505"/>
      <w:r>
        <w:rPr>
          <w:rFonts w:hint="eastAsia" w:ascii="宋体" w:hAnsi="宋体" w:cs="宋体"/>
          <w:color w:val="auto"/>
          <w:sz w:val="21"/>
          <w:szCs w:val="21"/>
        </w:rPr>
        <w:t>1</w:t>
      </w:r>
      <w:bookmarkStart w:id="199" w:name="_Toc337558736"/>
      <w:r>
        <w:rPr>
          <w:rFonts w:hint="eastAsia" w:ascii="宋体" w:hAnsi="宋体" w:cs="宋体"/>
          <w:color w:val="auto"/>
          <w:sz w:val="21"/>
          <w:szCs w:val="21"/>
        </w:rPr>
        <w:t>.10交通运输</w:t>
      </w:r>
      <w:bookmarkEnd w:id="198"/>
    </w:p>
    <w:bookmarkEnd w:id="199"/>
    <w:p w14:paraId="382BEC21">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1.10.1 出入现场的权利</w:t>
      </w:r>
    </w:p>
    <w:p w14:paraId="438D006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B44E62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191E098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1.10.2 场外交通</w:t>
      </w:r>
    </w:p>
    <w:p w14:paraId="49023B1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90FCCB1">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1.10.3场内交通</w:t>
      </w:r>
    </w:p>
    <w:p w14:paraId="0549780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C302E51">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629D1B8">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场外交通和场内交通的边界由合同当事人在专用合同条款中约定。</w:t>
      </w:r>
    </w:p>
    <w:p w14:paraId="40D9BF4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1.10.4 超大件和超重件的运输</w:t>
      </w:r>
    </w:p>
    <w:p w14:paraId="61CAE17F">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7849DC7">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1.10.5 道路和桥梁的损坏责任</w:t>
      </w:r>
    </w:p>
    <w:p w14:paraId="3C72E927">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因承包人运输造成施工场地内外公共道路和桥梁损坏的，由承包人承担修复损坏的全部费用和可能引起的赔偿。</w:t>
      </w:r>
    </w:p>
    <w:p w14:paraId="2686786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1.10.6 水路和航空运输</w:t>
      </w:r>
    </w:p>
    <w:p w14:paraId="54C2956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本款前述各项的内容适用于水路运输和航空运输，其中“道路”一词的含义包括河道、航线、船闸、机场、码头、堤防以及水路或航空运输中其他相似结构物；“车辆”一词的含义包括船舶和飞机等。</w:t>
      </w:r>
    </w:p>
    <w:p w14:paraId="182A339A">
      <w:pPr>
        <w:pStyle w:val="9"/>
        <w:spacing w:before="120" w:after="120" w:line="360" w:lineRule="exact"/>
        <w:ind w:firstLine="422" w:firstLineChars="200"/>
        <w:rPr>
          <w:rFonts w:hint="eastAsia" w:ascii="宋体" w:hAnsi="宋体" w:cs="宋体"/>
          <w:color w:val="auto"/>
          <w:sz w:val="21"/>
          <w:szCs w:val="21"/>
        </w:rPr>
      </w:pPr>
      <w:bookmarkStart w:id="200" w:name="_Toc351203506"/>
      <w:r>
        <w:rPr>
          <w:rFonts w:hint="eastAsia" w:ascii="宋体" w:hAnsi="宋体" w:cs="宋体"/>
          <w:color w:val="auto"/>
          <w:sz w:val="21"/>
          <w:szCs w:val="21"/>
        </w:rPr>
        <w:t>1</w:t>
      </w:r>
      <w:bookmarkStart w:id="201" w:name="_Toc337558737"/>
      <w:bookmarkStart w:id="202" w:name="_Toc296346538"/>
      <w:bookmarkStart w:id="203" w:name="_Toc296503037"/>
      <w:r>
        <w:rPr>
          <w:rFonts w:hint="eastAsia" w:ascii="宋体" w:hAnsi="宋体" w:cs="宋体"/>
          <w:color w:val="auto"/>
          <w:sz w:val="21"/>
          <w:szCs w:val="21"/>
        </w:rPr>
        <w:t>.11知识产权</w:t>
      </w:r>
      <w:bookmarkEnd w:id="200"/>
      <w:r>
        <w:rPr>
          <w:rFonts w:hint="eastAsia" w:ascii="宋体" w:hAnsi="宋体" w:cs="宋体"/>
          <w:color w:val="auto"/>
          <w:sz w:val="21"/>
          <w:szCs w:val="21"/>
        </w:rPr>
        <w:t xml:space="preserve"> </w:t>
      </w:r>
      <w:bookmarkEnd w:id="201"/>
    </w:p>
    <w:bookmarkEnd w:id="202"/>
    <w:bookmarkEnd w:id="203"/>
    <w:p w14:paraId="2960E16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C0BC6C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B4CC36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D0278FB">
      <w:pPr>
        <w:spacing w:line="360" w:lineRule="exact"/>
        <w:rPr>
          <w:rFonts w:hint="eastAsia" w:ascii="宋体" w:hAnsi="宋体" w:cs="宋体"/>
          <w:color w:val="auto"/>
          <w:szCs w:val="21"/>
        </w:rPr>
      </w:pPr>
      <w:r>
        <w:rPr>
          <w:rFonts w:hint="eastAsia" w:ascii="宋体" w:hAnsi="宋体" w:cs="宋体"/>
          <w:color w:val="auto"/>
          <w:kern w:val="0"/>
          <w:szCs w:val="21"/>
        </w:rPr>
        <w:t xml:space="preserve">    </w:t>
      </w:r>
      <w:r>
        <w:rPr>
          <w:rFonts w:hint="eastAsia" w:ascii="宋体" w:hAnsi="宋体" w:cs="宋体"/>
          <w:color w:val="auto"/>
          <w:szCs w:val="21"/>
        </w:rPr>
        <w:t>1.11.4 除专用合同条款另有约定外，承包人在合同签订前和签订时已确定采用的专利、专有技术、技术秘密的使用费已包含在签约合同价中。</w:t>
      </w:r>
    </w:p>
    <w:p w14:paraId="0E08ABAA">
      <w:pPr>
        <w:pStyle w:val="9"/>
        <w:spacing w:before="120" w:after="120" w:line="360" w:lineRule="exact"/>
        <w:ind w:firstLine="422" w:firstLineChars="200"/>
        <w:rPr>
          <w:rFonts w:hint="eastAsia" w:ascii="宋体" w:hAnsi="宋体" w:cs="宋体"/>
          <w:color w:val="auto"/>
          <w:sz w:val="21"/>
          <w:szCs w:val="21"/>
        </w:rPr>
      </w:pPr>
      <w:bookmarkStart w:id="204" w:name="_Toc351203507"/>
      <w:r>
        <w:rPr>
          <w:rFonts w:hint="eastAsia" w:ascii="宋体" w:hAnsi="宋体" w:cs="宋体"/>
          <w:color w:val="auto"/>
          <w:sz w:val="21"/>
          <w:szCs w:val="21"/>
        </w:rPr>
        <w:t>1</w:t>
      </w:r>
      <w:bookmarkStart w:id="205" w:name="_Toc337558738"/>
      <w:r>
        <w:rPr>
          <w:rFonts w:hint="eastAsia" w:ascii="宋体" w:hAnsi="宋体" w:cs="宋体"/>
          <w:color w:val="auto"/>
          <w:sz w:val="21"/>
          <w:szCs w:val="21"/>
        </w:rPr>
        <w:t>.12保密</w:t>
      </w:r>
      <w:bookmarkEnd w:id="204"/>
    </w:p>
    <w:bookmarkEnd w:id="205"/>
    <w:p w14:paraId="435EBF5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除法律规定或合同另有约定外，未经发包人同意，承包人不得将发包人提供的图纸、文件以及声明需要保密的资料信息等商业秘密泄露给第三方。</w:t>
      </w:r>
    </w:p>
    <w:p w14:paraId="5C68267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除法律规定或合同另有约定外，未经承包人同意，发包人不得将承包人提供的技术秘密及声明需要保密的资料信息等商业秘密泄露给第三方。</w:t>
      </w:r>
    </w:p>
    <w:p w14:paraId="4BE994B6">
      <w:pPr>
        <w:pStyle w:val="9"/>
        <w:spacing w:before="120" w:after="120" w:line="360" w:lineRule="exact"/>
        <w:ind w:firstLine="420" w:firstLineChars="200"/>
        <w:rPr>
          <w:rFonts w:hint="eastAsia" w:ascii="宋体" w:hAnsi="宋体" w:cs="宋体"/>
          <w:b w:val="0"/>
          <w:bCs w:val="0"/>
          <w:color w:val="auto"/>
          <w:sz w:val="21"/>
          <w:szCs w:val="21"/>
        </w:rPr>
      </w:pPr>
      <w:bookmarkStart w:id="206" w:name="_Toc351203508"/>
      <w:r>
        <w:rPr>
          <w:rFonts w:hint="eastAsia" w:ascii="宋体" w:hAnsi="宋体" w:cs="宋体"/>
          <w:b w:val="0"/>
          <w:bCs w:val="0"/>
          <w:color w:val="auto"/>
          <w:sz w:val="21"/>
          <w:szCs w:val="21"/>
        </w:rPr>
        <w:t>1.13工程量清单错误的修正</w:t>
      </w:r>
      <w:bookmarkEnd w:id="206"/>
    </w:p>
    <w:p w14:paraId="4AC9044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除专用合同条款另有约定外，发包人提供的工程量清单，应被认为是准确的和完整的。出现下列情形之一时，发包人应予以修正，并相应调整合同价格：</w:t>
      </w:r>
    </w:p>
    <w:p w14:paraId="2DE1890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（1）工程量清单存在缺项、漏项的；</w:t>
      </w:r>
    </w:p>
    <w:p w14:paraId="3E6EDAD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（2）工程量清单偏差超出专用合同条款约定的工程量偏差范围的；</w:t>
      </w:r>
    </w:p>
    <w:p w14:paraId="241E232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（3）未按照国家现行计量规范强制性规定计量的。</w:t>
      </w:r>
    </w:p>
    <w:p w14:paraId="54CC211C">
      <w:pPr>
        <w:pStyle w:val="8"/>
        <w:spacing w:before="120" w:after="120" w:line="360" w:lineRule="exact"/>
        <w:rPr>
          <w:rFonts w:hint="eastAsia" w:ascii="宋体" w:hAnsi="宋体" w:cs="宋体"/>
          <w:bCs w:val="0"/>
          <w:color w:val="auto"/>
          <w:sz w:val="21"/>
          <w:szCs w:val="21"/>
        </w:rPr>
      </w:pPr>
      <w:bookmarkStart w:id="207" w:name="_Toc351203509"/>
      <w:r>
        <w:rPr>
          <w:rFonts w:hint="eastAsia" w:ascii="宋体" w:hAnsi="宋体" w:cs="宋体"/>
          <w:bCs w:val="0"/>
          <w:color w:val="auto"/>
          <w:sz w:val="21"/>
          <w:szCs w:val="21"/>
        </w:rPr>
        <w:t>2</w:t>
      </w:r>
      <w:bookmarkStart w:id="208" w:name="_Toc337558739"/>
      <w:bookmarkStart w:id="209" w:name="_Toc296503038"/>
      <w:bookmarkStart w:id="210" w:name="_Toc296346539"/>
      <w:r>
        <w:rPr>
          <w:rFonts w:hint="eastAsia" w:ascii="宋体" w:hAnsi="宋体" w:cs="宋体"/>
          <w:bCs w:val="0"/>
          <w:color w:val="auto"/>
          <w:sz w:val="21"/>
          <w:szCs w:val="21"/>
        </w:rPr>
        <w:t>. 发包人</w:t>
      </w:r>
      <w:bookmarkEnd w:id="207"/>
    </w:p>
    <w:bookmarkEnd w:id="208"/>
    <w:bookmarkEnd w:id="209"/>
    <w:bookmarkEnd w:id="210"/>
    <w:p w14:paraId="0D07E3CE">
      <w:pPr>
        <w:pStyle w:val="9"/>
        <w:spacing w:before="120" w:after="120" w:line="360" w:lineRule="exact"/>
        <w:ind w:firstLine="422" w:firstLineChars="200"/>
        <w:rPr>
          <w:rFonts w:hint="eastAsia" w:ascii="宋体" w:hAnsi="宋体" w:cs="宋体"/>
          <w:b w:val="0"/>
          <w:bCs w:val="0"/>
          <w:color w:val="auto"/>
          <w:sz w:val="21"/>
          <w:szCs w:val="21"/>
        </w:rPr>
      </w:pPr>
      <w:bookmarkStart w:id="211" w:name="_Toc351203510"/>
      <w:r>
        <w:rPr>
          <w:rFonts w:hint="eastAsia" w:ascii="宋体" w:hAnsi="宋体" w:cs="宋体"/>
          <w:color w:val="auto"/>
          <w:sz w:val="21"/>
          <w:szCs w:val="21"/>
        </w:rPr>
        <w:t>2</w:t>
      </w:r>
      <w:bookmarkStart w:id="212" w:name="_Toc337558740"/>
      <w:bookmarkStart w:id="213" w:name="_Toc296503039"/>
      <w:bookmarkStart w:id="214" w:name="_Toc296346540"/>
      <w:r>
        <w:rPr>
          <w:rFonts w:hint="eastAsia" w:ascii="宋体" w:hAnsi="宋体" w:cs="宋体"/>
          <w:color w:val="auto"/>
          <w:sz w:val="21"/>
          <w:szCs w:val="21"/>
        </w:rPr>
        <w:t>.1 许可或批准</w:t>
      </w:r>
      <w:bookmarkEnd w:id="211"/>
    </w:p>
    <w:p w14:paraId="23257AC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D0FEAF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因发包人原因未能及时办理完毕前述许可、批准或备案，由发包人承担由此增加的费用和（或）延误的工期，并支付承包人合理的利润。</w:t>
      </w:r>
    </w:p>
    <w:p w14:paraId="160D1C79">
      <w:pPr>
        <w:pStyle w:val="9"/>
        <w:spacing w:before="120" w:after="120" w:line="360" w:lineRule="exact"/>
        <w:ind w:firstLine="422" w:firstLineChars="200"/>
        <w:rPr>
          <w:rFonts w:hint="eastAsia" w:ascii="宋体" w:hAnsi="宋体" w:cs="宋体"/>
          <w:color w:val="auto"/>
          <w:sz w:val="21"/>
          <w:szCs w:val="21"/>
        </w:rPr>
      </w:pPr>
      <w:bookmarkStart w:id="215" w:name="_Toc351203511"/>
      <w:r>
        <w:rPr>
          <w:rFonts w:hint="eastAsia" w:ascii="宋体" w:hAnsi="宋体" w:cs="宋体"/>
          <w:color w:val="auto"/>
          <w:sz w:val="21"/>
          <w:szCs w:val="21"/>
        </w:rPr>
        <w:t>2.2 发包人代表</w:t>
      </w:r>
      <w:bookmarkEnd w:id="215"/>
    </w:p>
    <w:p w14:paraId="1250521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1D47B87">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发包人代表不能按照合同约定履行其职责及义务，并导致合同无法继续正常履行的，承包人可以要求发包人撤换发包人代表。</w:t>
      </w:r>
    </w:p>
    <w:p w14:paraId="7E376ABA">
      <w:pPr>
        <w:spacing w:line="360" w:lineRule="exact"/>
        <w:ind w:firstLine="420" w:firstLineChars="200"/>
        <w:rPr>
          <w:rFonts w:hint="eastAsia" w:ascii="宋体" w:hAnsi="宋体" w:cs="宋体"/>
          <w:color w:val="auto"/>
          <w:szCs w:val="21"/>
        </w:rPr>
      </w:pPr>
      <w:r>
        <w:rPr>
          <w:rFonts w:hint="eastAsia" w:ascii="宋体" w:hAnsi="宋体" w:cs="宋体"/>
          <w:color w:val="auto"/>
          <w:kern w:val="0"/>
          <w:szCs w:val="21"/>
        </w:rPr>
        <w:t>不属于法定必须监理的工程，监理人的职权可以由发包人代表或发包人指定的其他人员行使。</w:t>
      </w:r>
    </w:p>
    <w:p w14:paraId="2FCEBA86">
      <w:pPr>
        <w:pStyle w:val="9"/>
        <w:spacing w:before="120" w:after="120" w:line="360" w:lineRule="exact"/>
        <w:ind w:firstLine="422" w:firstLineChars="200"/>
        <w:rPr>
          <w:rFonts w:hint="eastAsia" w:ascii="宋体" w:hAnsi="宋体" w:cs="宋体"/>
          <w:b w:val="0"/>
          <w:bCs w:val="0"/>
          <w:color w:val="auto"/>
          <w:sz w:val="21"/>
          <w:szCs w:val="21"/>
        </w:rPr>
      </w:pPr>
      <w:bookmarkStart w:id="216" w:name="_Toc351203512"/>
      <w:r>
        <w:rPr>
          <w:rFonts w:hint="eastAsia" w:ascii="宋体" w:hAnsi="宋体" w:cs="宋体"/>
          <w:color w:val="auto"/>
          <w:sz w:val="21"/>
          <w:szCs w:val="21"/>
        </w:rPr>
        <w:t>2.3 发包人人员</w:t>
      </w:r>
      <w:bookmarkEnd w:id="216"/>
    </w:p>
    <w:p w14:paraId="08F7273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发包人应要求在施工现场的发包人人员遵守法律及有关安全、质量、环境保护、文明施工等规定，并保障承包人免于承受因发包人人员未遵守上述要求给承包人造成的损失和责任。</w:t>
      </w:r>
    </w:p>
    <w:p w14:paraId="2E8F9406">
      <w:pPr>
        <w:spacing w:line="360" w:lineRule="exact"/>
        <w:ind w:firstLine="640"/>
        <w:jc w:val="left"/>
        <w:rPr>
          <w:rFonts w:hint="eastAsia" w:ascii="宋体" w:hAnsi="宋体" w:cs="宋体"/>
          <w:color w:val="auto"/>
          <w:kern w:val="0"/>
          <w:szCs w:val="21"/>
        </w:rPr>
      </w:pPr>
      <w:r>
        <w:rPr>
          <w:rFonts w:hint="eastAsia" w:ascii="宋体" w:hAnsi="宋体" w:cs="宋体"/>
          <w:color w:val="auto"/>
          <w:kern w:val="0"/>
          <w:szCs w:val="21"/>
        </w:rPr>
        <w:t>发包人人员包括发包人代表及其他由发包人派驻施工现场的人员。</w:t>
      </w:r>
      <w:bookmarkEnd w:id="212"/>
      <w:bookmarkEnd w:id="213"/>
      <w:bookmarkEnd w:id="214"/>
    </w:p>
    <w:p w14:paraId="3685C300">
      <w:pPr>
        <w:pStyle w:val="9"/>
        <w:spacing w:before="120" w:after="120" w:line="360" w:lineRule="exact"/>
        <w:ind w:firstLine="422" w:firstLineChars="200"/>
        <w:rPr>
          <w:rFonts w:hint="eastAsia" w:ascii="宋体" w:hAnsi="宋体" w:cs="宋体"/>
          <w:b w:val="0"/>
          <w:bCs w:val="0"/>
          <w:color w:val="auto"/>
          <w:sz w:val="21"/>
          <w:szCs w:val="21"/>
        </w:rPr>
      </w:pPr>
      <w:bookmarkStart w:id="217" w:name="_Toc351203513"/>
      <w:r>
        <w:rPr>
          <w:rFonts w:hint="eastAsia" w:ascii="宋体" w:hAnsi="宋体" w:cs="宋体"/>
          <w:color w:val="auto"/>
          <w:sz w:val="21"/>
          <w:szCs w:val="21"/>
        </w:rPr>
        <w:t>2</w:t>
      </w:r>
      <w:bookmarkStart w:id="218" w:name="_Toc296346541"/>
      <w:bookmarkStart w:id="219" w:name="_Toc296503040"/>
      <w:bookmarkStart w:id="220" w:name="_Toc337558741"/>
      <w:r>
        <w:rPr>
          <w:rFonts w:hint="eastAsia" w:ascii="宋体" w:hAnsi="宋体" w:cs="宋体"/>
          <w:color w:val="auto"/>
          <w:sz w:val="21"/>
          <w:szCs w:val="21"/>
        </w:rPr>
        <w:t>.4 施工现场、施工条件和基础资料的提供</w:t>
      </w:r>
      <w:bookmarkEnd w:id="217"/>
      <w:r>
        <w:rPr>
          <w:rFonts w:hint="eastAsia" w:ascii="宋体" w:hAnsi="宋体" w:cs="宋体"/>
          <w:color w:val="auto"/>
          <w:sz w:val="21"/>
          <w:szCs w:val="21"/>
        </w:rPr>
        <w:t xml:space="preserve"> </w:t>
      </w:r>
      <w:bookmarkEnd w:id="218"/>
      <w:bookmarkEnd w:id="219"/>
      <w:bookmarkEnd w:id="220"/>
      <w:r>
        <w:rPr>
          <w:rFonts w:hint="eastAsia" w:ascii="宋体" w:hAnsi="宋体" w:cs="宋体"/>
          <w:b w:val="0"/>
          <w:bCs w:val="0"/>
          <w:color w:val="auto"/>
          <w:sz w:val="21"/>
          <w:szCs w:val="21"/>
        </w:rPr>
        <w:t xml:space="preserve"> </w:t>
      </w:r>
    </w:p>
    <w:p w14:paraId="0404196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2.4.1 提供施工现场</w:t>
      </w:r>
    </w:p>
    <w:p w14:paraId="452A8E2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除专用合同条款另有约定外，发包人应最迟于开工日期7天前向承包人移交施工现场。</w:t>
      </w:r>
    </w:p>
    <w:p w14:paraId="2F39341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2.4.2 提供施工条件</w:t>
      </w:r>
    </w:p>
    <w:p w14:paraId="24E4F87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除专用合同条款另有约定外，发包人应负责提供施工所需要的条件，包括：</w:t>
      </w:r>
    </w:p>
    <w:p w14:paraId="59723EB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（1）将施工用水、市政公用、通讯线路等施工所必需的条件接至施工现场内；</w:t>
      </w:r>
    </w:p>
    <w:p w14:paraId="6806A81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（2）保证向承包人提供正常施工所需要的进入施工现场的交通条件；</w:t>
      </w:r>
    </w:p>
    <w:p w14:paraId="677DB30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（3）协调处理施工现场周围地下管线和邻近建筑物、构筑物、古树名木的保护工作，并承担相关费用；</w:t>
      </w:r>
    </w:p>
    <w:p w14:paraId="7125F81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（4）按照专用合同条款约定应提供的其他设施和条件。</w:t>
      </w:r>
    </w:p>
    <w:p w14:paraId="792007C5">
      <w:pPr>
        <w:autoSpaceDE w:val="0"/>
        <w:autoSpaceDN w:val="0"/>
        <w:adjustRightInd w:val="0"/>
        <w:spacing w:line="360" w:lineRule="exact"/>
        <w:ind w:firstLine="420" w:firstLineChars="200"/>
        <w:jc w:val="left"/>
        <w:rPr>
          <w:rFonts w:hint="eastAsia" w:ascii="宋体" w:hAnsi="宋体" w:cs="宋体"/>
          <w:color w:val="auto"/>
          <w:szCs w:val="21"/>
        </w:rPr>
      </w:pPr>
      <w:r>
        <w:rPr>
          <w:rFonts w:hint="eastAsia" w:ascii="宋体" w:hAnsi="宋体" w:cs="宋体"/>
          <w:color w:val="auto"/>
          <w:kern w:val="0"/>
          <w:szCs w:val="21"/>
        </w:rPr>
        <w:t>2.4.3 提供基础资料</w:t>
      </w:r>
    </w:p>
    <w:p w14:paraId="55449CF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3AE0E3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按照法律规定确需在开工后方能提供的基础资料，发包人应尽其努力及时地在相应工程施工前的合理期限内提供，合理期限应以不影响承包人的正常施工为限。</w:t>
      </w:r>
    </w:p>
    <w:p w14:paraId="139CE04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2.4.4 逾期提供的责任</w:t>
      </w:r>
    </w:p>
    <w:p w14:paraId="6F0ACAF1">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因发包人原因未能按合同约定及时向承包人提供施工现场、施工条件、基础资料的，由发包人承担由此增加的费用和（或）延误的工期。</w:t>
      </w:r>
    </w:p>
    <w:p w14:paraId="3FE068B1">
      <w:pPr>
        <w:pStyle w:val="9"/>
        <w:spacing w:before="120" w:after="120" w:line="360" w:lineRule="exact"/>
        <w:ind w:firstLine="422" w:firstLineChars="200"/>
        <w:rPr>
          <w:rFonts w:hint="eastAsia" w:ascii="宋体" w:hAnsi="宋体" w:cs="宋体"/>
          <w:b w:val="0"/>
          <w:bCs w:val="0"/>
          <w:color w:val="auto"/>
          <w:sz w:val="21"/>
          <w:szCs w:val="21"/>
        </w:rPr>
      </w:pPr>
      <w:bookmarkStart w:id="221" w:name="_Toc351203514"/>
      <w:r>
        <w:rPr>
          <w:rFonts w:hint="eastAsia" w:ascii="宋体" w:hAnsi="宋体" w:cs="宋体"/>
          <w:color w:val="auto"/>
          <w:sz w:val="21"/>
          <w:szCs w:val="21"/>
        </w:rPr>
        <w:t>2</w:t>
      </w:r>
      <w:bookmarkStart w:id="222" w:name="_Toc337558745"/>
      <w:bookmarkStart w:id="223" w:name="_Toc296346543"/>
      <w:bookmarkStart w:id="224" w:name="_Toc296503042"/>
      <w:r>
        <w:rPr>
          <w:rFonts w:hint="eastAsia" w:ascii="宋体" w:hAnsi="宋体" w:cs="宋体"/>
          <w:color w:val="auto"/>
          <w:sz w:val="21"/>
          <w:szCs w:val="21"/>
        </w:rPr>
        <w:t>.5 资</w:t>
      </w:r>
      <w:bookmarkEnd w:id="222"/>
      <w:bookmarkEnd w:id="223"/>
      <w:bookmarkEnd w:id="224"/>
      <w:r>
        <w:rPr>
          <w:rFonts w:hint="eastAsia" w:ascii="宋体" w:hAnsi="宋体" w:cs="宋体"/>
          <w:color w:val="auto"/>
          <w:sz w:val="21"/>
          <w:szCs w:val="21"/>
        </w:rPr>
        <w:t>金来源证明及支付担保</w:t>
      </w:r>
      <w:bookmarkEnd w:id="221"/>
    </w:p>
    <w:p w14:paraId="45C0D26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除专用合同条款另有约定外，发包人应在收到承包人要求提供资金来源证明的书面通知后28天内，向承包人提供能够按照合同约定支付合同价款的相应资金来源证明。</w:t>
      </w:r>
    </w:p>
    <w:p w14:paraId="548D01B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484D6654">
      <w:pPr>
        <w:pStyle w:val="9"/>
        <w:spacing w:before="120" w:after="120" w:line="360" w:lineRule="exact"/>
        <w:ind w:firstLine="422" w:firstLineChars="200"/>
        <w:rPr>
          <w:rFonts w:hint="eastAsia" w:ascii="宋体" w:hAnsi="宋体" w:cs="宋体"/>
          <w:color w:val="auto"/>
          <w:sz w:val="21"/>
          <w:szCs w:val="21"/>
        </w:rPr>
      </w:pPr>
      <w:bookmarkStart w:id="225" w:name="_Toc351203515"/>
      <w:r>
        <w:rPr>
          <w:rFonts w:hint="eastAsia" w:ascii="宋体" w:hAnsi="宋体" w:cs="宋体"/>
          <w:color w:val="auto"/>
          <w:sz w:val="21"/>
          <w:szCs w:val="21"/>
        </w:rPr>
        <w:t>2.6 支付合同价款</w:t>
      </w:r>
      <w:bookmarkEnd w:id="225"/>
    </w:p>
    <w:p w14:paraId="3DE4F01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发包人应按合同约定向承包人及时支付合同价款。</w:t>
      </w:r>
    </w:p>
    <w:p w14:paraId="31D294A3">
      <w:pPr>
        <w:pStyle w:val="9"/>
        <w:spacing w:before="120" w:after="120" w:line="360" w:lineRule="exact"/>
        <w:ind w:firstLine="422" w:firstLineChars="200"/>
        <w:rPr>
          <w:rFonts w:hint="eastAsia" w:ascii="宋体" w:hAnsi="宋体" w:cs="宋体"/>
          <w:color w:val="auto"/>
          <w:sz w:val="21"/>
          <w:szCs w:val="21"/>
        </w:rPr>
      </w:pPr>
      <w:bookmarkStart w:id="226" w:name="_Toc351203516"/>
      <w:r>
        <w:rPr>
          <w:rFonts w:hint="eastAsia" w:ascii="宋体" w:hAnsi="宋体" w:cs="宋体"/>
          <w:color w:val="auto"/>
          <w:sz w:val="21"/>
          <w:szCs w:val="21"/>
        </w:rPr>
        <w:t>2.7 组织竣工验收</w:t>
      </w:r>
      <w:bookmarkEnd w:id="226"/>
    </w:p>
    <w:p w14:paraId="634400E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发包人应按合同约定及时组织竣工验收。</w:t>
      </w:r>
    </w:p>
    <w:p w14:paraId="245F867A">
      <w:pPr>
        <w:pStyle w:val="9"/>
        <w:spacing w:before="120" w:after="120" w:line="360" w:lineRule="exact"/>
        <w:ind w:firstLine="422" w:firstLineChars="200"/>
        <w:rPr>
          <w:rFonts w:hint="eastAsia" w:ascii="宋体" w:hAnsi="宋体" w:cs="宋体"/>
          <w:b w:val="0"/>
          <w:bCs w:val="0"/>
          <w:color w:val="auto"/>
          <w:sz w:val="21"/>
          <w:szCs w:val="21"/>
        </w:rPr>
      </w:pPr>
      <w:bookmarkStart w:id="227" w:name="_Toc351203517"/>
      <w:r>
        <w:rPr>
          <w:rFonts w:hint="eastAsia" w:ascii="宋体" w:hAnsi="宋体" w:cs="宋体"/>
          <w:color w:val="auto"/>
          <w:sz w:val="21"/>
          <w:szCs w:val="21"/>
        </w:rPr>
        <w:t>2.8 现场统一管理协议</w:t>
      </w:r>
      <w:bookmarkEnd w:id="227"/>
    </w:p>
    <w:p w14:paraId="5BA724D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发包人应与承包人、由发包人直接发包的专业工程的承包人签订施工现场统一管理协议，明确各方的权利义务。施工现场统一管理协议作为专用合同条款的附件。</w:t>
      </w:r>
    </w:p>
    <w:p w14:paraId="0DEAD275">
      <w:pPr>
        <w:pStyle w:val="8"/>
        <w:spacing w:before="120" w:after="120" w:line="360" w:lineRule="exact"/>
        <w:rPr>
          <w:rFonts w:hint="eastAsia" w:ascii="宋体" w:hAnsi="宋体" w:cs="宋体"/>
          <w:bCs w:val="0"/>
          <w:color w:val="auto"/>
          <w:sz w:val="21"/>
          <w:szCs w:val="21"/>
        </w:rPr>
      </w:pPr>
      <w:bookmarkStart w:id="228" w:name="_Toc351203518"/>
      <w:r>
        <w:rPr>
          <w:rFonts w:hint="eastAsia" w:ascii="宋体" w:hAnsi="宋体" w:cs="宋体"/>
          <w:bCs w:val="0"/>
          <w:color w:val="auto"/>
          <w:sz w:val="21"/>
          <w:szCs w:val="21"/>
        </w:rPr>
        <w:t>3</w:t>
      </w:r>
      <w:bookmarkStart w:id="229" w:name="_Toc296503045"/>
      <w:bookmarkStart w:id="230" w:name="_Toc296346546"/>
      <w:bookmarkStart w:id="231" w:name="_Toc337558746"/>
      <w:r>
        <w:rPr>
          <w:rFonts w:hint="eastAsia" w:ascii="宋体" w:hAnsi="宋体" w:cs="宋体"/>
          <w:bCs w:val="0"/>
          <w:color w:val="auto"/>
          <w:sz w:val="21"/>
          <w:szCs w:val="21"/>
        </w:rPr>
        <w:t>. 承包人</w:t>
      </w:r>
      <w:bookmarkEnd w:id="228"/>
    </w:p>
    <w:bookmarkEnd w:id="229"/>
    <w:bookmarkEnd w:id="230"/>
    <w:bookmarkEnd w:id="231"/>
    <w:p w14:paraId="5D131F8F">
      <w:pPr>
        <w:pStyle w:val="9"/>
        <w:spacing w:before="120" w:after="120" w:line="360" w:lineRule="exact"/>
        <w:ind w:firstLine="422" w:firstLineChars="200"/>
        <w:rPr>
          <w:rFonts w:hint="eastAsia" w:ascii="宋体" w:hAnsi="宋体" w:cs="宋体"/>
          <w:b w:val="0"/>
          <w:bCs w:val="0"/>
          <w:color w:val="auto"/>
          <w:sz w:val="21"/>
          <w:szCs w:val="21"/>
        </w:rPr>
      </w:pPr>
      <w:bookmarkStart w:id="232" w:name="_Toc351203519"/>
      <w:r>
        <w:rPr>
          <w:rFonts w:hint="eastAsia" w:ascii="宋体" w:hAnsi="宋体" w:cs="宋体"/>
          <w:color w:val="auto"/>
          <w:sz w:val="21"/>
          <w:szCs w:val="21"/>
        </w:rPr>
        <w:t>3</w:t>
      </w:r>
      <w:bookmarkStart w:id="233" w:name="_Toc296503046"/>
      <w:bookmarkStart w:id="234" w:name="_Toc337558747"/>
      <w:bookmarkStart w:id="235" w:name="_Toc296346547"/>
      <w:r>
        <w:rPr>
          <w:rFonts w:hint="eastAsia" w:ascii="宋体" w:hAnsi="宋体" w:cs="宋体"/>
          <w:color w:val="auto"/>
          <w:sz w:val="21"/>
          <w:szCs w:val="21"/>
        </w:rPr>
        <w:t>.1 承包人的一般义务</w:t>
      </w:r>
      <w:bookmarkEnd w:id="232"/>
    </w:p>
    <w:bookmarkEnd w:id="233"/>
    <w:bookmarkEnd w:id="234"/>
    <w:bookmarkEnd w:id="235"/>
    <w:p w14:paraId="5E7B112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承包人在履行合同过程中应遵守法律和工程建设标准规范，并履行以下义务：</w:t>
      </w:r>
    </w:p>
    <w:p w14:paraId="1983A564">
      <w:pPr>
        <w:numPr>
          <w:ilvl w:val="0"/>
          <w:numId w:val="2"/>
        </w:num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办理法律规定应由承包人办理的许可和批准，并将办理结果书面报送发包人留存；</w:t>
      </w:r>
    </w:p>
    <w:p w14:paraId="0042FD3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（2）按法律规定和合同约定完成工程，并在保修期内承担保修义务；</w:t>
      </w:r>
    </w:p>
    <w:p w14:paraId="2385872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（3）按法律规定和合同约定采取施工安全和环境保护措施，办理工伤保险，确保工程及人员、材料、设备和设施的安全；</w:t>
      </w:r>
    </w:p>
    <w:p w14:paraId="6433181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（4）按合同约定的工作内容和施工进度要求，编制施工组织设计和施工措施计划，并对所有施工作业和施工方法的完备性和安全可靠性负责；</w:t>
      </w:r>
    </w:p>
    <w:p w14:paraId="6B6E39A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BD6F32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（6）按照第6.3款〔环境保护〕约定负责施工场地及其周边环境与生态的保护工作；</w:t>
      </w:r>
    </w:p>
    <w:p w14:paraId="5169D4A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（7）按第6.1款〔安全文明施工〕约定采取施工安全措施，确保工程及其人员、材料、设备和设施的安全，防止因工程施工造成的人身伤害和财产损失；</w:t>
      </w:r>
    </w:p>
    <w:p w14:paraId="47C2AE4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（8）将发包人按合同约定支付的各项价款专用于合同工程，且应及时支付其雇用人员工资，并及时向分包人支付合同价款；</w:t>
      </w:r>
    </w:p>
    <w:p w14:paraId="0DE2BE9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（9）按照法律规定和合同约定编制竣工资料，完成竣工资料立卷及归档，并按专用合同条款约定的竣工资料的套数、内容、时间等要求移交发包人；</w:t>
      </w:r>
    </w:p>
    <w:p w14:paraId="3C0BDB2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（10）应履行的其他义务。</w:t>
      </w:r>
    </w:p>
    <w:p w14:paraId="72BAC66D">
      <w:pPr>
        <w:pStyle w:val="9"/>
        <w:spacing w:before="120" w:after="120" w:line="360" w:lineRule="exact"/>
        <w:ind w:firstLine="422" w:firstLineChars="200"/>
        <w:rPr>
          <w:rFonts w:hint="eastAsia" w:ascii="宋体" w:hAnsi="宋体" w:cs="宋体"/>
          <w:color w:val="auto"/>
          <w:sz w:val="21"/>
          <w:szCs w:val="21"/>
        </w:rPr>
      </w:pPr>
      <w:bookmarkStart w:id="236" w:name="_Toc351203520"/>
      <w:r>
        <w:rPr>
          <w:rFonts w:hint="eastAsia" w:ascii="宋体" w:hAnsi="宋体" w:cs="宋体"/>
          <w:color w:val="auto"/>
          <w:sz w:val="21"/>
          <w:szCs w:val="21"/>
        </w:rPr>
        <w:t>3</w:t>
      </w:r>
      <w:bookmarkStart w:id="237" w:name="_Toc337558748"/>
      <w:bookmarkStart w:id="238" w:name="_Toc296503047"/>
      <w:bookmarkStart w:id="239" w:name="_Toc296346548"/>
      <w:r>
        <w:rPr>
          <w:rFonts w:hint="eastAsia" w:ascii="宋体" w:hAnsi="宋体" w:cs="宋体"/>
          <w:color w:val="auto"/>
          <w:sz w:val="21"/>
          <w:szCs w:val="21"/>
        </w:rPr>
        <w:t xml:space="preserve">.2 </w:t>
      </w:r>
      <w:bookmarkEnd w:id="236"/>
      <w:r>
        <w:rPr>
          <w:rFonts w:hint="eastAsia" w:ascii="宋体" w:hAnsi="宋体" w:cs="宋体"/>
          <w:color w:val="auto"/>
          <w:sz w:val="21"/>
          <w:szCs w:val="21"/>
        </w:rPr>
        <w:t>项目经理</w:t>
      </w:r>
    </w:p>
    <w:bookmarkEnd w:id="237"/>
    <w:bookmarkEnd w:id="238"/>
    <w:bookmarkEnd w:id="239"/>
    <w:p w14:paraId="2D1C3AA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FEA2F2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BE85C3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承包人违反上述约定的，应按照专用合同条款的约定，承担违约责任。</w:t>
      </w:r>
    </w:p>
    <w:p w14:paraId="04BFE19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9EFEE9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AE98DE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9EC1FF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5EA0ECA8">
      <w:pPr>
        <w:pStyle w:val="9"/>
        <w:spacing w:before="120" w:after="120" w:line="360" w:lineRule="exact"/>
        <w:ind w:firstLine="422" w:firstLineChars="200"/>
        <w:rPr>
          <w:rFonts w:hint="eastAsia" w:ascii="宋体" w:hAnsi="宋体" w:cs="宋体"/>
          <w:color w:val="auto"/>
          <w:sz w:val="21"/>
          <w:szCs w:val="21"/>
        </w:rPr>
      </w:pPr>
      <w:bookmarkStart w:id="240" w:name="_Toc351203521"/>
      <w:r>
        <w:rPr>
          <w:rFonts w:hint="eastAsia" w:ascii="宋体" w:hAnsi="宋体" w:cs="宋体"/>
          <w:color w:val="auto"/>
          <w:sz w:val="21"/>
          <w:szCs w:val="21"/>
        </w:rPr>
        <w:t>3</w:t>
      </w:r>
      <w:bookmarkStart w:id="241" w:name="_Toc296503048"/>
      <w:bookmarkStart w:id="242" w:name="_Toc296346549"/>
      <w:bookmarkStart w:id="243" w:name="_Toc337558749"/>
      <w:r>
        <w:rPr>
          <w:rFonts w:hint="eastAsia" w:ascii="宋体" w:hAnsi="宋体" w:cs="宋体"/>
          <w:color w:val="auto"/>
          <w:sz w:val="21"/>
          <w:szCs w:val="21"/>
        </w:rPr>
        <w:t xml:space="preserve">.3 </w:t>
      </w:r>
      <w:bookmarkEnd w:id="241"/>
      <w:bookmarkEnd w:id="242"/>
      <w:r>
        <w:rPr>
          <w:rFonts w:hint="eastAsia" w:ascii="宋体" w:hAnsi="宋体" w:cs="宋体"/>
          <w:color w:val="auto"/>
          <w:sz w:val="21"/>
          <w:szCs w:val="21"/>
        </w:rPr>
        <w:t>承包人人员</w:t>
      </w:r>
      <w:bookmarkEnd w:id="240"/>
    </w:p>
    <w:bookmarkEnd w:id="243"/>
    <w:p w14:paraId="23A5600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86C35D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21CAF7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特殊工种作业人员均应持有相应的资格证明，监理人可以随时检查。</w:t>
      </w:r>
    </w:p>
    <w:p w14:paraId="69B9307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AB6167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5DBCE3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3.3.5 承包人擅自更换主要施工管理人员，或前述人员未经监理人或发包人同意擅自离开施工现场的，应按照专用合同条款约定承担违约责任。</w:t>
      </w:r>
    </w:p>
    <w:p w14:paraId="33EBDFFC">
      <w:pPr>
        <w:pStyle w:val="9"/>
        <w:spacing w:before="120" w:after="120" w:line="360" w:lineRule="exact"/>
        <w:ind w:firstLine="422" w:firstLineChars="200"/>
        <w:rPr>
          <w:rFonts w:hint="eastAsia" w:ascii="宋体" w:hAnsi="宋体" w:cs="宋体"/>
          <w:color w:val="auto"/>
          <w:sz w:val="21"/>
          <w:szCs w:val="21"/>
        </w:rPr>
      </w:pPr>
      <w:bookmarkStart w:id="244" w:name="_Toc351203522"/>
      <w:r>
        <w:rPr>
          <w:rFonts w:hint="eastAsia" w:ascii="宋体" w:hAnsi="宋体" w:cs="宋体"/>
          <w:color w:val="auto"/>
          <w:sz w:val="21"/>
          <w:szCs w:val="21"/>
        </w:rPr>
        <w:t>3</w:t>
      </w:r>
      <w:bookmarkStart w:id="245" w:name="_Toc296346551"/>
      <w:bookmarkStart w:id="246" w:name="_Toc337558750"/>
      <w:bookmarkStart w:id="247" w:name="_Toc296503050"/>
      <w:r>
        <w:rPr>
          <w:rFonts w:hint="eastAsia" w:ascii="宋体" w:hAnsi="宋体" w:cs="宋体"/>
          <w:color w:val="auto"/>
          <w:sz w:val="21"/>
          <w:szCs w:val="21"/>
        </w:rPr>
        <w:t>.4 承包人现场查勘</w:t>
      </w:r>
      <w:bookmarkEnd w:id="244"/>
    </w:p>
    <w:bookmarkEnd w:id="245"/>
    <w:bookmarkEnd w:id="246"/>
    <w:bookmarkEnd w:id="247"/>
    <w:p w14:paraId="04B7EE73">
      <w:pPr>
        <w:autoSpaceDE w:val="0"/>
        <w:autoSpaceDN w:val="0"/>
        <w:adjustRightInd w:val="0"/>
        <w:spacing w:line="360" w:lineRule="exact"/>
        <w:ind w:firstLine="420" w:firstLineChars="200"/>
        <w:jc w:val="left"/>
        <w:rPr>
          <w:rFonts w:hint="eastAsia" w:ascii="宋体" w:hAnsi="宋体" w:cs="宋体"/>
          <w:color w:val="auto"/>
          <w:szCs w:val="21"/>
        </w:rPr>
      </w:pPr>
      <w:r>
        <w:rPr>
          <w:rFonts w:hint="eastAsia" w:ascii="宋体" w:hAnsi="宋体" w:cs="宋体"/>
          <w:color w:val="auto"/>
          <w:kern w:val="0"/>
          <w:szCs w:val="21"/>
        </w:rPr>
        <w:t>承包人应对基于发包人按照第2.4.3项〔提供基础资料〕提交的基础资料所做出的解释和推断负责，但因基础资料存在错误、遗漏导致承包人解释或推断失实的，由发包人承担责任。</w:t>
      </w:r>
    </w:p>
    <w:p w14:paraId="76B122B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E84D0F2">
      <w:pPr>
        <w:pStyle w:val="9"/>
        <w:spacing w:before="120" w:after="120" w:line="360" w:lineRule="exact"/>
        <w:ind w:firstLine="422" w:firstLineChars="200"/>
        <w:rPr>
          <w:rFonts w:hint="eastAsia" w:ascii="宋体" w:hAnsi="宋体" w:cs="宋体"/>
          <w:color w:val="auto"/>
          <w:sz w:val="21"/>
          <w:szCs w:val="21"/>
        </w:rPr>
      </w:pPr>
      <w:bookmarkStart w:id="248" w:name="_Toc351203523"/>
      <w:r>
        <w:rPr>
          <w:rFonts w:hint="eastAsia" w:ascii="宋体" w:hAnsi="宋体" w:cs="宋体"/>
          <w:color w:val="auto"/>
          <w:sz w:val="21"/>
          <w:szCs w:val="21"/>
        </w:rPr>
        <w:t>3</w:t>
      </w:r>
      <w:bookmarkStart w:id="249" w:name="_Toc296503051"/>
      <w:bookmarkStart w:id="250" w:name="_Toc296346552"/>
      <w:bookmarkStart w:id="251" w:name="_Toc337558751"/>
      <w:r>
        <w:rPr>
          <w:rFonts w:hint="eastAsia" w:ascii="宋体" w:hAnsi="宋体" w:cs="宋体"/>
          <w:color w:val="auto"/>
          <w:sz w:val="21"/>
          <w:szCs w:val="21"/>
        </w:rPr>
        <w:t>.5 分包</w:t>
      </w:r>
      <w:bookmarkEnd w:id="248"/>
    </w:p>
    <w:bookmarkEnd w:id="249"/>
    <w:bookmarkEnd w:id="250"/>
    <w:bookmarkEnd w:id="251"/>
    <w:p w14:paraId="51FADA7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3.5.1 分包的一般约定</w:t>
      </w:r>
    </w:p>
    <w:p w14:paraId="63D95BD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580572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承包人不得以劳务分包的名义转包或违法分包工程。</w:t>
      </w:r>
    </w:p>
    <w:p w14:paraId="4DF1AB48">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3.5.2 分包的确定</w:t>
      </w:r>
    </w:p>
    <w:p w14:paraId="0345E0A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149476C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3.5.3 分包管理</w:t>
      </w:r>
    </w:p>
    <w:p w14:paraId="7C0E4B1F">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承包人应向监理人提交分包人的主要施工管理人员表，并对分包人的施工人员进行实名制管理，包括但不限于进出场管理、登记造册以及各种证照的办理。</w:t>
      </w:r>
    </w:p>
    <w:p w14:paraId="4B5DAE81">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3.5.4 分包合同价款</w:t>
      </w:r>
    </w:p>
    <w:p w14:paraId="6E4D0C78">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（1）除本项第（2）目约定的情况或专用合同条款另有约定外，分包合同价款由承包人与分包人结算，未经承包人同意，发包人不得向分包人支付分包工程价款；</w:t>
      </w:r>
    </w:p>
    <w:p w14:paraId="56F82A8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（2）生效法律文书要求发包人向分包人支付分包合同价款的，发包人有权从应付承包人工程款中扣除该部分款项。</w:t>
      </w:r>
    </w:p>
    <w:p w14:paraId="30101FF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3.5.5 分包合同权益的转让</w:t>
      </w:r>
    </w:p>
    <w:p w14:paraId="0802935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52" w:name="_Toc351203524"/>
    </w:p>
    <w:p w14:paraId="61C33BDD">
      <w:pPr>
        <w:pStyle w:val="9"/>
        <w:spacing w:before="120" w:after="120" w:line="360" w:lineRule="exact"/>
        <w:ind w:firstLine="422" w:firstLineChars="200"/>
        <w:rPr>
          <w:rFonts w:hint="eastAsia" w:ascii="宋体" w:hAnsi="宋体" w:cs="宋体"/>
          <w:b w:val="0"/>
          <w:bCs w:val="0"/>
          <w:color w:val="auto"/>
          <w:sz w:val="21"/>
          <w:szCs w:val="21"/>
        </w:rPr>
      </w:pPr>
      <w:r>
        <w:rPr>
          <w:rFonts w:hint="eastAsia" w:ascii="宋体" w:hAnsi="宋体" w:cs="宋体"/>
          <w:color w:val="auto"/>
          <w:sz w:val="21"/>
          <w:szCs w:val="21"/>
        </w:rPr>
        <w:t>3.6 工程照管与成品、半成品保护</w:t>
      </w:r>
      <w:bookmarkEnd w:id="252"/>
    </w:p>
    <w:p w14:paraId="6CBED710">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（1）除专用合同条款另有约定外，自发包人向承包人移交施工现场之日起，承包人应负责照管工程及工程相关的材料、工程设备，直到颁发工程接收证书之日止。</w:t>
      </w:r>
    </w:p>
    <w:p w14:paraId="4C4EA34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（2）在承包人负责照管期间，因承包人原因造成工程、材料、工程设备损坏的，由承包人负责修复或更换，并承担由此增加的费用和（或）延误的工期。</w:t>
      </w:r>
    </w:p>
    <w:p w14:paraId="3808C50F">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2477ECB3">
      <w:pPr>
        <w:pStyle w:val="9"/>
        <w:spacing w:before="120" w:after="120" w:line="360" w:lineRule="exact"/>
        <w:ind w:firstLine="422" w:firstLineChars="200"/>
        <w:rPr>
          <w:rFonts w:hint="eastAsia" w:ascii="宋体" w:hAnsi="宋体" w:cs="宋体"/>
          <w:color w:val="auto"/>
          <w:sz w:val="21"/>
          <w:szCs w:val="21"/>
        </w:rPr>
      </w:pPr>
      <w:bookmarkStart w:id="253" w:name="_Toc351203525"/>
      <w:r>
        <w:rPr>
          <w:rFonts w:hint="eastAsia" w:ascii="宋体" w:hAnsi="宋体" w:cs="宋体"/>
          <w:color w:val="auto"/>
          <w:sz w:val="21"/>
          <w:szCs w:val="21"/>
        </w:rPr>
        <w:t>3</w:t>
      </w:r>
      <w:bookmarkStart w:id="254" w:name="_Toc296346553"/>
      <w:bookmarkStart w:id="255" w:name="_Toc337558752"/>
      <w:bookmarkStart w:id="256" w:name="_Toc296503052"/>
      <w:r>
        <w:rPr>
          <w:rFonts w:hint="eastAsia" w:ascii="宋体" w:hAnsi="宋体" w:cs="宋体"/>
          <w:color w:val="auto"/>
          <w:sz w:val="21"/>
          <w:szCs w:val="21"/>
        </w:rPr>
        <w:t>.7 履约担保</w:t>
      </w:r>
      <w:bookmarkEnd w:id="253"/>
    </w:p>
    <w:bookmarkEnd w:id="254"/>
    <w:bookmarkEnd w:id="255"/>
    <w:bookmarkEnd w:id="256"/>
    <w:p w14:paraId="1D2EB12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2A4D69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因承包人原因导致工期延长的，继续提供履约担保所增加的费用由承包人承担；非因承包人原因导致工期延长的，继续提供履约担保所增加的费用由发包人承担。</w:t>
      </w:r>
    </w:p>
    <w:p w14:paraId="44B33A71">
      <w:pPr>
        <w:pStyle w:val="9"/>
        <w:spacing w:before="120" w:after="120" w:line="360" w:lineRule="exact"/>
        <w:ind w:firstLine="422" w:firstLineChars="200"/>
        <w:rPr>
          <w:rFonts w:hint="eastAsia" w:ascii="宋体" w:hAnsi="宋体" w:cs="宋体"/>
          <w:color w:val="auto"/>
          <w:sz w:val="21"/>
          <w:szCs w:val="21"/>
        </w:rPr>
      </w:pPr>
      <w:bookmarkStart w:id="257" w:name="_Toc351203526"/>
      <w:r>
        <w:rPr>
          <w:rFonts w:hint="eastAsia" w:ascii="宋体" w:hAnsi="宋体" w:cs="宋体"/>
          <w:color w:val="auto"/>
          <w:sz w:val="21"/>
          <w:szCs w:val="21"/>
        </w:rPr>
        <w:t>3.8 联合体</w:t>
      </w:r>
      <w:bookmarkEnd w:id="257"/>
    </w:p>
    <w:p w14:paraId="7331C88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3.8.1 联合体各方应共同与发包人签订合同协议书。联合体各方应为履行合同向发包人承担连带责任。</w:t>
      </w:r>
    </w:p>
    <w:p w14:paraId="3A4C96F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3.8.2 联合体协议经发包人确认后作为合同附件。在履行合同过程中，未经发包人同意，不得修改联合体协议。</w:t>
      </w:r>
    </w:p>
    <w:p w14:paraId="0C1A30F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3.8.3 联合体牵头人负责与发包人和监理人联系，并接受指示，负责组织联合体各成员全面履行合同。</w:t>
      </w:r>
    </w:p>
    <w:p w14:paraId="417466A4">
      <w:pPr>
        <w:pStyle w:val="8"/>
        <w:spacing w:before="120" w:after="120" w:line="360" w:lineRule="exact"/>
        <w:rPr>
          <w:rFonts w:hint="eastAsia" w:ascii="宋体" w:hAnsi="宋体" w:cs="宋体"/>
          <w:bCs w:val="0"/>
          <w:color w:val="auto"/>
          <w:sz w:val="21"/>
          <w:szCs w:val="21"/>
        </w:rPr>
      </w:pPr>
      <w:bookmarkStart w:id="258" w:name="_Toc351203527"/>
      <w:r>
        <w:rPr>
          <w:rFonts w:hint="eastAsia" w:ascii="宋体" w:hAnsi="宋体" w:cs="宋体"/>
          <w:bCs w:val="0"/>
          <w:color w:val="auto"/>
          <w:sz w:val="21"/>
          <w:szCs w:val="21"/>
        </w:rPr>
        <w:t>4</w:t>
      </w:r>
      <w:bookmarkStart w:id="259" w:name="_Toc296346554"/>
      <w:bookmarkStart w:id="260" w:name="_Toc296503053"/>
      <w:bookmarkStart w:id="261" w:name="_Toc337558753"/>
      <w:r>
        <w:rPr>
          <w:rFonts w:hint="eastAsia" w:ascii="宋体" w:hAnsi="宋体" w:cs="宋体"/>
          <w:bCs w:val="0"/>
          <w:color w:val="auto"/>
          <w:sz w:val="21"/>
          <w:szCs w:val="21"/>
        </w:rPr>
        <w:t>. 监</w:t>
      </w:r>
      <w:bookmarkEnd w:id="259"/>
      <w:bookmarkEnd w:id="260"/>
      <w:r>
        <w:rPr>
          <w:rFonts w:hint="eastAsia" w:ascii="宋体" w:hAnsi="宋体" w:cs="宋体"/>
          <w:bCs w:val="0"/>
          <w:color w:val="auto"/>
          <w:sz w:val="21"/>
          <w:szCs w:val="21"/>
        </w:rPr>
        <w:t>理人</w:t>
      </w:r>
      <w:bookmarkEnd w:id="258"/>
    </w:p>
    <w:bookmarkEnd w:id="261"/>
    <w:p w14:paraId="2F76E8A1">
      <w:pPr>
        <w:pStyle w:val="9"/>
        <w:spacing w:before="120" w:after="120" w:line="360" w:lineRule="exact"/>
        <w:ind w:firstLine="422" w:firstLineChars="200"/>
        <w:rPr>
          <w:rFonts w:hint="eastAsia" w:ascii="宋体" w:hAnsi="宋体" w:cs="宋体"/>
          <w:color w:val="auto"/>
          <w:sz w:val="21"/>
          <w:szCs w:val="21"/>
        </w:rPr>
      </w:pPr>
      <w:bookmarkStart w:id="262" w:name="_Toc351203528"/>
      <w:r>
        <w:rPr>
          <w:rFonts w:hint="eastAsia" w:ascii="宋体" w:hAnsi="宋体" w:cs="宋体"/>
          <w:color w:val="auto"/>
          <w:sz w:val="21"/>
          <w:szCs w:val="21"/>
        </w:rPr>
        <w:t>4</w:t>
      </w:r>
      <w:bookmarkStart w:id="263" w:name="_Toc296503054"/>
      <w:bookmarkStart w:id="264" w:name="_Toc296346555"/>
      <w:bookmarkStart w:id="265" w:name="_Toc337558754"/>
      <w:r>
        <w:rPr>
          <w:rFonts w:hint="eastAsia" w:ascii="宋体" w:hAnsi="宋体" w:cs="宋体"/>
          <w:color w:val="auto"/>
          <w:sz w:val="21"/>
          <w:szCs w:val="21"/>
        </w:rPr>
        <w:t>.1监理人的一般规定</w:t>
      </w:r>
      <w:bookmarkEnd w:id="262"/>
    </w:p>
    <w:bookmarkEnd w:id="263"/>
    <w:bookmarkEnd w:id="264"/>
    <w:bookmarkEnd w:id="265"/>
    <w:p w14:paraId="4640018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2A6823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除专用合同条款另有约定外，监理人在施工现场的办公场所、生活场所由承包人提供，所发生的费用由发包人承担。</w:t>
      </w:r>
    </w:p>
    <w:p w14:paraId="2DEC1A07">
      <w:pPr>
        <w:pStyle w:val="9"/>
        <w:spacing w:before="120" w:after="120" w:line="360" w:lineRule="exact"/>
        <w:ind w:firstLine="422" w:firstLineChars="200"/>
        <w:rPr>
          <w:rFonts w:hint="eastAsia" w:ascii="宋体" w:hAnsi="宋体" w:cs="宋体"/>
          <w:color w:val="auto"/>
          <w:sz w:val="21"/>
          <w:szCs w:val="21"/>
        </w:rPr>
      </w:pPr>
      <w:bookmarkStart w:id="266" w:name="_Toc351203529"/>
      <w:r>
        <w:rPr>
          <w:rFonts w:hint="eastAsia" w:ascii="宋体" w:hAnsi="宋体" w:cs="宋体"/>
          <w:color w:val="auto"/>
          <w:sz w:val="21"/>
          <w:szCs w:val="21"/>
        </w:rPr>
        <w:t>4</w:t>
      </w:r>
      <w:bookmarkStart w:id="267" w:name="_Toc337558755"/>
      <w:r>
        <w:rPr>
          <w:rFonts w:hint="eastAsia" w:ascii="宋体" w:hAnsi="宋体" w:cs="宋体"/>
          <w:color w:val="auto"/>
          <w:sz w:val="21"/>
          <w:szCs w:val="21"/>
        </w:rPr>
        <w:t>.2监理人员</w:t>
      </w:r>
      <w:bookmarkEnd w:id="266"/>
    </w:p>
    <w:bookmarkEnd w:id="267"/>
    <w:p w14:paraId="2856CBD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B726587">
      <w:pPr>
        <w:pStyle w:val="9"/>
        <w:spacing w:before="120" w:after="120" w:line="360" w:lineRule="exact"/>
        <w:ind w:firstLine="422" w:firstLineChars="200"/>
        <w:rPr>
          <w:rFonts w:hint="eastAsia" w:ascii="宋体" w:hAnsi="宋体" w:cs="宋体"/>
          <w:b w:val="0"/>
          <w:bCs w:val="0"/>
          <w:color w:val="auto"/>
          <w:sz w:val="21"/>
          <w:szCs w:val="21"/>
        </w:rPr>
      </w:pPr>
      <w:bookmarkStart w:id="268" w:name="_Toc351203530"/>
      <w:r>
        <w:rPr>
          <w:rFonts w:hint="eastAsia" w:ascii="宋体" w:hAnsi="宋体" w:cs="宋体"/>
          <w:color w:val="auto"/>
          <w:sz w:val="21"/>
          <w:szCs w:val="21"/>
        </w:rPr>
        <w:t>4</w:t>
      </w:r>
      <w:bookmarkStart w:id="269" w:name="_Toc296503055"/>
      <w:bookmarkStart w:id="270" w:name="_Toc296346556"/>
      <w:bookmarkStart w:id="271" w:name="_Toc337558756"/>
      <w:r>
        <w:rPr>
          <w:rFonts w:hint="eastAsia" w:ascii="宋体" w:hAnsi="宋体" w:cs="宋体"/>
          <w:color w:val="auto"/>
          <w:sz w:val="21"/>
          <w:szCs w:val="21"/>
        </w:rPr>
        <w:t>.3</w:t>
      </w:r>
      <w:bookmarkEnd w:id="269"/>
      <w:bookmarkEnd w:id="270"/>
      <w:r>
        <w:rPr>
          <w:rFonts w:hint="eastAsia" w:ascii="宋体" w:hAnsi="宋体" w:cs="宋体"/>
          <w:color w:val="auto"/>
          <w:sz w:val="21"/>
          <w:szCs w:val="21"/>
        </w:rPr>
        <w:t>监理人的指</w:t>
      </w:r>
      <w:bookmarkEnd w:id="271"/>
      <w:r>
        <w:rPr>
          <w:rFonts w:hint="eastAsia" w:ascii="宋体" w:hAnsi="宋体" w:cs="宋体"/>
          <w:color w:val="auto"/>
          <w:sz w:val="21"/>
          <w:szCs w:val="21"/>
        </w:rPr>
        <w:t>示</w:t>
      </w:r>
      <w:bookmarkEnd w:id="268"/>
    </w:p>
    <w:p w14:paraId="14057C2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F0FE4D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0D839E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承包人对监理人发出的指示有疑问的，应向监理人提出书面异议，监理人应在48小时内对该指示予以确认、更改或撤销，监理人逾期未回复的，承包人有权拒绝执行上述指示。</w:t>
      </w:r>
    </w:p>
    <w:p w14:paraId="726A8A6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6946E2C1">
      <w:pPr>
        <w:pStyle w:val="8"/>
        <w:spacing w:before="120" w:after="120" w:line="360" w:lineRule="exact"/>
        <w:ind w:firstLine="422" w:firstLineChars="200"/>
        <w:rPr>
          <w:rFonts w:hint="eastAsia" w:ascii="宋体" w:hAnsi="宋体" w:cs="宋体"/>
          <w:bCs w:val="0"/>
          <w:color w:val="auto"/>
          <w:sz w:val="21"/>
          <w:szCs w:val="21"/>
        </w:rPr>
      </w:pPr>
      <w:bookmarkStart w:id="272" w:name="_Toc351203531"/>
      <w:r>
        <w:rPr>
          <w:rFonts w:hint="eastAsia" w:ascii="宋体" w:hAnsi="宋体" w:cs="宋体"/>
          <w:bCs w:val="0"/>
          <w:color w:val="auto"/>
          <w:sz w:val="21"/>
          <w:szCs w:val="21"/>
        </w:rPr>
        <w:t>4</w:t>
      </w:r>
      <w:bookmarkStart w:id="273" w:name="_Toc337558757"/>
      <w:bookmarkStart w:id="274" w:name="_Toc296503057"/>
      <w:bookmarkStart w:id="275" w:name="_Toc296346558"/>
      <w:r>
        <w:rPr>
          <w:rFonts w:hint="eastAsia" w:ascii="宋体" w:hAnsi="宋体" w:cs="宋体"/>
          <w:bCs w:val="0"/>
          <w:color w:val="auto"/>
          <w:sz w:val="21"/>
          <w:szCs w:val="21"/>
        </w:rPr>
        <w:t>.4 商定或确定</w:t>
      </w:r>
      <w:bookmarkEnd w:id="272"/>
    </w:p>
    <w:bookmarkEnd w:id="273"/>
    <w:bookmarkEnd w:id="274"/>
    <w:bookmarkEnd w:id="275"/>
    <w:p w14:paraId="122905B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合同当事人进行商定或确定时，总监理工程师应当会同合同当事人尽量通过协商达成一致，不能达成一致的，由总监理工程师按照合同约定审慎做出公正的确定。</w:t>
      </w:r>
    </w:p>
    <w:p w14:paraId="3F16FDF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3D53522">
      <w:pPr>
        <w:pStyle w:val="8"/>
        <w:spacing w:before="120" w:after="120" w:line="360" w:lineRule="exact"/>
        <w:rPr>
          <w:rFonts w:hint="eastAsia" w:ascii="宋体" w:hAnsi="宋体" w:cs="宋体"/>
          <w:bCs w:val="0"/>
          <w:color w:val="auto"/>
          <w:sz w:val="21"/>
          <w:szCs w:val="21"/>
        </w:rPr>
      </w:pPr>
      <w:bookmarkStart w:id="276" w:name="_Toc351203532"/>
      <w:r>
        <w:rPr>
          <w:rFonts w:hint="eastAsia" w:ascii="宋体" w:hAnsi="宋体" w:cs="宋体"/>
          <w:bCs w:val="0"/>
          <w:color w:val="auto"/>
          <w:sz w:val="21"/>
          <w:szCs w:val="21"/>
        </w:rPr>
        <w:t>5</w:t>
      </w:r>
      <w:bookmarkStart w:id="277" w:name="_Toc337558758"/>
      <w:r>
        <w:rPr>
          <w:rFonts w:hint="eastAsia" w:ascii="宋体" w:hAnsi="宋体" w:cs="宋体"/>
          <w:bCs w:val="0"/>
          <w:color w:val="auto"/>
          <w:sz w:val="21"/>
          <w:szCs w:val="21"/>
        </w:rPr>
        <w:t>. 工程质量</w:t>
      </w:r>
      <w:bookmarkEnd w:id="276"/>
    </w:p>
    <w:bookmarkEnd w:id="277"/>
    <w:p w14:paraId="20958EAA">
      <w:pPr>
        <w:pStyle w:val="9"/>
        <w:spacing w:before="120" w:after="120" w:line="360" w:lineRule="exact"/>
        <w:ind w:firstLine="422" w:firstLineChars="200"/>
        <w:rPr>
          <w:rFonts w:hint="eastAsia" w:ascii="宋体" w:hAnsi="宋体" w:cs="宋体"/>
          <w:b w:val="0"/>
          <w:bCs w:val="0"/>
          <w:color w:val="auto"/>
          <w:sz w:val="21"/>
          <w:szCs w:val="21"/>
        </w:rPr>
      </w:pPr>
      <w:bookmarkStart w:id="278" w:name="_Toc351203533"/>
      <w:r>
        <w:rPr>
          <w:rFonts w:hint="eastAsia" w:ascii="宋体" w:hAnsi="宋体" w:cs="宋体"/>
          <w:color w:val="auto"/>
          <w:sz w:val="21"/>
          <w:szCs w:val="21"/>
        </w:rPr>
        <w:t>5</w:t>
      </w:r>
      <w:bookmarkStart w:id="279" w:name="_Toc337558759"/>
      <w:r>
        <w:rPr>
          <w:rFonts w:hint="eastAsia" w:ascii="宋体" w:hAnsi="宋体" w:cs="宋体"/>
          <w:color w:val="auto"/>
          <w:sz w:val="21"/>
          <w:szCs w:val="21"/>
        </w:rPr>
        <w:t>.1质量要求</w:t>
      </w:r>
      <w:bookmarkEnd w:id="278"/>
    </w:p>
    <w:bookmarkEnd w:id="279"/>
    <w:p w14:paraId="1B255B1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5.1.1 工程质量标准必须符合现行国家有关工程施工质量验收规范和标准的要求。有关工程质量的特殊标准或要求由合同当事人在专用合同条款中约定。</w:t>
      </w:r>
    </w:p>
    <w:p w14:paraId="10729EC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5.1.2 因发包人原因造成工程质量未达到合同约定标准的，由发包人承担由此增加的费用和（或）延误的工期，并支付承包人合理的利润。</w:t>
      </w:r>
    </w:p>
    <w:p w14:paraId="3ECEDE8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5.1.3 因承包人原因造成工程质量未达到合同约定标准的，发包人有权要求承包人返工直至工程质量达到合同约定的标准为止，并由承包人承担由此增加的费用和（或）延误的工期。</w:t>
      </w:r>
    </w:p>
    <w:p w14:paraId="6E75A118">
      <w:pPr>
        <w:pStyle w:val="9"/>
        <w:spacing w:before="120" w:after="120" w:line="360" w:lineRule="exact"/>
        <w:ind w:firstLine="422" w:firstLineChars="200"/>
        <w:rPr>
          <w:rFonts w:hint="eastAsia" w:ascii="宋体" w:hAnsi="宋体" w:cs="宋体"/>
          <w:color w:val="auto"/>
          <w:sz w:val="21"/>
          <w:szCs w:val="21"/>
        </w:rPr>
      </w:pPr>
      <w:bookmarkStart w:id="280" w:name="_Toc351203534"/>
      <w:r>
        <w:rPr>
          <w:rFonts w:hint="eastAsia" w:ascii="宋体" w:hAnsi="宋体" w:cs="宋体"/>
          <w:color w:val="auto"/>
          <w:sz w:val="21"/>
          <w:szCs w:val="21"/>
        </w:rPr>
        <w:t>5</w:t>
      </w:r>
      <w:bookmarkStart w:id="281" w:name="_Toc337558760"/>
      <w:r>
        <w:rPr>
          <w:rFonts w:hint="eastAsia" w:ascii="宋体" w:hAnsi="宋体" w:cs="宋体"/>
          <w:color w:val="auto"/>
          <w:sz w:val="21"/>
          <w:szCs w:val="21"/>
        </w:rPr>
        <w:t>.2质量保证措施</w:t>
      </w:r>
      <w:bookmarkEnd w:id="280"/>
    </w:p>
    <w:bookmarkEnd w:id="281"/>
    <w:p w14:paraId="175E5DD9">
      <w:pPr>
        <w:autoSpaceDE w:val="0"/>
        <w:autoSpaceDN w:val="0"/>
        <w:adjustRightInd w:val="0"/>
        <w:spacing w:line="360" w:lineRule="exact"/>
        <w:ind w:firstLine="420" w:firstLineChars="200"/>
        <w:jc w:val="left"/>
        <w:outlineLvl w:val="0"/>
        <w:rPr>
          <w:rFonts w:hint="eastAsia" w:ascii="宋体" w:hAnsi="宋体" w:cs="宋体"/>
          <w:color w:val="auto"/>
          <w:kern w:val="0"/>
          <w:szCs w:val="21"/>
        </w:rPr>
      </w:pPr>
      <w:bookmarkStart w:id="282" w:name="_Toc21842"/>
      <w:bookmarkStart w:id="283" w:name="_Toc26332"/>
      <w:bookmarkStart w:id="284" w:name="_Toc9178"/>
      <w:bookmarkStart w:id="285" w:name="_Toc8691"/>
      <w:r>
        <w:rPr>
          <w:rFonts w:hint="eastAsia" w:ascii="宋体" w:hAnsi="宋体" w:cs="宋体"/>
          <w:color w:val="auto"/>
          <w:kern w:val="0"/>
          <w:szCs w:val="21"/>
        </w:rPr>
        <w:t>5.2.1 发包人的质量管理</w:t>
      </w:r>
      <w:bookmarkEnd w:id="282"/>
      <w:bookmarkEnd w:id="283"/>
      <w:bookmarkEnd w:id="284"/>
      <w:bookmarkEnd w:id="285"/>
    </w:p>
    <w:p w14:paraId="777C3BB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发包人应按照法律规定及合同约定完成与工程质量有关的各项工作。</w:t>
      </w:r>
    </w:p>
    <w:p w14:paraId="2B3ECED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5.2.2 承包人的质量管理</w:t>
      </w:r>
    </w:p>
    <w:p w14:paraId="2C80461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63B6974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承包人应对施工人员进行质量教育和技术培训，定期考核施工人员的劳动技能，严格执行施工规范和操作规程。</w:t>
      </w:r>
    </w:p>
    <w:p w14:paraId="23EDED8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3D63EB8B">
      <w:pPr>
        <w:autoSpaceDE w:val="0"/>
        <w:autoSpaceDN w:val="0"/>
        <w:adjustRightInd w:val="0"/>
        <w:spacing w:line="360" w:lineRule="exact"/>
        <w:ind w:firstLine="420" w:firstLineChars="200"/>
        <w:jc w:val="left"/>
        <w:outlineLvl w:val="0"/>
        <w:rPr>
          <w:rFonts w:hint="eastAsia" w:ascii="宋体" w:hAnsi="宋体" w:cs="宋体"/>
          <w:color w:val="auto"/>
          <w:kern w:val="0"/>
          <w:szCs w:val="21"/>
        </w:rPr>
      </w:pPr>
      <w:bookmarkStart w:id="286" w:name="_Toc21916"/>
      <w:bookmarkStart w:id="287" w:name="_Toc6871"/>
      <w:bookmarkStart w:id="288" w:name="_Toc11528"/>
      <w:bookmarkStart w:id="289" w:name="_Toc15458"/>
      <w:r>
        <w:rPr>
          <w:rFonts w:hint="eastAsia" w:ascii="宋体" w:hAnsi="宋体" w:cs="宋体"/>
          <w:color w:val="auto"/>
          <w:kern w:val="0"/>
          <w:szCs w:val="21"/>
        </w:rPr>
        <w:t>5.2.3 监理人的质量检查和检验</w:t>
      </w:r>
      <w:bookmarkEnd w:id="286"/>
      <w:bookmarkEnd w:id="287"/>
      <w:bookmarkEnd w:id="288"/>
      <w:bookmarkEnd w:id="289"/>
    </w:p>
    <w:p w14:paraId="206F253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717636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C3D8F3A">
      <w:pPr>
        <w:pStyle w:val="9"/>
        <w:spacing w:before="120" w:after="120" w:line="360" w:lineRule="exact"/>
        <w:ind w:firstLine="422" w:firstLineChars="200"/>
        <w:rPr>
          <w:rFonts w:hint="eastAsia" w:ascii="宋体" w:hAnsi="宋体" w:cs="宋体"/>
          <w:color w:val="auto"/>
          <w:sz w:val="21"/>
          <w:szCs w:val="21"/>
        </w:rPr>
      </w:pPr>
      <w:bookmarkStart w:id="290" w:name="_Toc351203535"/>
      <w:r>
        <w:rPr>
          <w:rFonts w:hint="eastAsia" w:ascii="宋体" w:hAnsi="宋体" w:cs="宋体"/>
          <w:color w:val="auto"/>
          <w:sz w:val="21"/>
          <w:szCs w:val="21"/>
        </w:rPr>
        <w:t>5</w:t>
      </w:r>
      <w:bookmarkStart w:id="291" w:name="_Toc337558761"/>
      <w:r>
        <w:rPr>
          <w:rFonts w:hint="eastAsia" w:ascii="宋体" w:hAnsi="宋体" w:cs="宋体"/>
          <w:color w:val="auto"/>
          <w:sz w:val="21"/>
          <w:szCs w:val="21"/>
        </w:rPr>
        <w:t>.3 隐蔽工程检查</w:t>
      </w:r>
      <w:bookmarkEnd w:id="290"/>
    </w:p>
    <w:bookmarkEnd w:id="291"/>
    <w:p w14:paraId="2DB95B4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5.3.1承包人自检</w:t>
      </w:r>
    </w:p>
    <w:p w14:paraId="7893EB3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承包人应当对工程隐蔽部位进行自检，并经自检确认是否具备覆盖条件。</w:t>
      </w:r>
    </w:p>
    <w:p w14:paraId="76234D5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5.3.2检查程序</w:t>
      </w:r>
    </w:p>
    <w:p w14:paraId="4A3B5B2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3C54657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6EBB8D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F7874C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5.3.3 重新检查</w:t>
      </w:r>
    </w:p>
    <w:p w14:paraId="6598883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AF0949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5.3.4 承包人私自覆盖</w:t>
      </w:r>
    </w:p>
    <w:p w14:paraId="7EB92E4E">
      <w:pPr>
        <w:spacing w:line="360" w:lineRule="exact"/>
        <w:ind w:firstLine="420" w:firstLineChars="200"/>
        <w:jc w:val="left"/>
        <w:rPr>
          <w:rFonts w:hint="eastAsia" w:ascii="宋体" w:hAnsi="宋体" w:cs="宋体"/>
          <w:color w:val="auto"/>
          <w:szCs w:val="21"/>
        </w:rPr>
      </w:pPr>
      <w:r>
        <w:rPr>
          <w:rFonts w:hint="eastAsia" w:ascii="宋体" w:hAnsi="宋体" w:cs="宋体"/>
          <w:color w:val="auto"/>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039EBC11">
      <w:pPr>
        <w:pStyle w:val="9"/>
        <w:spacing w:before="120" w:after="120" w:line="360" w:lineRule="exact"/>
        <w:ind w:firstLine="422" w:firstLineChars="200"/>
        <w:rPr>
          <w:rFonts w:hint="eastAsia" w:ascii="宋体" w:hAnsi="宋体" w:cs="宋体"/>
          <w:b w:val="0"/>
          <w:bCs w:val="0"/>
          <w:color w:val="auto"/>
          <w:sz w:val="21"/>
          <w:szCs w:val="21"/>
        </w:rPr>
      </w:pPr>
      <w:bookmarkStart w:id="292" w:name="_Toc351203536"/>
      <w:r>
        <w:rPr>
          <w:rFonts w:hint="eastAsia" w:ascii="宋体" w:hAnsi="宋体" w:cs="宋体"/>
          <w:color w:val="auto"/>
          <w:sz w:val="21"/>
          <w:szCs w:val="21"/>
        </w:rPr>
        <w:t>5</w:t>
      </w:r>
      <w:bookmarkStart w:id="293" w:name="_Toc337558762"/>
      <w:r>
        <w:rPr>
          <w:rFonts w:hint="eastAsia" w:ascii="宋体" w:hAnsi="宋体" w:cs="宋体"/>
          <w:color w:val="auto"/>
          <w:sz w:val="21"/>
          <w:szCs w:val="21"/>
        </w:rPr>
        <w:t>.4不合格工程的处理</w:t>
      </w:r>
      <w:bookmarkEnd w:id="292"/>
    </w:p>
    <w:bookmarkEnd w:id="293"/>
    <w:p w14:paraId="7EFF3AB0">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84926C0">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5.4.2 因发包人原因造成工程不合格的，由此增加的费用和（或）延误的工期由发包人承担，并支付承包人合理的利润。</w:t>
      </w:r>
    </w:p>
    <w:p w14:paraId="3C1260BD">
      <w:pPr>
        <w:pStyle w:val="9"/>
        <w:spacing w:before="120" w:after="120" w:line="360" w:lineRule="exact"/>
        <w:ind w:firstLine="422" w:firstLineChars="200"/>
        <w:rPr>
          <w:rFonts w:hint="eastAsia" w:ascii="宋体" w:hAnsi="宋体" w:cs="宋体"/>
          <w:color w:val="auto"/>
          <w:sz w:val="21"/>
          <w:szCs w:val="21"/>
        </w:rPr>
      </w:pPr>
      <w:bookmarkStart w:id="294" w:name="_Toc351203537"/>
      <w:r>
        <w:rPr>
          <w:rFonts w:hint="eastAsia" w:ascii="宋体" w:hAnsi="宋体" w:cs="宋体"/>
          <w:color w:val="auto"/>
          <w:sz w:val="21"/>
          <w:szCs w:val="21"/>
        </w:rPr>
        <w:t>5.5 质量争议检测</w:t>
      </w:r>
      <w:bookmarkEnd w:id="294"/>
    </w:p>
    <w:p w14:paraId="2AA440C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合同当事人对工程质量有争议的，由双方协商确定的工程质量检测机构鉴定，由此产生的费用及因此造成的损失，由责任方承担。</w:t>
      </w:r>
    </w:p>
    <w:p w14:paraId="21F226F5">
      <w:pPr>
        <w:autoSpaceDE w:val="0"/>
        <w:autoSpaceDN w:val="0"/>
        <w:adjustRightInd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合同当事人均有责任的，由双方根据其责任分别承担。合同当事人无法达成一致的，按照第4.4款〔商定或确定〕执行。</w:t>
      </w:r>
    </w:p>
    <w:p w14:paraId="32EB0BB6">
      <w:pPr>
        <w:pStyle w:val="8"/>
        <w:spacing w:before="120" w:after="120" w:line="360" w:lineRule="exact"/>
        <w:rPr>
          <w:rFonts w:hint="eastAsia" w:ascii="宋体" w:hAnsi="宋体" w:cs="宋体"/>
          <w:b w:val="0"/>
          <w:color w:val="auto"/>
          <w:sz w:val="21"/>
          <w:szCs w:val="21"/>
        </w:rPr>
      </w:pPr>
      <w:bookmarkStart w:id="295" w:name="_Toc351203538"/>
      <w:r>
        <w:rPr>
          <w:rFonts w:hint="eastAsia" w:ascii="宋体" w:hAnsi="宋体" w:cs="宋体"/>
          <w:bCs w:val="0"/>
          <w:color w:val="auto"/>
          <w:sz w:val="21"/>
          <w:szCs w:val="21"/>
        </w:rPr>
        <w:t>6</w:t>
      </w:r>
      <w:bookmarkStart w:id="296" w:name="_Toc337558763"/>
      <w:r>
        <w:rPr>
          <w:rFonts w:hint="eastAsia" w:ascii="宋体" w:hAnsi="宋体" w:cs="宋体"/>
          <w:bCs w:val="0"/>
          <w:color w:val="auto"/>
          <w:sz w:val="21"/>
          <w:szCs w:val="21"/>
        </w:rPr>
        <w:t>. 安全文明施工与环境保护</w:t>
      </w:r>
      <w:bookmarkEnd w:id="295"/>
    </w:p>
    <w:bookmarkEnd w:id="296"/>
    <w:p w14:paraId="354BC101">
      <w:pPr>
        <w:pStyle w:val="9"/>
        <w:spacing w:before="120" w:after="120" w:line="360" w:lineRule="exact"/>
        <w:ind w:firstLine="422" w:firstLineChars="200"/>
        <w:rPr>
          <w:rFonts w:hint="eastAsia" w:ascii="宋体" w:hAnsi="宋体" w:cs="宋体"/>
          <w:color w:val="auto"/>
          <w:sz w:val="21"/>
          <w:szCs w:val="21"/>
        </w:rPr>
      </w:pPr>
      <w:bookmarkStart w:id="297" w:name="_Toc351203539"/>
      <w:r>
        <w:rPr>
          <w:rFonts w:hint="eastAsia" w:ascii="宋体" w:hAnsi="宋体" w:cs="宋体"/>
          <w:color w:val="auto"/>
          <w:sz w:val="21"/>
          <w:szCs w:val="21"/>
        </w:rPr>
        <w:t>6</w:t>
      </w:r>
      <w:bookmarkStart w:id="298" w:name="_Toc337558764"/>
      <w:r>
        <w:rPr>
          <w:rFonts w:hint="eastAsia" w:ascii="宋体" w:hAnsi="宋体" w:cs="宋体"/>
          <w:color w:val="auto"/>
          <w:sz w:val="21"/>
          <w:szCs w:val="21"/>
        </w:rPr>
        <w:t>.1安全文明施工</w:t>
      </w:r>
      <w:bookmarkEnd w:id="297"/>
    </w:p>
    <w:bookmarkEnd w:id="298"/>
    <w:p w14:paraId="2E8EFF65">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6.1.1安全生产要求</w:t>
      </w:r>
    </w:p>
    <w:p w14:paraId="098C5CF0">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E86E524">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auto"/>
          <w:kern w:val="0"/>
          <w:szCs w:val="21"/>
        </w:rPr>
        <w:t>政府有关行政管理部门</w:t>
      </w:r>
      <w:r>
        <w:rPr>
          <w:rFonts w:hint="eastAsia" w:ascii="宋体" w:hAnsi="宋体" w:cs="宋体"/>
          <w:color w:val="auto"/>
          <w:szCs w:val="21"/>
        </w:rPr>
        <w:t>采取应急措施。</w:t>
      </w:r>
    </w:p>
    <w:p w14:paraId="325657BA">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因安全生产需要暂停施工的，按照第7.8款〔暂停施工〕的约定执行。</w:t>
      </w:r>
    </w:p>
    <w:p w14:paraId="6FCBDF97">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6.1.2 安全生产保证措施</w:t>
      </w:r>
    </w:p>
    <w:p w14:paraId="32FA12B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szCs w:val="21"/>
        </w:rPr>
        <w:t>承包人应当按照有关</w:t>
      </w:r>
      <w:r>
        <w:rPr>
          <w:rFonts w:hint="eastAsia" w:ascii="宋体" w:hAnsi="宋体" w:cs="宋体"/>
          <w:color w:val="auto"/>
          <w:kern w:val="0"/>
          <w:szCs w:val="21"/>
        </w:rPr>
        <w:t>规定编制安全技术措施或者专项施工方案，</w:t>
      </w:r>
      <w:r>
        <w:rPr>
          <w:rFonts w:hint="eastAsia" w:ascii="宋体" w:hAnsi="宋体" w:cs="宋体"/>
          <w:color w:val="auto"/>
          <w:szCs w:val="21"/>
        </w:rPr>
        <w:t>建立安全生产责任制度、治安保卫制度及安全生产教育培训制度，并</w:t>
      </w:r>
      <w:r>
        <w:rPr>
          <w:rFonts w:hint="eastAsia" w:ascii="宋体" w:hAnsi="宋体" w:cs="宋体"/>
          <w:color w:val="auto"/>
          <w:kern w:val="0"/>
          <w:szCs w:val="21"/>
        </w:rPr>
        <w:t>按安全生产法律规定及合同约定履行安全职责，如实</w:t>
      </w:r>
      <w:r>
        <w:rPr>
          <w:rFonts w:hint="eastAsia" w:ascii="宋体" w:hAnsi="宋体" w:cs="宋体"/>
          <w:color w:val="auto"/>
          <w:szCs w:val="21"/>
        </w:rPr>
        <w:t>编制工程安全生产的有关记录，</w:t>
      </w:r>
      <w:r>
        <w:rPr>
          <w:rFonts w:hint="eastAsia" w:ascii="宋体" w:hAnsi="宋体" w:cs="宋体"/>
          <w:color w:val="auto"/>
          <w:kern w:val="0"/>
          <w:szCs w:val="21"/>
        </w:rPr>
        <w:t>接受发包人、监理人及政府安全监督部门的检查与监督。</w:t>
      </w:r>
    </w:p>
    <w:p w14:paraId="143A5081">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6.1.3特别安全生产事项</w:t>
      </w:r>
    </w:p>
    <w:p w14:paraId="6A47889A">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1F87E2A">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 xml:space="preserve">承包人在动力设备、输电线路、地下管道、密封防震车间、易燃易爆地段以及临街交通要道附近施工时，施工开始前应向发包人和监理人提出安全防护措施，经发包人认可后实施。 </w:t>
      </w:r>
    </w:p>
    <w:p w14:paraId="31D4A148">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0EEEB2EF">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需单独编制危险性较大分部分项专项工程施工方案的，及要求进行专家论证的超过一定规模的危险性较大的分部分项工程，承包人应及时编制和组织论证。</w:t>
      </w:r>
    </w:p>
    <w:p w14:paraId="383B08C1">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6.1.4 治安保卫</w:t>
      </w:r>
    </w:p>
    <w:p w14:paraId="37DB62E8">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除专用合同条款另有约定外，发包人应与当地公安部门协商，在现场建立治安管理机构或联防组织，统一管理施工场地的治安保卫事项，履行合同工程的治安保卫职责。</w:t>
      </w:r>
    </w:p>
    <w:p w14:paraId="29381F19">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发包人和承包人除应协助现场治安管理机构或联防组织维护施工场地的社会治安外，还应做好包括生活区在内的各自管辖区的治安保卫工作。</w:t>
      </w:r>
    </w:p>
    <w:p w14:paraId="2C6E174C">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11F07DD">
      <w:pPr>
        <w:spacing w:line="360" w:lineRule="exact"/>
        <w:ind w:firstLine="420" w:firstLineChars="200"/>
        <w:rPr>
          <w:rFonts w:hint="eastAsia" w:ascii="宋体" w:hAnsi="宋体" w:cs="宋体"/>
          <w:color w:val="auto"/>
          <w:kern w:val="0"/>
          <w:szCs w:val="21"/>
        </w:rPr>
      </w:pPr>
      <w:r>
        <w:rPr>
          <w:rFonts w:hint="eastAsia" w:ascii="宋体" w:hAnsi="宋体" w:cs="宋体"/>
          <w:color w:val="auto"/>
          <w:szCs w:val="21"/>
        </w:rPr>
        <w:t>6.1.5 文明施工</w:t>
      </w:r>
    </w:p>
    <w:p w14:paraId="351191A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FDF9D1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866372A">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6.1.6 安全文明施工费</w:t>
      </w:r>
    </w:p>
    <w:p w14:paraId="379DF5F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安全文明施工费由发包人承担，发包人不得以任何形式扣减该部分费用。因基准日期后合同所适用的法律或政府有关规定发生变化，增加的安全文明施工费由发包人承担。</w:t>
      </w:r>
    </w:p>
    <w:p w14:paraId="335D649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ADF332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BFD8F6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528675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6.1.7 紧急情况处理</w:t>
      </w:r>
    </w:p>
    <w:p w14:paraId="374387B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D8019C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6.1.8 事故处理</w:t>
      </w:r>
    </w:p>
    <w:p w14:paraId="0EDFC09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D13282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6.1.9 安全生产责任</w:t>
      </w:r>
    </w:p>
    <w:p w14:paraId="1236CEF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6.1.9.1 发包人的安全责任</w:t>
      </w:r>
    </w:p>
    <w:p w14:paraId="1B927BD5">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发包人应负责赔偿以下各种情况造成的损失：</w:t>
      </w:r>
    </w:p>
    <w:p w14:paraId="09B06F32">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（1）工程或工程的任何部分对土地的占用所造成的第三者财产损失；</w:t>
      </w:r>
    </w:p>
    <w:p w14:paraId="1C4EDFF0">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（2）由于发包人原因在施工场地及其毗邻地带造成的第三者人身伤亡和财产损失；</w:t>
      </w:r>
    </w:p>
    <w:p w14:paraId="56706A8E">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（3）由于发包人原因对承包人、监理人造成的人员人身伤亡和财产损失；</w:t>
      </w:r>
    </w:p>
    <w:p w14:paraId="6BE63DE3">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（4）由于发包人原因造成的发包人自身人员的人身伤害以及财产损失。</w:t>
      </w:r>
    </w:p>
    <w:p w14:paraId="0F6B609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6.1.9.2 承包人的安全责任</w:t>
      </w:r>
    </w:p>
    <w:p w14:paraId="0E1E1392">
      <w:pPr>
        <w:spacing w:line="360" w:lineRule="exact"/>
        <w:ind w:firstLine="420" w:firstLineChars="200"/>
        <w:rPr>
          <w:rFonts w:hint="eastAsia" w:ascii="宋体" w:hAnsi="宋体" w:cs="宋体"/>
          <w:color w:val="auto"/>
          <w:kern w:val="0"/>
          <w:szCs w:val="21"/>
        </w:rPr>
      </w:pPr>
      <w:r>
        <w:rPr>
          <w:rFonts w:hint="eastAsia" w:ascii="宋体" w:hAnsi="宋体" w:cs="宋体"/>
          <w:color w:val="auto"/>
          <w:szCs w:val="21"/>
        </w:rPr>
        <w:t>由于承包人原因在施工场地内及其毗邻地带造成的发包人、监理人以及第三者人员伤亡和财产损失，由承包人负责赔偿。</w:t>
      </w:r>
    </w:p>
    <w:p w14:paraId="10DE1C8A">
      <w:pPr>
        <w:pStyle w:val="9"/>
        <w:spacing w:before="120" w:after="120" w:line="360" w:lineRule="exact"/>
        <w:ind w:firstLine="422" w:firstLineChars="200"/>
        <w:rPr>
          <w:rFonts w:hint="eastAsia" w:ascii="宋体" w:hAnsi="宋体" w:cs="宋体"/>
          <w:color w:val="auto"/>
          <w:sz w:val="21"/>
          <w:szCs w:val="21"/>
        </w:rPr>
      </w:pPr>
      <w:bookmarkStart w:id="299" w:name="_Toc351203540"/>
      <w:r>
        <w:rPr>
          <w:rFonts w:hint="eastAsia" w:ascii="宋体" w:hAnsi="宋体" w:cs="宋体"/>
          <w:color w:val="auto"/>
          <w:sz w:val="21"/>
          <w:szCs w:val="21"/>
        </w:rPr>
        <w:t>6</w:t>
      </w:r>
      <w:bookmarkStart w:id="300" w:name="_Toc337558765"/>
      <w:r>
        <w:rPr>
          <w:rFonts w:hint="eastAsia" w:ascii="宋体" w:hAnsi="宋体" w:cs="宋体"/>
          <w:color w:val="auto"/>
          <w:sz w:val="21"/>
          <w:szCs w:val="21"/>
        </w:rPr>
        <w:t>.2 职业健康</w:t>
      </w:r>
      <w:bookmarkEnd w:id="299"/>
    </w:p>
    <w:bookmarkEnd w:id="300"/>
    <w:p w14:paraId="3412163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6.2.1 劳动保护</w:t>
      </w:r>
    </w:p>
    <w:p w14:paraId="303B581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1F9078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67CAAB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3463587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6.2.2 生活条件</w:t>
      </w:r>
    </w:p>
    <w:p w14:paraId="1D5884E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119FEF4C">
      <w:pPr>
        <w:pStyle w:val="9"/>
        <w:spacing w:before="120" w:after="120" w:line="360" w:lineRule="exact"/>
        <w:ind w:firstLine="422" w:firstLineChars="200"/>
        <w:rPr>
          <w:rFonts w:hint="eastAsia" w:ascii="宋体" w:hAnsi="宋体" w:cs="宋体"/>
          <w:b w:val="0"/>
          <w:bCs w:val="0"/>
          <w:color w:val="auto"/>
          <w:sz w:val="21"/>
          <w:szCs w:val="21"/>
        </w:rPr>
      </w:pPr>
      <w:bookmarkStart w:id="301" w:name="_Toc351203541"/>
      <w:r>
        <w:rPr>
          <w:rFonts w:hint="eastAsia" w:ascii="宋体" w:hAnsi="宋体" w:cs="宋体"/>
          <w:color w:val="auto"/>
          <w:sz w:val="21"/>
          <w:szCs w:val="21"/>
        </w:rPr>
        <w:t>6</w:t>
      </w:r>
      <w:bookmarkStart w:id="302" w:name="_Toc337558766"/>
      <w:r>
        <w:rPr>
          <w:rFonts w:hint="eastAsia" w:ascii="宋体" w:hAnsi="宋体" w:cs="宋体"/>
          <w:color w:val="auto"/>
          <w:sz w:val="21"/>
          <w:szCs w:val="21"/>
        </w:rPr>
        <w:t>.3 环境保护</w:t>
      </w:r>
      <w:bookmarkEnd w:id="301"/>
    </w:p>
    <w:bookmarkEnd w:id="302"/>
    <w:p w14:paraId="6F8747F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B20723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承包人应当承担因其原因引起的环境污染侵权损害赔偿责任，因上述环境污染引起纠纷而导致暂停施工的，由此增加的费用和（或）延误的工期由承包人承担。</w:t>
      </w:r>
    </w:p>
    <w:p w14:paraId="79459ACE">
      <w:pPr>
        <w:pStyle w:val="8"/>
        <w:spacing w:before="120" w:after="120" w:line="360" w:lineRule="exact"/>
        <w:rPr>
          <w:rFonts w:hint="eastAsia" w:ascii="宋体" w:hAnsi="宋体" w:cs="宋体"/>
          <w:bCs w:val="0"/>
          <w:color w:val="auto"/>
          <w:sz w:val="21"/>
          <w:szCs w:val="21"/>
        </w:rPr>
      </w:pPr>
      <w:bookmarkStart w:id="303" w:name="_Toc351203542"/>
      <w:r>
        <w:rPr>
          <w:rFonts w:hint="eastAsia" w:ascii="宋体" w:hAnsi="宋体" w:cs="宋体"/>
          <w:bCs w:val="0"/>
          <w:color w:val="auto"/>
          <w:sz w:val="21"/>
          <w:szCs w:val="21"/>
        </w:rPr>
        <w:t>7</w:t>
      </w:r>
      <w:bookmarkStart w:id="304" w:name="_Toc337558767"/>
      <w:r>
        <w:rPr>
          <w:rFonts w:hint="eastAsia" w:ascii="宋体" w:hAnsi="宋体" w:cs="宋体"/>
          <w:bCs w:val="0"/>
          <w:color w:val="auto"/>
          <w:sz w:val="21"/>
          <w:szCs w:val="21"/>
        </w:rPr>
        <w:t>. 工期和进度</w:t>
      </w:r>
      <w:bookmarkEnd w:id="303"/>
    </w:p>
    <w:bookmarkEnd w:id="304"/>
    <w:p w14:paraId="1D4A0668">
      <w:pPr>
        <w:pStyle w:val="9"/>
        <w:spacing w:before="120" w:after="120" w:line="360" w:lineRule="exact"/>
        <w:ind w:firstLine="422" w:firstLineChars="200"/>
        <w:rPr>
          <w:rFonts w:hint="eastAsia" w:ascii="宋体" w:hAnsi="宋体" w:cs="宋体"/>
          <w:color w:val="auto"/>
          <w:sz w:val="21"/>
          <w:szCs w:val="21"/>
        </w:rPr>
      </w:pPr>
      <w:bookmarkStart w:id="305" w:name="_Toc351203543"/>
      <w:r>
        <w:rPr>
          <w:rFonts w:hint="eastAsia" w:ascii="宋体" w:hAnsi="宋体" w:cs="宋体"/>
          <w:color w:val="auto"/>
          <w:sz w:val="21"/>
          <w:szCs w:val="21"/>
        </w:rPr>
        <w:t>7</w:t>
      </w:r>
      <w:bookmarkStart w:id="306" w:name="_Toc337558768"/>
      <w:bookmarkStart w:id="307" w:name="_Toc296346567"/>
      <w:bookmarkStart w:id="308" w:name="_Toc296503066"/>
      <w:r>
        <w:rPr>
          <w:rFonts w:hint="eastAsia" w:ascii="宋体" w:hAnsi="宋体" w:cs="宋体"/>
          <w:color w:val="auto"/>
          <w:sz w:val="21"/>
          <w:szCs w:val="21"/>
        </w:rPr>
        <w:t>.1施工组织设计</w:t>
      </w:r>
      <w:bookmarkEnd w:id="305"/>
    </w:p>
    <w:bookmarkEnd w:id="306"/>
    <w:p w14:paraId="5D4E29C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szCs w:val="21"/>
        </w:rPr>
        <w:t xml:space="preserve">7.1.1 </w:t>
      </w:r>
      <w:r>
        <w:rPr>
          <w:rFonts w:hint="eastAsia" w:ascii="宋体" w:hAnsi="宋体" w:cs="宋体"/>
          <w:color w:val="auto"/>
          <w:kern w:val="0"/>
          <w:szCs w:val="21"/>
        </w:rPr>
        <w:t>施工组织设计的内容</w:t>
      </w:r>
    </w:p>
    <w:p w14:paraId="554E925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施工组织设计应包含以下内容：</w:t>
      </w:r>
    </w:p>
    <w:p w14:paraId="038A6D9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（1）施工方案； </w:t>
      </w:r>
    </w:p>
    <w:p w14:paraId="2BC4CEB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（2）施工现场平面布置图；</w:t>
      </w:r>
    </w:p>
    <w:p w14:paraId="50AA2D4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（3）施工进度计划和保证措施； </w:t>
      </w:r>
    </w:p>
    <w:p w14:paraId="1695859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（4）劳动力及材料供应计划；</w:t>
      </w:r>
    </w:p>
    <w:p w14:paraId="3887488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（5）施工机械设备的选用；</w:t>
      </w:r>
    </w:p>
    <w:p w14:paraId="074BCD9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（6）质量保证体系及措施；</w:t>
      </w:r>
    </w:p>
    <w:p w14:paraId="3FFA0C0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（7）安全生产、文明施工措施；</w:t>
      </w:r>
    </w:p>
    <w:p w14:paraId="3BD5C3C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（8）环境保护、成本控制措施；</w:t>
      </w:r>
    </w:p>
    <w:p w14:paraId="1A82899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（9）合同当事人约定的其他内容。</w:t>
      </w:r>
    </w:p>
    <w:p w14:paraId="22076B8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szCs w:val="21"/>
        </w:rPr>
        <w:t xml:space="preserve">7.1.2 </w:t>
      </w:r>
      <w:r>
        <w:rPr>
          <w:rFonts w:hint="eastAsia" w:ascii="宋体" w:hAnsi="宋体" w:cs="宋体"/>
          <w:color w:val="auto"/>
          <w:kern w:val="0"/>
          <w:szCs w:val="21"/>
        </w:rPr>
        <w:t>施工组织设计的提交和修改</w:t>
      </w:r>
    </w:p>
    <w:p w14:paraId="3A25E66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B7F355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施工进度计划的编制和修改按照第7.2款〔施工进度计划〕执行。</w:t>
      </w:r>
    </w:p>
    <w:p w14:paraId="058BA05D">
      <w:pPr>
        <w:pStyle w:val="9"/>
        <w:spacing w:before="120" w:after="120" w:line="360" w:lineRule="exact"/>
        <w:ind w:firstLine="422" w:firstLineChars="200"/>
        <w:rPr>
          <w:rFonts w:hint="eastAsia" w:ascii="宋体" w:hAnsi="宋体" w:cs="宋体"/>
          <w:color w:val="auto"/>
          <w:sz w:val="21"/>
          <w:szCs w:val="21"/>
        </w:rPr>
      </w:pPr>
      <w:bookmarkStart w:id="309" w:name="_Toc351203544"/>
      <w:r>
        <w:rPr>
          <w:rFonts w:hint="eastAsia" w:ascii="宋体" w:hAnsi="宋体" w:cs="宋体"/>
          <w:color w:val="auto"/>
          <w:sz w:val="21"/>
          <w:szCs w:val="21"/>
        </w:rPr>
        <w:t>7</w:t>
      </w:r>
      <w:bookmarkStart w:id="310" w:name="_Toc337558769"/>
      <w:r>
        <w:rPr>
          <w:rFonts w:hint="eastAsia" w:ascii="宋体" w:hAnsi="宋体" w:cs="宋体"/>
          <w:color w:val="auto"/>
          <w:sz w:val="21"/>
          <w:szCs w:val="21"/>
        </w:rPr>
        <w:t>.2 施工进度计划</w:t>
      </w:r>
      <w:bookmarkEnd w:id="309"/>
    </w:p>
    <w:bookmarkEnd w:id="310"/>
    <w:p w14:paraId="635B323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7.2.1 施工进度计划的编制</w:t>
      </w:r>
    </w:p>
    <w:p w14:paraId="2BB0058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FEC4F0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szCs w:val="21"/>
        </w:rPr>
        <w:t>7.2.2 施工进度计划的修订</w:t>
      </w:r>
    </w:p>
    <w:p w14:paraId="09BA4C5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D31A014">
      <w:pPr>
        <w:pStyle w:val="9"/>
        <w:spacing w:before="120" w:after="120" w:line="360" w:lineRule="exact"/>
        <w:ind w:firstLine="422" w:firstLineChars="200"/>
        <w:rPr>
          <w:rFonts w:hint="eastAsia" w:ascii="宋体" w:hAnsi="宋体" w:cs="宋体"/>
          <w:color w:val="auto"/>
          <w:sz w:val="21"/>
          <w:szCs w:val="21"/>
        </w:rPr>
      </w:pPr>
      <w:bookmarkStart w:id="311" w:name="_Toc351203545"/>
      <w:r>
        <w:rPr>
          <w:rFonts w:hint="eastAsia" w:ascii="宋体" w:hAnsi="宋体" w:cs="宋体"/>
          <w:color w:val="auto"/>
          <w:sz w:val="21"/>
          <w:szCs w:val="21"/>
        </w:rPr>
        <w:t>7</w:t>
      </w:r>
      <w:bookmarkStart w:id="312" w:name="_Toc337558770"/>
      <w:r>
        <w:rPr>
          <w:rFonts w:hint="eastAsia" w:ascii="宋体" w:hAnsi="宋体" w:cs="宋体"/>
          <w:color w:val="auto"/>
          <w:sz w:val="21"/>
          <w:szCs w:val="21"/>
        </w:rPr>
        <w:t>.3 开工</w:t>
      </w:r>
      <w:bookmarkEnd w:id="311"/>
    </w:p>
    <w:p w14:paraId="51E695E2">
      <w:pPr>
        <w:spacing w:line="360" w:lineRule="exact"/>
        <w:ind w:firstLine="420" w:firstLineChars="200"/>
        <w:rPr>
          <w:rFonts w:hint="eastAsia" w:ascii="宋体" w:hAnsi="宋体" w:cs="宋体"/>
          <w:color w:val="auto"/>
          <w:szCs w:val="21"/>
        </w:rPr>
      </w:pPr>
      <w:r>
        <w:rPr>
          <w:rFonts w:hint="eastAsia" w:ascii="宋体" w:hAnsi="宋体" w:cs="宋体"/>
          <w:color w:val="auto"/>
          <w:kern w:val="0"/>
          <w:szCs w:val="21"/>
        </w:rPr>
        <w:t>7.3.1 开工准备</w:t>
      </w:r>
    </w:p>
    <w:p w14:paraId="7852BE3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0EF503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除专用合同条款另有约定外，合同当事人应按约定完成开工准备工作。</w:t>
      </w:r>
    </w:p>
    <w:p w14:paraId="7162043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7.3.2 开工通知</w:t>
      </w:r>
    </w:p>
    <w:bookmarkEnd w:id="312"/>
    <w:p w14:paraId="32C29C7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55DC94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011DCB4">
      <w:pPr>
        <w:pStyle w:val="9"/>
        <w:spacing w:before="120" w:after="120" w:line="360" w:lineRule="exact"/>
        <w:ind w:firstLine="422" w:firstLineChars="200"/>
        <w:rPr>
          <w:rFonts w:hint="eastAsia" w:ascii="宋体" w:hAnsi="宋体" w:cs="宋体"/>
          <w:b w:val="0"/>
          <w:bCs w:val="0"/>
          <w:color w:val="auto"/>
          <w:sz w:val="21"/>
          <w:szCs w:val="21"/>
        </w:rPr>
      </w:pPr>
      <w:bookmarkStart w:id="313" w:name="_Toc351203546"/>
      <w:r>
        <w:rPr>
          <w:rFonts w:hint="eastAsia" w:ascii="宋体" w:hAnsi="宋体" w:cs="宋体"/>
          <w:color w:val="auto"/>
          <w:sz w:val="21"/>
          <w:szCs w:val="21"/>
        </w:rPr>
        <w:t>7.4测量放线</w:t>
      </w:r>
      <w:bookmarkEnd w:id="313"/>
    </w:p>
    <w:p w14:paraId="46ADEDD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D0B15B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7DB48F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E54E90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施工过程中对施工现场内水准点等测量标志物的保护工作由承包人负责。</w:t>
      </w:r>
      <w:bookmarkStart w:id="314" w:name="_Toc351203547"/>
    </w:p>
    <w:p w14:paraId="195680D6">
      <w:pPr>
        <w:pStyle w:val="9"/>
        <w:spacing w:before="120" w:after="120" w:line="360" w:lineRule="exact"/>
        <w:ind w:firstLine="422" w:firstLineChars="200"/>
        <w:rPr>
          <w:rFonts w:hint="eastAsia" w:ascii="宋体" w:hAnsi="宋体" w:cs="宋体"/>
          <w:b w:val="0"/>
          <w:bCs w:val="0"/>
          <w:color w:val="auto"/>
          <w:sz w:val="21"/>
          <w:szCs w:val="21"/>
        </w:rPr>
      </w:pPr>
      <w:r>
        <w:rPr>
          <w:rFonts w:hint="eastAsia" w:ascii="宋体" w:hAnsi="宋体" w:cs="宋体"/>
          <w:color w:val="auto"/>
          <w:sz w:val="21"/>
          <w:szCs w:val="21"/>
        </w:rPr>
        <w:t>7</w:t>
      </w:r>
      <w:bookmarkEnd w:id="307"/>
      <w:bookmarkEnd w:id="308"/>
      <w:bookmarkStart w:id="315" w:name="_Toc337558772"/>
      <w:bookmarkStart w:id="316" w:name="_Toc296503073"/>
      <w:bookmarkStart w:id="317" w:name="_Toc296346574"/>
      <w:r>
        <w:rPr>
          <w:rFonts w:hint="eastAsia" w:ascii="宋体" w:hAnsi="宋体" w:cs="宋体"/>
          <w:color w:val="auto"/>
          <w:sz w:val="21"/>
          <w:szCs w:val="21"/>
        </w:rPr>
        <w:t>.5 工期延误</w:t>
      </w:r>
      <w:bookmarkEnd w:id="314"/>
    </w:p>
    <w:bookmarkEnd w:id="315"/>
    <w:bookmarkEnd w:id="316"/>
    <w:bookmarkEnd w:id="317"/>
    <w:p w14:paraId="64DFE76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7.5.1 因发包人原因导致工期延误</w:t>
      </w:r>
    </w:p>
    <w:p w14:paraId="262CDE4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在合同履行过程中，因下列情况导致工期延误和（或）费用增加的，由发包人承担由此延误的工期和（或）增加的费用，且发包人应支付承包人合理的利润： </w:t>
      </w:r>
    </w:p>
    <w:p w14:paraId="4E9A09F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（1）发包人未能按合同约定提供图纸或所提供图纸不符合合同约定的；</w:t>
      </w:r>
    </w:p>
    <w:p w14:paraId="7C57EB8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（2）发包人未能按合同约定提供施工现场、施工条件、基础资料、许可、批准等开工条件的；</w:t>
      </w:r>
    </w:p>
    <w:p w14:paraId="2C8F8E7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（3）发包人提供的测量基准点、基准线和水准点及其书面资料存在错误或疏漏的；</w:t>
      </w:r>
    </w:p>
    <w:p w14:paraId="3B123F88">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（4）发包人未能在计划开工日期之日起7天内同意下达开工通知的；</w:t>
      </w:r>
    </w:p>
    <w:p w14:paraId="308A774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（5）发包人未能按合同约定日期支付工程预付款、进度款或竣工结算款的；</w:t>
      </w:r>
    </w:p>
    <w:p w14:paraId="36E69F8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（6）监理人未按合同约定发出指示、批准等文件的；</w:t>
      </w:r>
    </w:p>
    <w:p w14:paraId="385FD9F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（7）专用合同条款中约定的其他情形。</w:t>
      </w:r>
    </w:p>
    <w:p w14:paraId="716493E8">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F22FEC8">
      <w:pPr>
        <w:autoSpaceDE w:val="0"/>
        <w:autoSpaceDN w:val="0"/>
        <w:adjustRightInd w:val="0"/>
        <w:spacing w:line="360" w:lineRule="exact"/>
        <w:ind w:firstLine="420" w:firstLineChars="200"/>
        <w:jc w:val="left"/>
        <w:rPr>
          <w:rFonts w:hint="eastAsia" w:ascii="宋体" w:hAnsi="宋体" w:cs="宋体"/>
          <w:color w:val="auto"/>
          <w:szCs w:val="21"/>
        </w:rPr>
      </w:pPr>
      <w:r>
        <w:rPr>
          <w:rFonts w:hint="eastAsia" w:ascii="宋体" w:hAnsi="宋体" w:cs="宋体"/>
          <w:color w:val="auto"/>
          <w:kern w:val="0"/>
          <w:szCs w:val="21"/>
        </w:rPr>
        <w:t>7.5.2 因承包人原因导致工期延误</w:t>
      </w:r>
    </w:p>
    <w:p w14:paraId="2B6E537B">
      <w:pPr>
        <w:autoSpaceDE w:val="0"/>
        <w:autoSpaceDN w:val="0"/>
        <w:adjustRightInd w:val="0"/>
        <w:spacing w:line="360" w:lineRule="exact"/>
        <w:ind w:firstLine="420" w:firstLineChars="200"/>
        <w:jc w:val="left"/>
        <w:rPr>
          <w:rFonts w:hint="eastAsia" w:ascii="宋体" w:hAnsi="宋体" w:cs="宋体"/>
          <w:color w:val="auto"/>
          <w:kern w:val="0"/>
          <w:szCs w:val="21"/>
        </w:rPr>
      </w:pPr>
      <w:bookmarkStart w:id="318" w:name="_Toc296346577"/>
      <w:bookmarkStart w:id="319" w:name="_Toc296503076"/>
      <w:r>
        <w:rPr>
          <w:rFonts w:hint="eastAsia" w:ascii="宋体" w:hAnsi="宋体" w:cs="宋体"/>
          <w:color w:val="auto"/>
          <w:kern w:val="0"/>
          <w:szCs w:val="21"/>
        </w:rPr>
        <w:t>因</w:t>
      </w:r>
      <w:bookmarkEnd w:id="318"/>
      <w:bookmarkEnd w:id="319"/>
      <w:r>
        <w:rPr>
          <w:rFonts w:hint="eastAsia" w:ascii="宋体" w:hAnsi="宋体" w:cs="宋体"/>
          <w:color w:val="auto"/>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02C0954D">
      <w:pPr>
        <w:pStyle w:val="9"/>
        <w:spacing w:before="120" w:after="120" w:line="360" w:lineRule="exact"/>
        <w:ind w:firstLine="422" w:firstLineChars="200"/>
        <w:rPr>
          <w:rFonts w:hint="eastAsia" w:ascii="宋体" w:hAnsi="宋体" w:cs="宋体"/>
          <w:b w:val="0"/>
          <w:bCs w:val="0"/>
          <w:color w:val="auto"/>
          <w:sz w:val="21"/>
          <w:szCs w:val="21"/>
        </w:rPr>
      </w:pPr>
      <w:bookmarkStart w:id="320" w:name="_Toc351203548"/>
      <w:r>
        <w:rPr>
          <w:rFonts w:hint="eastAsia" w:ascii="宋体" w:hAnsi="宋体" w:cs="宋体"/>
          <w:color w:val="auto"/>
          <w:sz w:val="21"/>
          <w:szCs w:val="21"/>
        </w:rPr>
        <w:t>7</w:t>
      </w:r>
      <w:bookmarkStart w:id="321" w:name="_Toc296346575"/>
      <w:bookmarkStart w:id="322" w:name="_Toc296503074"/>
      <w:bookmarkStart w:id="323" w:name="_Toc337558773"/>
      <w:bookmarkStart w:id="324" w:name="_Toc296503077"/>
      <w:bookmarkStart w:id="325" w:name="_Toc296346578"/>
      <w:r>
        <w:rPr>
          <w:rFonts w:hint="eastAsia" w:ascii="宋体" w:hAnsi="宋体" w:cs="宋体"/>
          <w:color w:val="auto"/>
          <w:sz w:val="21"/>
          <w:szCs w:val="21"/>
        </w:rPr>
        <w:t>.6 不利物质条件</w:t>
      </w:r>
      <w:bookmarkEnd w:id="320"/>
    </w:p>
    <w:bookmarkEnd w:id="321"/>
    <w:bookmarkEnd w:id="322"/>
    <w:bookmarkEnd w:id="323"/>
    <w:p w14:paraId="504B4CF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3E6250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13404A3">
      <w:pPr>
        <w:pStyle w:val="9"/>
        <w:spacing w:before="120" w:after="120" w:line="360" w:lineRule="exact"/>
        <w:ind w:firstLine="422" w:firstLineChars="200"/>
        <w:rPr>
          <w:rFonts w:hint="eastAsia" w:ascii="宋体" w:hAnsi="宋体" w:cs="宋体"/>
          <w:color w:val="auto"/>
          <w:sz w:val="21"/>
          <w:szCs w:val="21"/>
        </w:rPr>
      </w:pPr>
      <w:bookmarkStart w:id="326" w:name="_Toc351203549"/>
      <w:r>
        <w:rPr>
          <w:rFonts w:hint="eastAsia" w:ascii="宋体" w:hAnsi="宋体" w:cs="宋体"/>
          <w:color w:val="auto"/>
          <w:sz w:val="21"/>
          <w:szCs w:val="21"/>
        </w:rPr>
        <w:t>7</w:t>
      </w:r>
      <w:bookmarkStart w:id="327" w:name="_Toc296503075"/>
      <w:bookmarkStart w:id="328" w:name="_Toc296346576"/>
      <w:bookmarkStart w:id="329" w:name="_Toc337558774"/>
      <w:r>
        <w:rPr>
          <w:rFonts w:hint="eastAsia" w:ascii="宋体" w:hAnsi="宋体" w:cs="宋体"/>
          <w:color w:val="auto"/>
          <w:sz w:val="21"/>
          <w:szCs w:val="21"/>
        </w:rPr>
        <w:t>.7 异常恶劣的气候条件</w:t>
      </w:r>
      <w:bookmarkEnd w:id="326"/>
    </w:p>
    <w:bookmarkEnd w:id="327"/>
    <w:bookmarkEnd w:id="328"/>
    <w:bookmarkEnd w:id="329"/>
    <w:p w14:paraId="0DCC29D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9B7BAD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30" w:name="_Toc351203550"/>
    </w:p>
    <w:p w14:paraId="014A7866">
      <w:pPr>
        <w:autoSpaceDE w:val="0"/>
        <w:autoSpaceDN w:val="0"/>
        <w:adjustRightInd w:val="0"/>
        <w:spacing w:line="360" w:lineRule="exact"/>
        <w:ind w:firstLine="422" w:firstLineChars="200"/>
        <w:jc w:val="left"/>
        <w:outlineLvl w:val="0"/>
        <w:rPr>
          <w:rFonts w:hint="eastAsia" w:ascii="宋体" w:hAnsi="宋体" w:cs="宋体"/>
          <w:b/>
          <w:color w:val="auto"/>
          <w:szCs w:val="21"/>
        </w:rPr>
      </w:pPr>
      <w:bookmarkStart w:id="331" w:name="_Toc28006"/>
      <w:bookmarkStart w:id="332" w:name="_Toc24942"/>
      <w:bookmarkStart w:id="333" w:name="_Toc20868"/>
      <w:bookmarkStart w:id="334" w:name="_Toc11652"/>
      <w:r>
        <w:rPr>
          <w:rFonts w:hint="eastAsia" w:ascii="宋体" w:hAnsi="宋体" w:cs="宋体"/>
          <w:b/>
          <w:color w:val="auto"/>
          <w:szCs w:val="21"/>
        </w:rPr>
        <w:t>7</w:t>
      </w:r>
      <w:bookmarkStart w:id="335" w:name="_Toc337558775"/>
      <w:r>
        <w:rPr>
          <w:rFonts w:hint="eastAsia" w:ascii="宋体" w:hAnsi="宋体" w:cs="宋体"/>
          <w:b/>
          <w:color w:val="auto"/>
          <w:szCs w:val="21"/>
        </w:rPr>
        <w:t>.8 暂停施工</w:t>
      </w:r>
      <w:bookmarkEnd w:id="330"/>
      <w:bookmarkEnd w:id="331"/>
      <w:bookmarkEnd w:id="332"/>
      <w:bookmarkEnd w:id="333"/>
      <w:bookmarkEnd w:id="334"/>
    </w:p>
    <w:bookmarkEnd w:id="324"/>
    <w:bookmarkEnd w:id="325"/>
    <w:bookmarkEnd w:id="335"/>
    <w:p w14:paraId="6E344AA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7.8.1发包人原因引起的暂停施工</w:t>
      </w:r>
    </w:p>
    <w:p w14:paraId="0A504D3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因发包人原因引起暂停施工的，监理人经发包人同意后，应及时下达暂停施工指示。情况紧急且监理人未及时下达暂停施工指示的，按照第7.8.4项〔紧急情况下的暂停施工〕执行。</w:t>
      </w:r>
    </w:p>
    <w:p w14:paraId="42DBE6F0">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因发包人原因引起的暂停施工，发包人应承担由此增加的费用和（或）延误的工期，并支付承包人合理的利润。</w:t>
      </w:r>
    </w:p>
    <w:p w14:paraId="20315AD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7.8.2 承包人原因引起的暂停施工</w:t>
      </w:r>
    </w:p>
    <w:p w14:paraId="77E2989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025E02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7.8.3 指示暂停施工</w:t>
      </w:r>
    </w:p>
    <w:p w14:paraId="69579970">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监理人认为有必要时，并经发包人批准后，可向承包人作出暂停施工的指示，承包人应按监理人指示暂停施工。</w:t>
      </w:r>
    </w:p>
    <w:p w14:paraId="456A6E10">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7.8.4 紧急情况下的暂停施工</w:t>
      </w:r>
    </w:p>
    <w:p w14:paraId="789EF5E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2160DE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7.8.5 暂停施工后的复工</w:t>
      </w:r>
    </w:p>
    <w:p w14:paraId="0CA97E50">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8C01DB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承包人无故拖延和拒绝复工的，承包人承担由此增加的费用和（或）延误的工期；因发包人原因无法按时复工的，按照第7.5.1项〔因发包人原因导致工期延误〕约定办理。</w:t>
      </w:r>
    </w:p>
    <w:p w14:paraId="0D4FA13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7.8.6 暂停施工持续56天以上</w:t>
      </w:r>
    </w:p>
    <w:p w14:paraId="1BADA16A">
      <w:pPr>
        <w:spacing w:line="360" w:lineRule="exact"/>
        <w:ind w:firstLine="409" w:firstLineChars="195"/>
        <w:jc w:val="left"/>
        <w:rPr>
          <w:rFonts w:hint="eastAsia" w:ascii="宋体" w:hAnsi="宋体" w:cs="宋体"/>
          <w:color w:val="auto"/>
          <w:kern w:val="0"/>
          <w:szCs w:val="21"/>
        </w:rPr>
      </w:pPr>
      <w:r>
        <w:rPr>
          <w:rFonts w:hint="eastAsia" w:ascii="宋体" w:hAnsi="宋体" w:cs="宋体"/>
          <w:color w:val="auto"/>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A7EA1CA">
      <w:pPr>
        <w:spacing w:line="360" w:lineRule="exact"/>
        <w:ind w:firstLine="409" w:firstLineChars="195"/>
        <w:jc w:val="left"/>
        <w:rPr>
          <w:rFonts w:hint="eastAsia" w:ascii="宋体" w:hAnsi="宋体" w:cs="宋体"/>
          <w:color w:val="auto"/>
          <w:kern w:val="0"/>
          <w:szCs w:val="21"/>
        </w:rPr>
      </w:pPr>
      <w:r>
        <w:rPr>
          <w:rFonts w:hint="eastAsia" w:ascii="宋体" w:hAnsi="宋体" w:cs="宋体"/>
          <w:color w:val="auto"/>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6A41EAA">
      <w:pPr>
        <w:spacing w:line="360" w:lineRule="exact"/>
        <w:ind w:left="16" w:firstLine="409" w:firstLineChars="195"/>
        <w:jc w:val="left"/>
        <w:rPr>
          <w:rFonts w:hint="eastAsia" w:ascii="宋体" w:hAnsi="宋体" w:cs="宋体"/>
          <w:color w:val="auto"/>
          <w:kern w:val="0"/>
          <w:szCs w:val="21"/>
        </w:rPr>
      </w:pPr>
      <w:r>
        <w:rPr>
          <w:rFonts w:hint="eastAsia" w:ascii="宋体" w:hAnsi="宋体" w:cs="宋体"/>
          <w:color w:val="auto"/>
          <w:kern w:val="0"/>
          <w:szCs w:val="21"/>
        </w:rPr>
        <w:t>7.8.7 暂停施工期间的工程照管</w:t>
      </w:r>
    </w:p>
    <w:p w14:paraId="3D7F6BA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暂停施工期间，承包人应负责妥善照管工程并提供安全保障，由此增加的费用由责任方承担。</w:t>
      </w:r>
    </w:p>
    <w:p w14:paraId="2670F7F1">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7.8.8 暂停施工的措施</w:t>
      </w:r>
    </w:p>
    <w:p w14:paraId="373890F7">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暂停施工期间，发包人和承包人均应采取必要的措施确保工程质量及安全，防止因暂停施工扩大损失。</w:t>
      </w:r>
    </w:p>
    <w:p w14:paraId="47136EB1">
      <w:pPr>
        <w:pStyle w:val="9"/>
        <w:spacing w:before="120" w:after="120" w:line="360" w:lineRule="exact"/>
        <w:ind w:firstLine="422" w:firstLineChars="200"/>
        <w:rPr>
          <w:rFonts w:hint="eastAsia" w:ascii="宋体" w:hAnsi="宋体" w:cs="宋体"/>
          <w:color w:val="auto"/>
          <w:sz w:val="21"/>
          <w:szCs w:val="21"/>
        </w:rPr>
      </w:pPr>
      <w:bookmarkStart w:id="336" w:name="_Toc351203551"/>
      <w:r>
        <w:rPr>
          <w:rFonts w:hint="eastAsia" w:ascii="宋体" w:hAnsi="宋体" w:cs="宋体"/>
          <w:color w:val="auto"/>
          <w:sz w:val="21"/>
          <w:szCs w:val="21"/>
        </w:rPr>
        <w:t>7.9提前竣工</w:t>
      </w:r>
      <w:bookmarkEnd w:id="336"/>
    </w:p>
    <w:p w14:paraId="59BFF56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23AAE96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7.9.2 发包人要求承包人提前竣工，或承包人提出提前竣工的建议能够给发包人带来效益的，合同当事人可以在专用合同条款中约定提前竣工的奖励。</w:t>
      </w:r>
    </w:p>
    <w:p w14:paraId="71441117">
      <w:pPr>
        <w:pStyle w:val="8"/>
        <w:spacing w:before="120" w:after="120" w:line="360" w:lineRule="exact"/>
        <w:rPr>
          <w:rFonts w:hint="eastAsia" w:ascii="宋体" w:hAnsi="宋体" w:cs="宋体"/>
          <w:bCs w:val="0"/>
          <w:color w:val="auto"/>
          <w:sz w:val="21"/>
          <w:szCs w:val="21"/>
        </w:rPr>
      </w:pPr>
      <w:bookmarkStart w:id="337" w:name="_Toc351203552"/>
      <w:r>
        <w:rPr>
          <w:rFonts w:hint="eastAsia" w:ascii="宋体" w:hAnsi="宋体" w:cs="宋体"/>
          <w:bCs w:val="0"/>
          <w:color w:val="auto"/>
          <w:sz w:val="21"/>
          <w:szCs w:val="21"/>
        </w:rPr>
        <w:t>8</w:t>
      </w:r>
      <w:bookmarkStart w:id="338" w:name="_Toc296503058"/>
      <w:bookmarkStart w:id="339" w:name="_Toc337558776"/>
      <w:bookmarkStart w:id="340" w:name="_Toc296346559"/>
      <w:r>
        <w:rPr>
          <w:rFonts w:hint="eastAsia" w:ascii="宋体" w:hAnsi="宋体" w:cs="宋体"/>
          <w:bCs w:val="0"/>
          <w:color w:val="auto"/>
          <w:sz w:val="21"/>
          <w:szCs w:val="21"/>
        </w:rPr>
        <w:t>. 材料与设备</w:t>
      </w:r>
      <w:bookmarkEnd w:id="337"/>
    </w:p>
    <w:bookmarkEnd w:id="338"/>
    <w:bookmarkEnd w:id="339"/>
    <w:bookmarkEnd w:id="340"/>
    <w:p w14:paraId="1A59071A">
      <w:pPr>
        <w:pStyle w:val="9"/>
        <w:spacing w:before="120" w:after="120" w:line="360" w:lineRule="exact"/>
        <w:ind w:firstLine="422" w:firstLineChars="200"/>
        <w:rPr>
          <w:rFonts w:hint="eastAsia" w:ascii="宋体" w:hAnsi="宋体" w:cs="宋体"/>
          <w:color w:val="auto"/>
          <w:sz w:val="21"/>
          <w:szCs w:val="21"/>
        </w:rPr>
      </w:pPr>
      <w:bookmarkStart w:id="341" w:name="_Toc351203553"/>
      <w:r>
        <w:rPr>
          <w:rFonts w:hint="eastAsia" w:ascii="宋体" w:hAnsi="宋体" w:cs="宋体"/>
          <w:color w:val="auto"/>
          <w:sz w:val="21"/>
          <w:szCs w:val="21"/>
        </w:rPr>
        <w:t>8</w:t>
      </w:r>
      <w:bookmarkStart w:id="342" w:name="_Toc296346560"/>
      <w:bookmarkStart w:id="343" w:name="_Toc296503059"/>
      <w:bookmarkStart w:id="344" w:name="_Toc337558777"/>
      <w:bookmarkStart w:id="345" w:name="_Toc468936960"/>
      <w:r>
        <w:rPr>
          <w:rFonts w:hint="eastAsia" w:ascii="宋体" w:hAnsi="宋体" w:cs="宋体"/>
          <w:color w:val="auto"/>
          <w:sz w:val="21"/>
          <w:szCs w:val="21"/>
        </w:rPr>
        <w:t>.1发包人供应材料与工程设备</w:t>
      </w:r>
      <w:bookmarkEnd w:id="341"/>
    </w:p>
    <w:bookmarkEnd w:id="342"/>
    <w:bookmarkEnd w:id="343"/>
    <w:bookmarkEnd w:id="344"/>
    <w:p w14:paraId="25BC090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发包人自行供应材料、工程设备的，应在签订合同时在专用合同条款的附件《发包人供应材料设备一览表》中明确材料、工程设备的品种、规格、型号、数量、单价、质量等级和送达地点。</w:t>
      </w:r>
    </w:p>
    <w:p w14:paraId="607F898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74CFE73">
      <w:pPr>
        <w:pStyle w:val="9"/>
        <w:spacing w:before="120" w:after="120" w:line="360" w:lineRule="exact"/>
        <w:ind w:firstLine="422" w:firstLineChars="200"/>
        <w:rPr>
          <w:rFonts w:hint="eastAsia" w:ascii="宋体" w:hAnsi="宋体" w:cs="宋体"/>
          <w:color w:val="auto"/>
          <w:sz w:val="21"/>
          <w:szCs w:val="21"/>
        </w:rPr>
      </w:pPr>
      <w:bookmarkStart w:id="346" w:name="_Toc351203554"/>
      <w:r>
        <w:rPr>
          <w:rFonts w:hint="eastAsia" w:ascii="宋体" w:hAnsi="宋体" w:cs="宋体"/>
          <w:color w:val="auto"/>
          <w:sz w:val="21"/>
          <w:szCs w:val="21"/>
        </w:rPr>
        <w:t>8</w:t>
      </w:r>
      <w:bookmarkStart w:id="347" w:name="_Toc296346561"/>
      <w:bookmarkStart w:id="348" w:name="_Toc337558778"/>
      <w:bookmarkStart w:id="349" w:name="_Toc296503060"/>
      <w:r>
        <w:rPr>
          <w:rFonts w:hint="eastAsia" w:ascii="宋体" w:hAnsi="宋体" w:cs="宋体"/>
          <w:color w:val="auto"/>
          <w:sz w:val="21"/>
          <w:szCs w:val="21"/>
        </w:rPr>
        <w:t>.2承包人采购材料与工程设备</w:t>
      </w:r>
      <w:bookmarkEnd w:id="346"/>
    </w:p>
    <w:bookmarkEnd w:id="347"/>
    <w:bookmarkEnd w:id="348"/>
    <w:bookmarkEnd w:id="349"/>
    <w:p w14:paraId="05DCBA2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8F936F8">
      <w:pPr>
        <w:pStyle w:val="9"/>
        <w:spacing w:before="120" w:after="120" w:line="360" w:lineRule="exact"/>
        <w:ind w:firstLine="422" w:firstLineChars="200"/>
        <w:rPr>
          <w:rFonts w:hint="eastAsia" w:ascii="宋体" w:hAnsi="宋体" w:cs="宋体"/>
          <w:color w:val="auto"/>
          <w:sz w:val="21"/>
          <w:szCs w:val="21"/>
        </w:rPr>
      </w:pPr>
      <w:bookmarkStart w:id="350" w:name="_Toc351203555"/>
      <w:r>
        <w:rPr>
          <w:rFonts w:hint="eastAsia" w:ascii="宋体" w:hAnsi="宋体" w:cs="宋体"/>
          <w:color w:val="auto"/>
          <w:sz w:val="21"/>
          <w:szCs w:val="21"/>
        </w:rPr>
        <w:t>8</w:t>
      </w:r>
      <w:bookmarkStart w:id="351" w:name="_Toc296346562"/>
      <w:bookmarkStart w:id="352" w:name="_Toc296503061"/>
      <w:bookmarkStart w:id="353" w:name="_Toc337558779"/>
      <w:r>
        <w:rPr>
          <w:rFonts w:hint="eastAsia" w:ascii="宋体" w:hAnsi="宋体" w:cs="宋体"/>
          <w:color w:val="auto"/>
          <w:sz w:val="21"/>
          <w:szCs w:val="21"/>
        </w:rPr>
        <w:t>.3材料与工程设备的接收与拒收</w:t>
      </w:r>
      <w:bookmarkEnd w:id="350"/>
    </w:p>
    <w:bookmarkEnd w:id="351"/>
    <w:bookmarkEnd w:id="352"/>
    <w:bookmarkEnd w:id="353"/>
    <w:p w14:paraId="6D2AA9D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2D8FC6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发包人提供的材料和工程设备的规格、数量或质量不符合合同约定的，或因发包人原因导致交货日期延误或交货地点变更等情况的，按照第16.1款〔发包人违约〕约定办理。</w:t>
      </w:r>
    </w:p>
    <w:p w14:paraId="04A69BF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8.3.2 承包人采购的材料和工程设备，应保证产品质量合格，承包人应在材料和工程设备到货前24小时通知监理人检验。承</w:t>
      </w:r>
      <w:bookmarkStart w:id="354" w:name="_Toc250655469"/>
      <w:r>
        <w:rPr>
          <w:rFonts w:hint="eastAsia" w:ascii="宋体" w:hAnsi="宋体" w:cs="宋体"/>
          <w:color w:val="auto"/>
          <w:kern w:val="0"/>
          <w:szCs w:val="21"/>
        </w:rPr>
        <w:t>包人进行永久设备、材料的制造和生产的，应符合相关质量标准，并向监理人提交材料的样本以及有关资料，并应在使用该材料或工程设备之前获得监理人同意。</w:t>
      </w:r>
    </w:p>
    <w:bookmarkEnd w:id="354"/>
    <w:p w14:paraId="2F4C699F">
      <w:pPr>
        <w:autoSpaceDE w:val="0"/>
        <w:autoSpaceDN w:val="0"/>
        <w:adjustRightInd w:val="0"/>
        <w:spacing w:line="360" w:lineRule="exact"/>
        <w:ind w:firstLine="315" w:firstLineChars="150"/>
        <w:jc w:val="left"/>
        <w:rPr>
          <w:rFonts w:hint="eastAsia" w:ascii="宋体" w:hAnsi="宋体" w:cs="宋体"/>
          <w:color w:val="auto"/>
          <w:kern w:val="0"/>
          <w:szCs w:val="21"/>
        </w:rPr>
      </w:pPr>
      <w:r>
        <w:rPr>
          <w:rFonts w:hint="eastAsia" w:ascii="宋体" w:hAnsi="宋体" w:cs="宋体"/>
          <w:color w:val="auto"/>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6DD6628">
      <w:pPr>
        <w:pStyle w:val="9"/>
        <w:spacing w:before="120" w:after="120" w:line="360" w:lineRule="exact"/>
        <w:ind w:firstLine="422" w:firstLineChars="200"/>
        <w:rPr>
          <w:rFonts w:hint="eastAsia" w:ascii="宋体" w:hAnsi="宋体" w:cs="宋体"/>
          <w:color w:val="auto"/>
          <w:sz w:val="21"/>
          <w:szCs w:val="21"/>
        </w:rPr>
      </w:pPr>
      <w:bookmarkStart w:id="355" w:name="_Toc351203556"/>
      <w:r>
        <w:rPr>
          <w:rFonts w:hint="eastAsia" w:ascii="宋体" w:hAnsi="宋体" w:cs="宋体"/>
          <w:color w:val="auto"/>
          <w:sz w:val="21"/>
          <w:szCs w:val="21"/>
        </w:rPr>
        <w:t>8</w:t>
      </w:r>
      <w:bookmarkStart w:id="356" w:name="_Toc296503062"/>
      <w:bookmarkStart w:id="357" w:name="_Toc296346563"/>
      <w:bookmarkStart w:id="358" w:name="_Toc337558780"/>
      <w:r>
        <w:rPr>
          <w:rFonts w:hint="eastAsia" w:ascii="宋体" w:hAnsi="宋体" w:cs="宋体"/>
          <w:color w:val="auto"/>
          <w:sz w:val="21"/>
          <w:szCs w:val="21"/>
        </w:rPr>
        <w:t>.4材料与工程设备的保管与使用</w:t>
      </w:r>
      <w:bookmarkEnd w:id="355"/>
    </w:p>
    <w:bookmarkEnd w:id="356"/>
    <w:bookmarkEnd w:id="357"/>
    <w:bookmarkEnd w:id="358"/>
    <w:p w14:paraId="09C9643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8.4.1 发包人供应</w:t>
      </w:r>
      <w:r>
        <w:rPr>
          <w:rFonts w:hint="eastAsia" w:ascii="宋体" w:hAnsi="宋体" w:cs="宋体"/>
          <w:color w:val="auto"/>
          <w:szCs w:val="21"/>
        </w:rPr>
        <w:t>材料与</w:t>
      </w:r>
      <w:r>
        <w:rPr>
          <w:rFonts w:hint="eastAsia" w:ascii="宋体" w:hAnsi="宋体" w:cs="宋体"/>
          <w:color w:val="auto"/>
          <w:kern w:val="0"/>
          <w:szCs w:val="21"/>
        </w:rPr>
        <w:t>工程</w:t>
      </w:r>
      <w:r>
        <w:rPr>
          <w:rFonts w:hint="eastAsia" w:ascii="宋体" w:hAnsi="宋体" w:cs="宋体"/>
          <w:color w:val="auto"/>
          <w:szCs w:val="21"/>
        </w:rPr>
        <w:t>设备的保管与使用</w:t>
      </w:r>
    </w:p>
    <w:p w14:paraId="01D8E2B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C1E275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发包人供应的材料和工程设备使用前，由承包人负责检验，检验费用由发包人承担，不合格的不得使用。</w:t>
      </w:r>
    </w:p>
    <w:p w14:paraId="7CC244B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8.4.2 承包人采购</w:t>
      </w:r>
      <w:r>
        <w:rPr>
          <w:rFonts w:hint="eastAsia" w:ascii="宋体" w:hAnsi="宋体" w:cs="宋体"/>
          <w:color w:val="auto"/>
          <w:szCs w:val="21"/>
        </w:rPr>
        <w:t>材料与</w:t>
      </w:r>
      <w:r>
        <w:rPr>
          <w:rFonts w:hint="eastAsia" w:ascii="宋体" w:hAnsi="宋体" w:cs="宋体"/>
          <w:color w:val="auto"/>
          <w:kern w:val="0"/>
          <w:szCs w:val="21"/>
        </w:rPr>
        <w:t>工程</w:t>
      </w:r>
      <w:r>
        <w:rPr>
          <w:rFonts w:hint="eastAsia" w:ascii="宋体" w:hAnsi="宋体" w:cs="宋体"/>
          <w:color w:val="auto"/>
          <w:szCs w:val="21"/>
        </w:rPr>
        <w:t>设备的保管与使用</w:t>
      </w:r>
    </w:p>
    <w:p w14:paraId="1D92FA5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AA5A84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发包人或监理人发现承包人使用不符合设计或有关标准要求的材料和工程设备时，有权要求承包人进行修复、拆除或重新采购，由此增加的费用和（或）延误的工期，由承包人承担。</w:t>
      </w:r>
    </w:p>
    <w:p w14:paraId="7E41C876">
      <w:pPr>
        <w:pStyle w:val="9"/>
        <w:spacing w:before="120" w:after="120" w:line="360" w:lineRule="exact"/>
        <w:ind w:firstLine="422" w:firstLineChars="200"/>
        <w:rPr>
          <w:rFonts w:hint="eastAsia" w:ascii="宋体" w:hAnsi="宋体" w:cs="宋体"/>
          <w:b w:val="0"/>
          <w:bCs w:val="0"/>
          <w:color w:val="auto"/>
          <w:sz w:val="21"/>
          <w:szCs w:val="21"/>
        </w:rPr>
      </w:pPr>
      <w:bookmarkStart w:id="359" w:name="_Toc351203557"/>
      <w:r>
        <w:rPr>
          <w:rFonts w:hint="eastAsia" w:ascii="宋体" w:hAnsi="宋体" w:cs="宋体"/>
          <w:color w:val="auto"/>
          <w:sz w:val="21"/>
          <w:szCs w:val="21"/>
        </w:rPr>
        <w:t>8.5禁止使用不合格的材料和工程设备</w:t>
      </w:r>
      <w:bookmarkEnd w:id="359"/>
    </w:p>
    <w:p w14:paraId="3760D90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8.5.1 监理人有权拒绝承包人提供的不合格材料或工程设备，并要求承包人立即进行更换。监理人应在更换后再次进行检查和检验，由此增加的费用和（或）延误的工期由承包人承担。</w:t>
      </w:r>
    </w:p>
    <w:p w14:paraId="751F5DE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8.5.2 监理人发现承包人使用了不合格的材料和工程设备，承包人应按照监理人的指示立即改正，并禁止在工程中继续使用不合格的材料和工程设备。</w:t>
      </w:r>
    </w:p>
    <w:p w14:paraId="19649B9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8.5.3 发包人提供的材料或工程设备不符合合同要求的，承包人有权拒绝，并可要求发包人更换，由此增加的费用和（或）延误的工期由发包人承担，并支付承包人合理的利润。</w:t>
      </w:r>
    </w:p>
    <w:p w14:paraId="3E662335">
      <w:pPr>
        <w:pStyle w:val="9"/>
        <w:spacing w:before="120" w:after="120" w:line="360" w:lineRule="exact"/>
        <w:ind w:firstLine="422" w:firstLineChars="200"/>
        <w:rPr>
          <w:rFonts w:hint="eastAsia" w:ascii="宋体" w:hAnsi="宋体" w:cs="宋体"/>
          <w:color w:val="auto"/>
          <w:sz w:val="21"/>
          <w:szCs w:val="21"/>
        </w:rPr>
      </w:pPr>
      <w:bookmarkStart w:id="360" w:name="_Toc351203558"/>
      <w:r>
        <w:rPr>
          <w:rFonts w:hint="eastAsia" w:ascii="宋体" w:hAnsi="宋体" w:cs="宋体"/>
          <w:color w:val="auto"/>
          <w:sz w:val="21"/>
          <w:szCs w:val="21"/>
        </w:rPr>
        <w:t>8.6 样品</w:t>
      </w:r>
      <w:bookmarkEnd w:id="360"/>
    </w:p>
    <w:p w14:paraId="4A3EC4A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8.6.1</w:t>
      </w:r>
      <w:r>
        <w:rPr>
          <w:rFonts w:hint="eastAsia" w:ascii="宋体" w:hAnsi="宋体" w:cs="宋体"/>
          <w:color w:val="auto"/>
          <w:kern w:val="0"/>
          <w:szCs w:val="21"/>
        </w:rPr>
        <w:tab/>
      </w:r>
      <w:r>
        <w:rPr>
          <w:rFonts w:hint="eastAsia" w:ascii="宋体" w:hAnsi="宋体" w:cs="宋体"/>
          <w:color w:val="auto"/>
          <w:kern w:val="0"/>
          <w:szCs w:val="21"/>
        </w:rPr>
        <w:t>样品的报送与封存</w:t>
      </w:r>
    </w:p>
    <w:p w14:paraId="2B79D04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需要承包人报送样品的材料或工程设备，样品的种类、名称、规格、数量等要求均应在专用合同条款中约定。样品的报送程序如下：</w:t>
      </w:r>
    </w:p>
    <w:p w14:paraId="1CBC3B7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93D83A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BBDB3C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（3）经发包人和监理人审批确认的样品应按约定的方法封样，封存的样品作为检验工程相关部分的标准之一。承包人在施工过程中不得使用与样品不符的材料或工程设备。</w:t>
      </w:r>
    </w:p>
    <w:p w14:paraId="601DAED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EA70B3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8.6.2 样品的保管</w:t>
      </w:r>
    </w:p>
    <w:p w14:paraId="51B333D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经批准的样品应由监理人负责封存于现场，承包人应在现场为保存样品提供适当和固定的场所并保持适当和良好的存储环境条件。</w:t>
      </w:r>
    </w:p>
    <w:p w14:paraId="0576114E">
      <w:pPr>
        <w:pStyle w:val="9"/>
        <w:spacing w:before="120" w:after="120" w:line="360" w:lineRule="exact"/>
        <w:ind w:firstLine="422" w:firstLineChars="200"/>
        <w:rPr>
          <w:rFonts w:hint="eastAsia" w:ascii="宋体" w:hAnsi="宋体" w:cs="宋体"/>
          <w:color w:val="auto"/>
          <w:sz w:val="21"/>
          <w:szCs w:val="21"/>
        </w:rPr>
      </w:pPr>
      <w:bookmarkStart w:id="361" w:name="_Toc351203559"/>
      <w:r>
        <w:rPr>
          <w:rFonts w:hint="eastAsia" w:ascii="宋体" w:hAnsi="宋体" w:cs="宋体"/>
          <w:color w:val="auto"/>
          <w:sz w:val="21"/>
          <w:szCs w:val="21"/>
        </w:rPr>
        <w:t>8.7材料与工程设备的替代</w:t>
      </w:r>
      <w:bookmarkEnd w:id="361"/>
    </w:p>
    <w:p w14:paraId="0B53B82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8.7.1 出现下列情况需要使用替代材料和工程设备的，承包人应按照第8.7.2项约定的程序执行：</w:t>
      </w:r>
    </w:p>
    <w:p w14:paraId="7F5D450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（1）基准日期后生效的法律规定禁止使用的；</w:t>
      </w:r>
    </w:p>
    <w:p w14:paraId="3800D2A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（2）发包人要求使用替代品的；</w:t>
      </w:r>
    </w:p>
    <w:p w14:paraId="0EEF675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（3）因其他原因必须使用替代品的。</w:t>
      </w:r>
    </w:p>
    <w:p w14:paraId="1DD803B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8.7.2 承包人应在使用替代材料和工程设备28天前书面通知监理人，并附下列文件：</w:t>
      </w:r>
    </w:p>
    <w:p w14:paraId="219B1EB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（1）被替代的材料和工程设备的名称、数量、规格、型号、品牌、性能、价格及其他相关资料；</w:t>
      </w:r>
    </w:p>
    <w:p w14:paraId="2461038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（2）替代品的名称、数量、规格、型号、品牌、性能、价格及其他相关资料；</w:t>
      </w:r>
    </w:p>
    <w:p w14:paraId="5D14D90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（3）替代品与被替代产品之间的差异以及使用替代品可能对工程产生的影响；</w:t>
      </w:r>
    </w:p>
    <w:p w14:paraId="0953EEC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（4）替代品与被替代产品的价格差异；</w:t>
      </w:r>
    </w:p>
    <w:p w14:paraId="2E51A2D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（5）使用替代品的理由和原因说明；</w:t>
      </w:r>
    </w:p>
    <w:p w14:paraId="30798D2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（6）监理人要求的其他文件。</w:t>
      </w:r>
    </w:p>
    <w:p w14:paraId="3B0D49B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监理人应在收到通知后14天内向承包人发出经发包人签认的书面指示；监理人逾期发出书面指示的，视为发包人和监理人同意使用替代品。</w:t>
      </w:r>
    </w:p>
    <w:p w14:paraId="4BC9210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3B00B433">
      <w:pPr>
        <w:pStyle w:val="9"/>
        <w:spacing w:before="120" w:after="120" w:line="360" w:lineRule="exact"/>
        <w:ind w:firstLine="422" w:firstLineChars="200"/>
        <w:rPr>
          <w:rFonts w:hint="eastAsia" w:ascii="宋体" w:hAnsi="宋体" w:cs="宋体"/>
          <w:color w:val="auto"/>
          <w:sz w:val="21"/>
          <w:szCs w:val="21"/>
        </w:rPr>
      </w:pPr>
      <w:bookmarkStart w:id="362" w:name="_Toc351203560"/>
      <w:r>
        <w:rPr>
          <w:rFonts w:hint="eastAsia" w:ascii="宋体" w:hAnsi="宋体" w:cs="宋体"/>
          <w:color w:val="auto"/>
          <w:sz w:val="21"/>
          <w:szCs w:val="21"/>
        </w:rPr>
        <w:t>8.8施工设备和临时设施</w:t>
      </w:r>
      <w:bookmarkEnd w:id="362"/>
    </w:p>
    <w:p w14:paraId="771904D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8.8.1 承包人提供的施工设备和临时设施</w:t>
      </w:r>
    </w:p>
    <w:p w14:paraId="6EFEBC6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6B8771E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除专用合同条款另有约定外，承包人应自行承担修建临时设施的费用，需要临时占地的，应由发包人办理申请手续并承担相应费用。</w:t>
      </w:r>
    </w:p>
    <w:p w14:paraId="56B09F5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8.8.2发包人提供的施工设备和临时设施</w:t>
      </w:r>
    </w:p>
    <w:p w14:paraId="035C9C6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发包人提供的施工设备或临时设施在专用合同条款中约定。</w:t>
      </w:r>
    </w:p>
    <w:p w14:paraId="6874D57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8.8.3要求承包人增加或更换施工设备</w:t>
      </w:r>
    </w:p>
    <w:p w14:paraId="662BE37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3CC0C043">
      <w:pPr>
        <w:pStyle w:val="9"/>
        <w:spacing w:before="120" w:after="120" w:line="360" w:lineRule="exact"/>
        <w:ind w:firstLine="422" w:firstLineChars="200"/>
        <w:rPr>
          <w:rFonts w:hint="eastAsia" w:ascii="宋体" w:hAnsi="宋体" w:cs="宋体"/>
          <w:color w:val="auto"/>
          <w:sz w:val="21"/>
          <w:szCs w:val="21"/>
        </w:rPr>
      </w:pPr>
      <w:bookmarkStart w:id="363" w:name="_Toc351203561"/>
      <w:r>
        <w:rPr>
          <w:rFonts w:hint="eastAsia" w:ascii="宋体" w:hAnsi="宋体" w:cs="宋体"/>
          <w:color w:val="auto"/>
          <w:sz w:val="21"/>
          <w:szCs w:val="21"/>
        </w:rPr>
        <w:t>8</w:t>
      </w:r>
      <w:bookmarkStart w:id="364" w:name="_Toc296503063"/>
      <w:bookmarkStart w:id="365" w:name="_Toc296346564"/>
      <w:bookmarkStart w:id="366" w:name="_Toc337558781"/>
      <w:r>
        <w:rPr>
          <w:rFonts w:hint="eastAsia" w:ascii="宋体" w:hAnsi="宋体" w:cs="宋体"/>
          <w:color w:val="auto"/>
          <w:sz w:val="21"/>
          <w:szCs w:val="21"/>
        </w:rPr>
        <w:t>.9材料与设备专用</w:t>
      </w:r>
      <w:bookmarkEnd w:id="363"/>
      <w:r>
        <w:rPr>
          <w:rFonts w:hint="eastAsia" w:ascii="宋体" w:hAnsi="宋体" w:cs="宋体"/>
          <w:color w:val="auto"/>
          <w:sz w:val="21"/>
          <w:szCs w:val="21"/>
        </w:rPr>
        <w:t>要求</w:t>
      </w:r>
    </w:p>
    <w:bookmarkEnd w:id="364"/>
    <w:bookmarkEnd w:id="365"/>
    <w:bookmarkEnd w:id="366"/>
    <w:p w14:paraId="0082C76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345"/>
      <w:r>
        <w:rPr>
          <w:rFonts w:hint="eastAsia" w:ascii="宋体" w:hAnsi="宋体" w:cs="宋体"/>
          <w:color w:val="auto"/>
          <w:kern w:val="0"/>
          <w:szCs w:val="21"/>
        </w:rPr>
        <w:t>经发包人批准，承包人可以根据施工进度计划撤走闲置的施工设备和其他物品。</w:t>
      </w:r>
    </w:p>
    <w:p w14:paraId="12005D67">
      <w:pPr>
        <w:pStyle w:val="8"/>
        <w:spacing w:before="120" w:after="120" w:line="360" w:lineRule="exact"/>
        <w:rPr>
          <w:rFonts w:hint="eastAsia" w:ascii="宋体" w:hAnsi="宋体" w:cs="宋体"/>
          <w:bCs w:val="0"/>
          <w:color w:val="auto"/>
          <w:sz w:val="21"/>
          <w:szCs w:val="21"/>
        </w:rPr>
      </w:pPr>
      <w:bookmarkStart w:id="367" w:name="_Toc351203562"/>
      <w:r>
        <w:rPr>
          <w:rFonts w:hint="eastAsia" w:ascii="宋体" w:hAnsi="宋体" w:cs="宋体"/>
          <w:bCs w:val="0"/>
          <w:color w:val="auto"/>
          <w:sz w:val="21"/>
          <w:szCs w:val="21"/>
        </w:rPr>
        <w:t>9</w:t>
      </w:r>
      <w:bookmarkStart w:id="368" w:name="_Toc337558782"/>
      <w:bookmarkStart w:id="369" w:name="_Toc296346584"/>
      <w:bookmarkStart w:id="370" w:name="_Toc296503083"/>
      <w:r>
        <w:rPr>
          <w:rFonts w:hint="eastAsia" w:ascii="宋体" w:hAnsi="宋体" w:cs="宋体"/>
          <w:bCs w:val="0"/>
          <w:color w:val="auto"/>
          <w:sz w:val="21"/>
          <w:szCs w:val="21"/>
        </w:rPr>
        <w:t>. 试验与检验</w:t>
      </w:r>
      <w:bookmarkEnd w:id="367"/>
    </w:p>
    <w:bookmarkEnd w:id="368"/>
    <w:p w14:paraId="6C5EF205">
      <w:pPr>
        <w:pStyle w:val="9"/>
        <w:spacing w:before="120" w:after="120" w:line="360" w:lineRule="exact"/>
        <w:ind w:firstLine="422" w:firstLineChars="200"/>
        <w:rPr>
          <w:rFonts w:hint="eastAsia" w:ascii="宋体" w:hAnsi="宋体" w:cs="宋体"/>
          <w:b w:val="0"/>
          <w:bCs w:val="0"/>
          <w:color w:val="auto"/>
          <w:sz w:val="21"/>
          <w:szCs w:val="21"/>
        </w:rPr>
      </w:pPr>
      <w:bookmarkStart w:id="371" w:name="_Toc351203563"/>
      <w:r>
        <w:rPr>
          <w:rFonts w:hint="eastAsia" w:ascii="宋体" w:hAnsi="宋体" w:cs="宋体"/>
          <w:color w:val="auto"/>
          <w:sz w:val="21"/>
          <w:szCs w:val="21"/>
        </w:rPr>
        <w:t>9</w:t>
      </w:r>
      <w:bookmarkStart w:id="372" w:name="_Toc337558783"/>
      <w:r>
        <w:rPr>
          <w:rFonts w:hint="eastAsia" w:ascii="宋体" w:hAnsi="宋体" w:cs="宋体"/>
          <w:color w:val="auto"/>
          <w:sz w:val="21"/>
          <w:szCs w:val="21"/>
        </w:rPr>
        <w:t>.1试验设备与试验人员</w:t>
      </w:r>
      <w:bookmarkEnd w:id="371"/>
    </w:p>
    <w:bookmarkEnd w:id="372"/>
    <w:p w14:paraId="5A2855E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5A78B5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9.1.2 承包人应按专用合同条款的约定提供试验设备、取样装置、试验场所和试验条件，并向监理人提交相应进场计划表。</w:t>
      </w:r>
    </w:p>
    <w:p w14:paraId="43DC5C3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承包人配置的试验设备要符合相应试验规程的要求并经过具有资质的检测单位检测，且在正式使用该试验设备前，需要经过监理人与承包人共同校定。</w:t>
      </w:r>
    </w:p>
    <w:p w14:paraId="6F1EA07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9.1.3 承包人应向监理人提交试验人员的名单及其岗位、资格等证明资料，试验人员必须能够熟练进行相应的检测试验，承包人对试验人员的试验程序和试验结果的正确性负责。</w:t>
      </w:r>
    </w:p>
    <w:p w14:paraId="5DE0825C">
      <w:pPr>
        <w:pStyle w:val="9"/>
        <w:spacing w:before="120" w:after="120" w:line="360" w:lineRule="exact"/>
        <w:ind w:firstLine="422" w:firstLineChars="200"/>
        <w:rPr>
          <w:rFonts w:hint="eastAsia" w:ascii="宋体" w:hAnsi="宋体" w:cs="宋体"/>
          <w:b w:val="0"/>
          <w:bCs w:val="0"/>
          <w:color w:val="auto"/>
          <w:sz w:val="21"/>
          <w:szCs w:val="21"/>
        </w:rPr>
      </w:pPr>
      <w:bookmarkStart w:id="373" w:name="_Toc351203564"/>
      <w:r>
        <w:rPr>
          <w:rFonts w:hint="eastAsia" w:ascii="宋体" w:hAnsi="宋体" w:cs="宋体"/>
          <w:color w:val="auto"/>
          <w:sz w:val="21"/>
          <w:szCs w:val="21"/>
        </w:rPr>
        <w:t>9</w:t>
      </w:r>
      <w:bookmarkStart w:id="374" w:name="_Toc337558784"/>
      <w:r>
        <w:rPr>
          <w:rFonts w:hint="eastAsia" w:ascii="宋体" w:hAnsi="宋体" w:cs="宋体"/>
          <w:color w:val="auto"/>
          <w:sz w:val="21"/>
          <w:szCs w:val="21"/>
        </w:rPr>
        <w:t>.2取样</w:t>
      </w:r>
      <w:bookmarkEnd w:id="373"/>
    </w:p>
    <w:bookmarkEnd w:id="374"/>
    <w:p w14:paraId="4FF54AB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试验属于自检性质的，承包人可以单独取样。试验属于监理人抽检性质的，可由监理人取样，也可由承包人的试验人员在监理人的监督下取样。</w:t>
      </w:r>
    </w:p>
    <w:p w14:paraId="5E86199F">
      <w:pPr>
        <w:pStyle w:val="9"/>
        <w:spacing w:before="120" w:after="120" w:line="360" w:lineRule="exact"/>
        <w:ind w:firstLine="422" w:firstLineChars="200"/>
        <w:rPr>
          <w:rFonts w:hint="eastAsia" w:ascii="宋体" w:hAnsi="宋体" w:cs="宋体"/>
          <w:color w:val="auto"/>
          <w:sz w:val="21"/>
          <w:szCs w:val="21"/>
        </w:rPr>
      </w:pPr>
      <w:bookmarkStart w:id="375" w:name="_Toc351203565"/>
      <w:r>
        <w:rPr>
          <w:rFonts w:hint="eastAsia" w:ascii="宋体" w:hAnsi="宋体" w:cs="宋体"/>
          <w:color w:val="auto"/>
          <w:sz w:val="21"/>
          <w:szCs w:val="21"/>
        </w:rPr>
        <w:t>9</w:t>
      </w:r>
      <w:bookmarkStart w:id="376" w:name="_Toc337558785"/>
      <w:r>
        <w:rPr>
          <w:rFonts w:hint="eastAsia" w:ascii="宋体" w:hAnsi="宋体" w:cs="宋体"/>
          <w:color w:val="auto"/>
          <w:sz w:val="21"/>
          <w:szCs w:val="21"/>
        </w:rPr>
        <w:t>.3材料、工程设备和工程的试验和检验</w:t>
      </w:r>
      <w:bookmarkEnd w:id="375"/>
    </w:p>
    <w:bookmarkEnd w:id="376"/>
    <w:p w14:paraId="3641DFD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6DBB66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5C1613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7A7F9F4C">
      <w:pPr>
        <w:pStyle w:val="9"/>
        <w:spacing w:before="120" w:after="120" w:line="360" w:lineRule="exact"/>
        <w:ind w:firstLine="422" w:firstLineChars="200"/>
        <w:rPr>
          <w:rFonts w:hint="eastAsia" w:ascii="宋体" w:hAnsi="宋体" w:cs="宋体"/>
          <w:b w:val="0"/>
          <w:bCs w:val="0"/>
          <w:color w:val="auto"/>
          <w:sz w:val="21"/>
          <w:szCs w:val="21"/>
        </w:rPr>
      </w:pPr>
      <w:bookmarkStart w:id="377" w:name="_Toc351203566"/>
      <w:r>
        <w:rPr>
          <w:rFonts w:hint="eastAsia" w:ascii="宋体" w:hAnsi="宋体" w:cs="宋体"/>
          <w:color w:val="auto"/>
          <w:sz w:val="21"/>
          <w:szCs w:val="21"/>
        </w:rPr>
        <w:t>9</w:t>
      </w:r>
      <w:bookmarkStart w:id="378" w:name="_Toc337558786"/>
      <w:r>
        <w:rPr>
          <w:rFonts w:hint="eastAsia" w:ascii="宋体" w:hAnsi="宋体" w:cs="宋体"/>
          <w:color w:val="auto"/>
          <w:sz w:val="21"/>
          <w:szCs w:val="21"/>
        </w:rPr>
        <w:t>.4现场工艺试验</w:t>
      </w:r>
      <w:bookmarkEnd w:id="377"/>
    </w:p>
    <w:bookmarkEnd w:id="378"/>
    <w:p w14:paraId="18A1ABF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763B3AC4">
      <w:pPr>
        <w:pStyle w:val="8"/>
        <w:spacing w:before="120" w:after="120" w:line="360" w:lineRule="exact"/>
        <w:rPr>
          <w:rFonts w:hint="eastAsia" w:ascii="宋体" w:hAnsi="宋体" w:cs="宋体"/>
          <w:b w:val="0"/>
          <w:color w:val="auto"/>
          <w:sz w:val="21"/>
          <w:szCs w:val="21"/>
        </w:rPr>
      </w:pPr>
      <w:bookmarkStart w:id="379" w:name="_Toc351203567"/>
      <w:r>
        <w:rPr>
          <w:rFonts w:hint="eastAsia" w:ascii="宋体" w:hAnsi="宋体" w:cs="宋体"/>
          <w:bCs w:val="0"/>
          <w:color w:val="auto"/>
          <w:sz w:val="21"/>
          <w:szCs w:val="21"/>
        </w:rPr>
        <w:t>1</w:t>
      </w:r>
      <w:bookmarkStart w:id="380" w:name="_Toc337558787"/>
      <w:r>
        <w:rPr>
          <w:rFonts w:hint="eastAsia" w:ascii="宋体" w:hAnsi="宋体" w:cs="宋体"/>
          <w:bCs w:val="0"/>
          <w:color w:val="auto"/>
          <w:sz w:val="21"/>
          <w:szCs w:val="21"/>
        </w:rPr>
        <w:t>0. 变更</w:t>
      </w:r>
      <w:bookmarkEnd w:id="369"/>
      <w:bookmarkEnd w:id="370"/>
      <w:bookmarkEnd w:id="379"/>
    </w:p>
    <w:bookmarkEnd w:id="380"/>
    <w:p w14:paraId="70F5A9DE">
      <w:pPr>
        <w:pStyle w:val="9"/>
        <w:spacing w:before="120" w:after="120" w:line="360" w:lineRule="exact"/>
        <w:ind w:firstLine="422" w:firstLineChars="200"/>
        <w:rPr>
          <w:rFonts w:hint="eastAsia" w:ascii="宋体" w:hAnsi="宋体" w:cs="宋体"/>
          <w:color w:val="auto"/>
          <w:sz w:val="21"/>
          <w:szCs w:val="21"/>
        </w:rPr>
      </w:pPr>
      <w:bookmarkStart w:id="381" w:name="_Toc351203568"/>
      <w:r>
        <w:rPr>
          <w:rFonts w:hint="eastAsia" w:ascii="宋体" w:hAnsi="宋体" w:cs="宋体"/>
          <w:color w:val="auto"/>
          <w:sz w:val="21"/>
          <w:szCs w:val="21"/>
        </w:rPr>
        <w:t>1</w:t>
      </w:r>
      <w:bookmarkStart w:id="382" w:name="_Toc296503084"/>
      <w:bookmarkStart w:id="383" w:name="_Toc337558788"/>
      <w:bookmarkStart w:id="384" w:name="_Toc296346585"/>
      <w:r>
        <w:rPr>
          <w:rFonts w:hint="eastAsia" w:ascii="宋体" w:hAnsi="宋体" w:cs="宋体"/>
          <w:color w:val="auto"/>
          <w:sz w:val="21"/>
          <w:szCs w:val="21"/>
        </w:rPr>
        <w:t>0.1变更的范围</w:t>
      </w:r>
      <w:bookmarkEnd w:id="381"/>
    </w:p>
    <w:bookmarkEnd w:id="382"/>
    <w:bookmarkEnd w:id="383"/>
    <w:bookmarkEnd w:id="384"/>
    <w:p w14:paraId="10E6207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除专用合同条款另有约定外，合同履行过程中发生以下情形的，应按照本条约定进行变更：</w:t>
      </w:r>
    </w:p>
    <w:p w14:paraId="126D87A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（1）增加或减少合同中任何工作，或追加额外的工作；</w:t>
      </w:r>
    </w:p>
    <w:p w14:paraId="280DED8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（2）取消合同中任何工作，但转由他人实施的工作除外；</w:t>
      </w:r>
    </w:p>
    <w:p w14:paraId="4A04512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（3）改变合同中任何工作的质量标准或其他特性；</w:t>
      </w:r>
    </w:p>
    <w:p w14:paraId="6A0D4D5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（4）改变工程的基线、标高、位置和尺寸；</w:t>
      </w:r>
    </w:p>
    <w:p w14:paraId="030DF4F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（5）改变工程的时间安排或实施顺序。</w:t>
      </w:r>
    </w:p>
    <w:p w14:paraId="028641D4">
      <w:pPr>
        <w:pStyle w:val="9"/>
        <w:spacing w:before="120" w:after="120" w:line="360" w:lineRule="exact"/>
        <w:ind w:firstLine="422" w:firstLineChars="200"/>
        <w:rPr>
          <w:rFonts w:hint="eastAsia" w:ascii="宋体" w:hAnsi="宋体" w:cs="宋体"/>
          <w:b w:val="0"/>
          <w:bCs w:val="0"/>
          <w:color w:val="auto"/>
          <w:sz w:val="21"/>
          <w:szCs w:val="21"/>
        </w:rPr>
      </w:pPr>
      <w:bookmarkStart w:id="385" w:name="_Toc351203569"/>
      <w:r>
        <w:rPr>
          <w:rFonts w:hint="eastAsia" w:ascii="宋体" w:hAnsi="宋体" w:cs="宋体"/>
          <w:color w:val="auto"/>
          <w:sz w:val="21"/>
          <w:szCs w:val="21"/>
        </w:rPr>
        <w:t>1</w:t>
      </w:r>
      <w:bookmarkStart w:id="386" w:name="_Toc296503085"/>
      <w:bookmarkStart w:id="387" w:name="_Toc296346586"/>
      <w:bookmarkStart w:id="388" w:name="_Toc337558789"/>
      <w:r>
        <w:rPr>
          <w:rFonts w:hint="eastAsia" w:ascii="宋体" w:hAnsi="宋体" w:cs="宋体"/>
          <w:color w:val="auto"/>
          <w:sz w:val="21"/>
          <w:szCs w:val="21"/>
        </w:rPr>
        <w:t>0.2变更权</w:t>
      </w:r>
      <w:bookmarkEnd w:id="385"/>
    </w:p>
    <w:bookmarkEnd w:id="386"/>
    <w:bookmarkEnd w:id="387"/>
    <w:bookmarkEnd w:id="388"/>
    <w:p w14:paraId="1FF8D9F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3F90ED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涉及设计变更的，应由设计人提供变更后的图纸和说明。如变更超过原设计标准或批准的建设规模时，发包人应及时办理规划、设计变更等审批手续。</w:t>
      </w:r>
    </w:p>
    <w:p w14:paraId="2A175ADE">
      <w:pPr>
        <w:pStyle w:val="9"/>
        <w:spacing w:before="120" w:after="120" w:line="360" w:lineRule="exact"/>
        <w:ind w:firstLine="422" w:firstLineChars="200"/>
        <w:rPr>
          <w:rFonts w:hint="eastAsia" w:ascii="宋体" w:hAnsi="宋体" w:cs="宋体"/>
          <w:color w:val="auto"/>
          <w:sz w:val="21"/>
          <w:szCs w:val="21"/>
        </w:rPr>
      </w:pPr>
      <w:bookmarkStart w:id="389" w:name="_Toc351203570"/>
      <w:r>
        <w:rPr>
          <w:rFonts w:hint="eastAsia" w:ascii="宋体" w:hAnsi="宋体" w:cs="宋体"/>
          <w:color w:val="auto"/>
          <w:sz w:val="21"/>
          <w:szCs w:val="21"/>
        </w:rPr>
        <w:t>1</w:t>
      </w:r>
      <w:bookmarkStart w:id="390" w:name="_Toc296503086"/>
      <w:bookmarkStart w:id="391" w:name="_Toc337558790"/>
      <w:bookmarkStart w:id="392" w:name="_Toc296346587"/>
      <w:r>
        <w:rPr>
          <w:rFonts w:hint="eastAsia" w:ascii="宋体" w:hAnsi="宋体" w:cs="宋体"/>
          <w:color w:val="auto"/>
          <w:sz w:val="21"/>
          <w:szCs w:val="21"/>
        </w:rPr>
        <w:t>0.3变更程序</w:t>
      </w:r>
      <w:bookmarkEnd w:id="389"/>
    </w:p>
    <w:bookmarkEnd w:id="390"/>
    <w:bookmarkEnd w:id="391"/>
    <w:bookmarkEnd w:id="392"/>
    <w:p w14:paraId="379F1B0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szCs w:val="21"/>
        </w:rPr>
        <w:t>10</w:t>
      </w:r>
      <w:r>
        <w:rPr>
          <w:rFonts w:hint="eastAsia" w:ascii="宋体" w:hAnsi="宋体" w:cs="宋体"/>
          <w:color w:val="auto"/>
          <w:kern w:val="0"/>
          <w:szCs w:val="21"/>
        </w:rPr>
        <w:t>.3.1 发包人提出变更</w:t>
      </w:r>
    </w:p>
    <w:p w14:paraId="187086F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发包人提出变更的，应通过监理人向承包人发出变更指示，变更指示应说明计划变更的工程范围和变更的内容。</w:t>
      </w:r>
    </w:p>
    <w:p w14:paraId="46D4CD6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szCs w:val="21"/>
        </w:rPr>
        <w:t>10</w:t>
      </w:r>
      <w:r>
        <w:rPr>
          <w:rFonts w:hint="eastAsia" w:ascii="宋体" w:hAnsi="宋体" w:cs="宋体"/>
          <w:color w:val="auto"/>
          <w:kern w:val="0"/>
          <w:szCs w:val="21"/>
        </w:rPr>
        <w:t>.3.2 监理人提出变更建议</w:t>
      </w:r>
    </w:p>
    <w:p w14:paraId="38E7542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9CFDE93">
      <w:pPr>
        <w:autoSpaceDE w:val="0"/>
        <w:autoSpaceDN w:val="0"/>
        <w:adjustRightInd w:val="0"/>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10.3.3 变更执行</w:t>
      </w:r>
    </w:p>
    <w:p w14:paraId="359FCDB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6411B27">
      <w:pPr>
        <w:pStyle w:val="9"/>
        <w:spacing w:before="120" w:after="120" w:line="360" w:lineRule="exact"/>
        <w:ind w:firstLine="422" w:firstLineChars="200"/>
        <w:rPr>
          <w:rFonts w:hint="eastAsia" w:ascii="宋体" w:hAnsi="宋体" w:cs="宋体"/>
          <w:b w:val="0"/>
          <w:bCs w:val="0"/>
          <w:color w:val="auto"/>
          <w:sz w:val="21"/>
          <w:szCs w:val="21"/>
        </w:rPr>
      </w:pPr>
      <w:bookmarkStart w:id="393" w:name="_Toc351203571"/>
      <w:r>
        <w:rPr>
          <w:rFonts w:hint="eastAsia" w:ascii="宋体" w:hAnsi="宋体" w:cs="宋体"/>
          <w:color w:val="auto"/>
          <w:sz w:val="21"/>
          <w:szCs w:val="21"/>
        </w:rPr>
        <w:t>1</w:t>
      </w:r>
      <w:bookmarkStart w:id="394" w:name="_Toc337558791"/>
      <w:bookmarkStart w:id="395" w:name="_Toc296346588"/>
      <w:bookmarkStart w:id="396" w:name="_Toc296503087"/>
      <w:r>
        <w:rPr>
          <w:rFonts w:hint="eastAsia" w:ascii="宋体" w:hAnsi="宋体" w:cs="宋体"/>
          <w:color w:val="auto"/>
          <w:sz w:val="21"/>
          <w:szCs w:val="21"/>
        </w:rPr>
        <w:t>0.4变更估价</w:t>
      </w:r>
      <w:bookmarkEnd w:id="393"/>
    </w:p>
    <w:bookmarkEnd w:id="394"/>
    <w:bookmarkEnd w:id="395"/>
    <w:bookmarkEnd w:id="396"/>
    <w:p w14:paraId="74AD23D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10.4.1 变更估价原则</w:t>
      </w:r>
    </w:p>
    <w:p w14:paraId="2DC0795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除专用合同条款另有约定外，变更估价按照本款约定处理：</w:t>
      </w:r>
    </w:p>
    <w:p w14:paraId="33BAE23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（1）已标价工程量清单或预算书有相同项目的，按照相同项目单价认定；</w:t>
      </w:r>
    </w:p>
    <w:p w14:paraId="450A6A1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（2）已标价工程量清单或预算书中无相同项目，但有类似项目的，参照类似项目的单价认定；</w:t>
      </w:r>
    </w:p>
    <w:p w14:paraId="238D30A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B3CF76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10.4.2 变更估价程序</w:t>
      </w:r>
    </w:p>
    <w:p w14:paraId="1F7A512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4ABACBE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因变更引起的价格调整应计入最近一期的进度款中支付。</w:t>
      </w:r>
    </w:p>
    <w:p w14:paraId="66624D26">
      <w:pPr>
        <w:pStyle w:val="9"/>
        <w:spacing w:before="120" w:after="120" w:line="360" w:lineRule="exact"/>
        <w:ind w:firstLine="422" w:firstLineChars="200"/>
        <w:rPr>
          <w:rFonts w:hint="eastAsia" w:ascii="宋体" w:hAnsi="宋体" w:cs="宋体"/>
          <w:color w:val="auto"/>
          <w:sz w:val="21"/>
          <w:szCs w:val="21"/>
        </w:rPr>
      </w:pPr>
      <w:bookmarkStart w:id="397" w:name="_Toc351203572"/>
      <w:r>
        <w:rPr>
          <w:rFonts w:hint="eastAsia" w:ascii="宋体" w:hAnsi="宋体" w:cs="宋体"/>
          <w:color w:val="auto"/>
          <w:sz w:val="21"/>
          <w:szCs w:val="21"/>
        </w:rPr>
        <w:t>1</w:t>
      </w:r>
      <w:bookmarkStart w:id="398" w:name="_Toc296346595"/>
      <w:bookmarkStart w:id="399" w:name="_Toc337558792"/>
      <w:bookmarkStart w:id="400" w:name="_Toc296503094"/>
      <w:r>
        <w:rPr>
          <w:rFonts w:hint="eastAsia" w:ascii="宋体" w:hAnsi="宋体" w:cs="宋体"/>
          <w:color w:val="auto"/>
          <w:sz w:val="21"/>
          <w:szCs w:val="21"/>
        </w:rPr>
        <w:t>0.5承包人的合理化建议</w:t>
      </w:r>
      <w:bookmarkEnd w:id="397"/>
    </w:p>
    <w:bookmarkEnd w:id="398"/>
    <w:bookmarkEnd w:id="399"/>
    <w:bookmarkEnd w:id="400"/>
    <w:p w14:paraId="0DBD997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承包人提出合理化建议的，应向监理人提交合理化建议说明，说明建议的内容和理由，以及实施该建议对合同价格和工期的影响。</w:t>
      </w:r>
    </w:p>
    <w:p w14:paraId="105702C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F71850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合理化建议降低了合同价格或者提高了工程经济效益的，发包人可对承包人给予奖励，奖励的方法和金额在专用合同条款中约定。</w:t>
      </w:r>
    </w:p>
    <w:p w14:paraId="63DB09A1">
      <w:pPr>
        <w:pStyle w:val="9"/>
        <w:spacing w:before="120" w:after="120" w:line="360" w:lineRule="exact"/>
        <w:ind w:firstLine="422" w:firstLineChars="200"/>
        <w:rPr>
          <w:rFonts w:hint="eastAsia" w:ascii="宋体" w:hAnsi="宋体" w:cs="宋体"/>
          <w:b w:val="0"/>
          <w:bCs w:val="0"/>
          <w:color w:val="auto"/>
          <w:sz w:val="21"/>
          <w:szCs w:val="21"/>
        </w:rPr>
      </w:pPr>
      <w:bookmarkStart w:id="401" w:name="_Toc351203573"/>
      <w:r>
        <w:rPr>
          <w:rFonts w:hint="eastAsia" w:ascii="宋体" w:hAnsi="宋体" w:cs="宋体"/>
          <w:color w:val="auto"/>
          <w:sz w:val="21"/>
          <w:szCs w:val="21"/>
        </w:rPr>
        <w:t>1</w:t>
      </w:r>
      <w:bookmarkStart w:id="402" w:name="_Toc337558793"/>
      <w:r>
        <w:rPr>
          <w:rFonts w:hint="eastAsia" w:ascii="宋体" w:hAnsi="宋体" w:cs="宋体"/>
          <w:color w:val="auto"/>
          <w:sz w:val="21"/>
          <w:szCs w:val="21"/>
        </w:rPr>
        <w:t>0.6变更引起的工期调整</w:t>
      </w:r>
      <w:bookmarkEnd w:id="401"/>
      <w:r>
        <w:rPr>
          <w:rFonts w:hint="eastAsia" w:ascii="宋体" w:hAnsi="宋体" w:cs="宋体"/>
          <w:b w:val="0"/>
          <w:bCs w:val="0"/>
          <w:color w:val="auto"/>
          <w:sz w:val="21"/>
          <w:szCs w:val="21"/>
        </w:rPr>
        <w:t xml:space="preserve"> </w:t>
      </w:r>
      <w:bookmarkEnd w:id="402"/>
      <w:r>
        <w:rPr>
          <w:rFonts w:hint="eastAsia" w:ascii="宋体" w:hAnsi="宋体" w:cs="宋体"/>
          <w:b w:val="0"/>
          <w:bCs w:val="0"/>
          <w:color w:val="auto"/>
          <w:sz w:val="21"/>
          <w:szCs w:val="21"/>
        </w:rPr>
        <w:t xml:space="preserve">  </w:t>
      </w:r>
    </w:p>
    <w:p w14:paraId="2743B46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因变更引起工期变化的，合同当事人均可要求调整合同工期，由合同当事人按照第4.4款〔商定或确定〕并参考工程所在地的工期定额标准确定增减工期天数。</w:t>
      </w:r>
    </w:p>
    <w:p w14:paraId="150357F5">
      <w:pPr>
        <w:pStyle w:val="9"/>
        <w:spacing w:before="120" w:after="120" w:line="360" w:lineRule="exact"/>
        <w:ind w:firstLine="422" w:firstLineChars="200"/>
        <w:rPr>
          <w:rFonts w:hint="eastAsia" w:ascii="宋体" w:hAnsi="宋体" w:cs="宋体"/>
          <w:b w:val="0"/>
          <w:bCs w:val="0"/>
          <w:color w:val="auto"/>
          <w:sz w:val="21"/>
          <w:szCs w:val="21"/>
        </w:rPr>
      </w:pPr>
      <w:bookmarkStart w:id="403" w:name="_Toc351203574"/>
      <w:r>
        <w:rPr>
          <w:rFonts w:hint="eastAsia" w:ascii="宋体" w:hAnsi="宋体" w:cs="宋体"/>
          <w:color w:val="auto"/>
          <w:sz w:val="21"/>
          <w:szCs w:val="21"/>
        </w:rPr>
        <w:t>10.7暂估价</w:t>
      </w:r>
      <w:bookmarkEnd w:id="403"/>
    </w:p>
    <w:p w14:paraId="42F5241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暂估价专业分包工程、服务、材料和工程设备的明细由合同当事人在专用合同条款中约定。</w:t>
      </w:r>
    </w:p>
    <w:p w14:paraId="57BF6677">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szCs w:val="21"/>
        </w:rPr>
        <w:t>10.7.1</w:t>
      </w:r>
      <w:r>
        <w:rPr>
          <w:rFonts w:hint="eastAsia" w:ascii="宋体" w:hAnsi="宋体" w:cs="宋体"/>
          <w:color w:val="auto"/>
          <w:kern w:val="0"/>
          <w:szCs w:val="21"/>
        </w:rPr>
        <w:t xml:space="preserve"> 依法必须招标的暂估价项目</w:t>
      </w:r>
    </w:p>
    <w:p w14:paraId="32E2551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对于依法必须招标的暂估价项目，采取以下第1种方式确定。合同当事人也可以在专用合同条款中选择其他招标方式。</w:t>
      </w:r>
    </w:p>
    <w:p w14:paraId="096A104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第1种方式：对于依法必须招标的暂估价项目，由承包人招标，对该暂估价项目的确认和批准按照以下约定执行：</w:t>
      </w:r>
    </w:p>
    <w:p w14:paraId="36C6821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承包人应当根据施工进度计划，在采购工作启动前14天将招标方案通过监理人报送发包人审查，发包人应当在收到承包人报送的招标方案后7天内批准或提出修改意见。承包人应当按照经过发包人批准的招标方案开展招标工作；</w:t>
      </w:r>
    </w:p>
    <w:p w14:paraId="75811587">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承包人应当根据施工进度计划，提前14天将采购文件通过监理人报送发包人审批，发包人应当在收到承包人报送的相关文件后7天内完成审批或提出修改意见；发包人有权确定招标控制价并按照法律规定参加评标；</w:t>
      </w:r>
    </w:p>
    <w:p w14:paraId="31CDBA8A">
      <w:pPr>
        <w:spacing w:line="360" w:lineRule="exact"/>
        <w:jc w:val="left"/>
        <w:rPr>
          <w:rFonts w:hint="eastAsia" w:ascii="宋体" w:hAnsi="宋体" w:cs="宋体"/>
          <w:color w:val="auto"/>
          <w:kern w:val="0"/>
          <w:szCs w:val="21"/>
        </w:rPr>
      </w:pPr>
      <w:r>
        <w:rPr>
          <w:rFonts w:hint="eastAsia" w:ascii="宋体" w:hAnsi="宋体" w:cs="宋体"/>
          <w:color w:val="auto"/>
          <w:kern w:val="0"/>
          <w:szCs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D56229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27DDEE8">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szCs w:val="21"/>
        </w:rPr>
        <w:t>10.7.2</w:t>
      </w:r>
      <w:r>
        <w:rPr>
          <w:rFonts w:hint="eastAsia" w:ascii="宋体" w:hAnsi="宋体" w:cs="宋体"/>
          <w:color w:val="auto"/>
          <w:kern w:val="0"/>
          <w:szCs w:val="21"/>
        </w:rPr>
        <w:t>不属于依法必须招标的暂估价项目</w:t>
      </w:r>
    </w:p>
    <w:p w14:paraId="449DBDBF">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除专用合同条款另有约定外，对于不属于依法必须招标的暂估价项目，采取以下第1种方式确定： </w:t>
      </w:r>
    </w:p>
    <w:p w14:paraId="7A6D6ED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第1种方式：对于不属于依法必须招标的暂估价项目，按本项约定确认和批准：</w:t>
      </w:r>
    </w:p>
    <w:p w14:paraId="3460C96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ECC4DA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（2）发包人认为承包人确定的供应商、分包人无法满足工程质量或合同要求的，发包人可以要求承包人重新确定暂估价项目的供应商、分包人;</w:t>
      </w:r>
    </w:p>
    <w:p w14:paraId="5E9BAB3F">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（3）承包人应当在签订暂估价合同后7天内，将暂估价合同副本报送发包人留存。</w:t>
      </w:r>
    </w:p>
    <w:p w14:paraId="404D8A9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第2种方式：承包人按照第10.7.1项〔依法必须招标的暂估价项目〕约定的第1种方式确定暂估价项目。</w:t>
      </w:r>
    </w:p>
    <w:p w14:paraId="5F914071">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szCs w:val="21"/>
        </w:rPr>
        <w:t>第3种方式：</w:t>
      </w:r>
      <w:r>
        <w:rPr>
          <w:rFonts w:hint="eastAsia" w:ascii="宋体" w:hAnsi="宋体" w:cs="宋体"/>
          <w:color w:val="auto"/>
          <w:kern w:val="0"/>
          <w:szCs w:val="21"/>
        </w:rPr>
        <w:t>承包人直接实施的暂估价项目</w:t>
      </w:r>
    </w:p>
    <w:p w14:paraId="777D2D98">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承包人具备实施暂估价项目的资格和条件的，经发包人和承包人协商一致后，可由承包人自行实施暂估价项目，合同当事人可以在专用合同条款约定具体事项。</w:t>
      </w:r>
    </w:p>
    <w:p w14:paraId="0CD03D3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3DD921E">
      <w:pPr>
        <w:pStyle w:val="9"/>
        <w:spacing w:before="120" w:after="120" w:line="360" w:lineRule="exact"/>
        <w:ind w:firstLine="422" w:firstLineChars="200"/>
        <w:rPr>
          <w:rFonts w:hint="eastAsia" w:ascii="宋体" w:hAnsi="宋体" w:cs="宋体"/>
          <w:color w:val="auto"/>
          <w:sz w:val="21"/>
          <w:szCs w:val="21"/>
        </w:rPr>
      </w:pPr>
      <w:bookmarkStart w:id="404" w:name="_Toc351203575"/>
      <w:r>
        <w:rPr>
          <w:rFonts w:hint="eastAsia" w:ascii="宋体" w:hAnsi="宋体" w:cs="宋体"/>
          <w:color w:val="auto"/>
          <w:sz w:val="21"/>
          <w:szCs w:val="21"/>
        </w:rPr>
        <w:t>1</w:t>
      </w:r>
      <w:bookmarkStart w:id="405" w:name="_Toc337558794"/>
      <w:bookmarkStart w:id="406" w:name="_Toc322522561"/>
      <w:bookmarkStart w:id="407" w:name="_Toc296346591"/>
      <w:bookmarkStart w:id="408" w:name="_Toc296503090"/>
      <w:r>
        <w:rPr>
          <w:rFonts w:hint="eastAsia" w:ascii="宋体" w:hAnsi="宋体" w:cs="宋体"/>
          <w:color w:val="auto"/>
          <w:sz w:val="21"/>
          <w:szCs w:val="21"/>
        </w:rPr>
        <w:t>0.8暂列金额</w:t>
      </w:r>
      <w:bookmarkEnd w:id="404"/>
    </w:p>
    <w:bookmarkEnd w:id="405"/>
    <w:p w14:paraId="0442853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暂列金额应按照发包人的要求使用，发包人的要求应通过监理人发出。合同当事人可以在专用合同条款中协商确定有关事项。</w:t>
      </w:r>
    </w:p>
    <w:bookmarkEnd w:id="406"/>
    <w:bookmarkEnd w:id="407"/>
    <w:bookmarkEnd w:id="408"/>
    <w:p w14:paraId="60AB37AE">
      <w:pPr>
        <w:pStyle w:val="9"/>
        <w:spacing w:before="120" w:after="120" w:line="360" w:lineRule="exact"/>
        <w:ind w:firstLine="422" w:firstLineChars="200"/>
        <w:rPr>
          <w:rFonts w:hint="eastAsia" w:ascii="宋体" w:hAnsi="宋体" w:cs="宋体"/>
          <w:b w:val="0"/>
          <w:bCs w:val="0"/>
          <w:color w:val="auto"/>
          <w:sz w:val="21"/>
          <w:szCs w:val="21"/>
        </w:rPr>
      </w:pPr>
      <w:bookmarkStart w:id="409" w:name="_Toc351203576"/>
      <w:r>
        <w:rPr>
          <w:rFonts w:hint="eastAsia" w:ascii="宋体" w:hAnsi="宋体" w:cs="宋体"/>
          <w:color w:val="auto"/>
          <w:sz w:val="21"/>
          <w:szCs w:val="21"/>
        </w:rPr>
        <w:t>1</w:t>
      </w:r>
      <w:bookmarkStart w:id="410" w:name="_Toc296503091"/>
      <w:bookmarkStart w:id="411" w:name="_Toc296346592"/>
      <w:bookmarkStart w:id="412" w:name="_Toc337558796"/>
      <w:r>
        <w:rPr>
          <w:rFonts w:hint="eastAsia" w:ascii="宋体" w:hAnsi="宋体" w:cs="宋体"/>
          <w:color w:val="auto"/>
          <w:sz w:val="21"/>
          <w:szCs w:val="21"/>
        </w:rPr>
        <w:t>0.9计日工</w:t>
      </w:r>
      <w:bookmarkEnd w:id="409"/>
      <w:r>
        <w:rPr>
          <w:rFonts w:hint="eastAsia" w:ascii="宋体" w:hAnsi="宋体" w:cs="宋体"/>
          <w:color w:val="auto"/>
          <w:sz w:val="21"/>
          <w:szCs w:val="21"/>
        </w:rPr>
        <w:t xml:space="preserve"> </w:t>
      </w:r>
      <w:bookmarkEnd w:id="410"/>
      <w:bookmarkEnd w:id="411"/>
      <w:bookmarkEnd w:id="412"/>
    </w:p>
    <w:p w14:paraId="5E4BD75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7069DF4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采用计日工计价的任何一项工作，承包人应在该项工作实施过程中，每天提交以下报表和有关凭证报送监理人审查：</w:t>
      </w:r>
    </w:p>
    <w:p w14:paraId="2C8F06CD">
      <w:pPr>
        <w:spacing w:line="360" w:lineRule="exact"/>
        <w:ind w:firstLine="315" w:firstLineChars="150"/>
        <w:jc w:val="left"/>
        <w:rPr>
          <w:rFonts w:hint="eastAsia" w:ascii="宋体" w:hAnsi="宋体" w:cs="宋体"/>
          <w:color w:val="auto"/>
          <w:kern w:val="0"/>
          <w:szCs w:val="21"/>
        </w:rPr>
      </w:pPr>
      <w:r>
        <w:rPr>
          <w:rFonts w:hint="eastAsia" w:ascii="宋体" w:hAnsi="宋体" w:cs="宋体"/>
          <w:color w:val="auto"/>
          <w:kern w:val="0"/>
          <w:szCs w:val="21"/>
        </w:rPr>
        <w:t>（1）工作名称、内容和数量；</w:t>
      </w:r>
    </w:p>
    <w:p w14:paraId="0BDDD7F0">
      <w:pPr>
        <w:spacing w:line="360" w:lineRule="exact"/>
        <w:ind w:firstLine="315" w:firstLineChars="150"/>
        <w:jc w:val="left"/>
        <w:rPr>
          <w:rFonts w:hint="eastAsia" w:ascii="宋体" w:hAnsi="宋体" w:cs="宋体"/>
          <w:color w:val="auto"/>
          <w:kern w:val="0"/>
          <w:szCs w:val="21"/>
        </w:rPr>
      </w:pPr>
      <w:r>
        <w:rPr>
          <w:rFonts w:hint="eastAsia" w:ascii="宋体" w:hAnsi="宋体" w:cs="宋体"/>
          <w:color w:val="auto"/>
          <w:kern w:val="0"/>
          <w:szCs w:val="21"/>
        </w:rPr>
        <w:t>（2）投入该工作的所有人员的姓名、专业、工种、级别和耗用工时；</w:t>
      </w:r>
    </w:p>
    <w:p w14:paraId="5C9A2CBB">
      <w:pPr>
        <w:spacing w:line="360" w:lineRule="exact"/>
        <w:ind w:firstLine="315" w:firstLineChars="150"/>
        <w:jc w:val="left"/>
        <w:rPr>
          <w:rFonts w:hint="eastAsia" w:ascii="宋体" w:hAnsi="宋体" w:cs="宋体"/>
          <w:color w:val="auto"/>
          <w:kern w:val="0"/>
          <w:szCs w:val="21"/>
        </w:rPr>
      </w:pPr>
      <w:r>
        <w:rPr>
          <w:rFonts w:hint="eastAsia" w:ascii="宋体" w:hAnsi="宋体" w:cs="宋体"/>
          <w:color w:val="auto"/>
          <w:kern w:val="0"/>
          <w:szCs w:val="21"/>
        </w:rPr>
        <w:t>（3）投入该工作的材料类别和数量；</w:t>
      </w:r>
    </w:p>
    <w:p w14:paraId="4419AD2C">
      <w:pPr>
        <w:spacing w:line="360" w:lineRule="exact"/>
        <w:ind w:firstLine="315" w:firstLineChars="150"/>
        <w:jc w:val="left"/>
        <w:rPr>
          <w:rFonts w:hint="eastAsia" w:ascii="宋体" w:hAnsi="宋体" w:cs="宋体"/>
          <w:color w:val="auto"/>
          <w:kern w:val="0"/>
          <w:szCs w:val="21"/>
        </w:rPr>
      </w:pPr>
      <w:r>
        <w:rPr>
          <w:rFonts w:hint="eastAsia" w:ascii="宋体" w:hAnsi="宋体" w:cs="宋体"/>
          <w:color w:val="auto"/>
          <w:kern w:val="0"/>
          <w:szCs w:val="21"/>
        </w:rPr>
        <w:t>（4）投入该工作的施工设备型号、台数和耗用台时；</w:t>
      </w:r>
    </w:p>
    <w:p w14:paraId="38B628E5">
      <w:pPr>
        <w:spacing w:line="360" w:lineRule="exact"/>
        <w:ind w:firstLine="315" w:firstLineChars="150"/>
        <w:jc w:val="left"/>
        <w:rPr>
          <w:rFonts w:hint="eastAsia" w:ascii="宋体" w:hAnsi="宋体" w:cs="宋体"/>
          <w:color w:val="auto"/>
          <w:kern w:val="0"/>
          <w:szCs w:val="21"/>
        </w:rPr>
      </w:pPr>
      <w:r>
        <w:rPr>
          <w:rFonts w:hint="eastAsia" w:ascii="宋体" w:hAnsi="宋体" w:cs="宋体"/>
          <w:color w:val="auto"/>
          <w:kern w:val="0"/>
          <w:szCs w:val="21"/>
        </w:rPr>
        <w:t>（5）其他有关资料和凭证。</w:t>
      </w:r>
    </w:p>
    <w:p w14:paraId="6CF51878">
      <w:pPr>
        <w:spacing w:line="360" w:lineRule="exact"/>
        <w:ind w:firstLine="315" w:firstLineChars="150"/>
        <w:jc w:val="left"/>
        <w:rPr>
          <w:rFonts w:hint="eastAsia" w:ascii="宋体" w:hAnsi="宋体" w:cs="宋体"/>
          <w:color w:val="auto"/>
          <w:kern w:val="0"/>
          <w:szCs w:val="21"/>
        </w:rPr>
      </w:pPr>
      <w:r>
        <w:rPr>
          <w:rFonts w:hint="eastAsia" w:ascii="宋体" w:hAnsi="宋体" w:cs="宋体"/>
          <w:color w:val="auto"/>
          <w:kern w:val="0"/>
          <w:szCs w:val="21"/>
        </w:rPr>
        <w:t xml:space="preserve"> 计日工由承包人汇总后，列入最近一期进度付款申请单，由监理人审查并经发包人批准后列入进度付款。</w:t>
      </w:r>
    </w:p>
    <w:p w14:paraId="75603CCA">
      <w:pPr>
        <w:pStyle w:val="8"/>
        <w:spacing w:before="120" w:after="120" w:line="360" w:lineRule="exact"/>
        <w:rPr>
          <w:rFonts w:hint="eastAsia" w:ascii="宋体" w:hAnsi="宋体" w:cs="宋体"/>
          <w:bCs w:val="0"/>
          <w:color w:val="auto"/>
          <w:sz w:val="21"/>
          <w:szCs w:val="21"/>
        </w:rPr>
      </w:pPr>
      <w:bookmarkStart w:id="413" w:name="_Toc351203577"/>
      <w:r>
        <w:rPr>
          <w:rFonts w:hint="eastAsia" w:ascii="宋体" w:hAnsi="宋体" w:cs="宋体"/>
          <w:bCs w:val="0"/>
          <w:color w:val="auto"/>
          <w:sz w:val="21"/>
          <w:szCs w:val="21"/>
        </w:rPr>
        <w:t>11. 价格调整</w:t>
      </w:r>
      <w:bookmarkEnd w:id="413"/>
    </w:p>
    <w:p w14:paraId="27875411">
      <w:pPr>
        <w:pStyle w:val="9"/>
        <w:spacing w:before="120" w:after="120" w:line="360" w:lineRule="exact"/>
        <w:ind w:firstLine="422" w:firstLineChars="200"/>
        <w:rPr>
          <w:rFonts w:hint="eastAsia" w:ascii="宋体" w:hAnsi="宋体" w:cs="宋体"/>
          <w:color w:val="auto"/>
          <w:sz w:val="21"/>
          <w:szCs w:val="21"/>
        </w:rPr>
      </w:pPr>
      <w:bookmarkStart w:id="414" w:name="_Toc351203578"/>
      <w:bookmarkStart w:id="415" w:name="_Toc296346593"/>
      <w:bookmarkStart w:id="416" w:name="_Toc296503092"/>
      <w:bookmarkStart w:id="417" w:name="_Toc337558797"/>
      <w:r>
        <w:rPr>
          <w:rFonts w:hint="eastAsia" w:ascii="宋体" w:hAnsi="宋体" w:cs="宋体"/>
          <w:color w:val="auto"/>
          <w:sz w:val="21"/>
          <w:szCs w:val="21"/>
        </w:rPr>
        <w:t>11.1市场价格波动引起的调整</w:t>
      </w:r>
      <w:bookmarkEnd w:id="414"/>
    </w:p>
    <w:bookmarkEnd w:id="415"/>
    <w:bookmarkEnd w:id="416"/>
    <w:bookmarkEnd w:id="417"/>
    <w:p w14:paraId="3030972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除专用合同条款另有约定外，市场价格波动超过合同当事人约定的范围，合同价格应当调整。合同当事人可以在专用合同条款中约定选择以下一种方式对合同价格进行调整：</w:t>
      </w:r>
    </w:p>
    <w:p w14:paraId="1EDD4CE6">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第1种方式：采用价格指数进行价格调整。</w:t>
      </w:r>
    </w:p>
    <w:p w14:paraId="1F2A3CAA">
      <w:pPr>
        <w:tabs>
          <w:tab w:val="left" w:pos="0"/>
          <w:tab w:val="left" w:pos="360"/>
          <w:tab w:val="left" w:pos="540"/>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（1）价格调整公式</w:t>
      </w:r>
    </w:p>
    <w:p w14:paraId="7E2BDC2D">
      <w:pPr>
        <w:tabs>
          <w:tab w:val="left" w:pos="0"/>
          <w:tab w:val="left" w:pos="360"/>
          <w:tab w:val="left" w:pos="540"/>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因人工、材料和设备等价格波动影响合同价格时，根据专用合同条款中约定的数据，按以下公式计算差额并调整合同价格：</w:t>
      </w:r>
    </w:p>
    <w:p w14:paraId="71D370A0">
      <w:pPr>
        <w:tabs>
          <w:tab w:val="left" w:pos="0"/>
          <w:tab w:val="left" w:pos="360"/>
          <w:tab w:val="left" w:pos="540"/>
        </w:tabs>
        <w:spacing w:line="360" w:lineRule="exact"/>
        <w:ind w:firstLine="420" w:firstLineChars="200"/>
        <w:rPr>
          <w:rFonts w:hint="eastAsia" w:ascii="宋体" w:hAnsi="宋体" w:cs="宋体"/>
          <w:color w:val="auto"/>
          <w:szCs w:val="21"/>
        </w:rPr>
      </w:pPr>
      <w:r>
        <w:rPr>
          <w:rFonts w:hint="eastAsia" w:ascii="宋体" w:hAnsi="宋体" w:cs="宋体"/>
          <w:color w:val="auto"/>
          <w:position w:val="-30"/>
          <w:szCs w:val="21"/>
        </w:rPr>
        <w:object>
          <v:shape id="_x0000_i1025" o:spt="75" type="#_x0000_t75" style="height:53.55pt;width:359.85pt;" o:ole="t" filled="f" o:preferrelative="t" stroked="f" coordsize="21600,21600">
            <v:path/>
            <v:fill on="f" focussize="0,0"/>
            <v:stroke on="f"/>
            <v:imagedata r:id="rId13" o:title=""/>
            <o:lock v:ext="edit" aspectratio="t"/>
            <w10:wrap type="none"/>
            <w10:anchorlock/>
          </v:shape>
          <o:OLEObject Type="Embed" ProgID="Equation.KSEE3" ShapeID="_x0000_i1025" DrawAspect="Content" ObjectID="_1468075725" r:id="rId12">
            <o:LockedField>false</o:LockedField>
          </o:OLEObject>
        </w:object>
      </w:r>
    </w:p>
    <w:p w14:paraId="339AFCEF">
      <w:pPr>
        <w:tabs>
          <w:tab w:val="left" w:pos="0"/>
          <w:tab w:val="left" w:pos="360"/>
          <w:tab w:val="left" w:pos="540"/>
        </w:tabs>
        <w:spacing w:line="360" w:lineRule="exact"/>
        <w:ind w:firstLine="640"/>
        <w:rPr>
          <w:rFonts w:hint="eastAsia" w:ascii="宋体" w:hAnsi="宋体" w:cs="宋体"/>
          <w:color w:val="auto"/>
          <w:szCs w:val="21"/>
        </w:rPr>
      </w:pPr>
      <w:r>
        <w:rPr>
          <w:rFonts w:hint="eastAsia" w:ascii="宋体" w:hAnsi="宋体" w:cs="宋体"/>
          <w:color w:val="auto"/>
          <w:szCs w:val="21"/>
        </w:rPr>
        <w:t>公式中：ΔP——需调整的价格差额；</w:t>
      </w:r>
    </w:p>
    <w:p w14:paraId="46C852C2">
      <w:pPr>
        <w:tabs>
          <w:tab w:val="left" w:pos="0"/>
          <w:tab w:val="left" w:pos="360"/>
          <w:tab w:val="left" w:pos="540"/>
        </w:tabs>
        <w:spacing w:line="360" w:lineRule="exact"/>
        <w:ind w:firstLine="1260" w:firstLineChars="600"/>
        <w:rPr>
          <w:rFonts w:hint="eastAsia" w:ascii="宋体" w:hAnsi="宋体" w:cs="宋体"/>
          <w:color w:val="auto"/>
          <w:szCs w:val="21"/>
        </w:rPr>
      </w:pPr>
      <w:r>
        <w:rPr>
          <w:rFonts w:hint="eastAsia" w:ascii="宋体" w:hAnsi="宋体" w:cs="宋体"/>
          <w:color w:val="auto"/>
          <w:position w:val="-6"/>
          <w:szCs w:val="21"/>
        </w:rPr>
        <w:object>
          <v:shape id="_x0000_i1026" o:spt="75" type="#_x0000_t75" style="height:17.95pt;width:17.95pt;" o:ole="t" filled="f" stroked="f" coordsize="21600,21600">
            <v:path/>
            <v:fill on="f" focussize="0,0"/>
            <v:stroke on="f"/>
            <v:imagedata r:id="rId15" o:title=""/>
            <o:lock v:ext="edit" grouping="f" rotation="f" text="f" aspectratio="t"/>
            <w10:wrap type="none"/>
            <w10:anchorlock/>
          </v:shape>
          <o:OLEObject Type="Embed" ProgID="Equation.KSEE3" ShapeID="_x0000_i1026" DrawAspect="Content" ObjectID="_1468075726" r:id="rId14">
            <o:LockedField>false</o:LockedField>
          </o:OLEObject>
        </w:object>
      </w:r>
      <w:r>
        <w:rPr>
          <w:rFonts w:hint="eastAsia" w:ascii="宋体" w:hAnsi="宋体" w:cs="宋体"/>
          <w:color w:val="auto"/>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00972E42">
      <w:pPr>
        <w:tabs>
          <w:tab w:val="left" w:pos="0"/>
          <w:tab w:val="left" w:pos="360"/>
          <w:tab w:val="left" w:pos="540"/>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A——定值权重（即不调部分的权重）；</w:t>
      </w:r>
    </w:p>
    <w:p w14:paraId="78AD6189">
      <w:pPr>
        <w:tabs>
          <w:tab w:val="left" w:pos="0"/>
          <w:tab w:val="left" w:pos="360"/>
          <w:tab w:val="left" w:pos="540"/>
        </w:tabs>
        <w:spacing w:line="360" w:lineRule="exact"/>
        <w:ind w:firstLine="420" w:firstLineChars="200"/>
        <w:rPr>
          <w:rFonts w:hint="eastAsia" w:ascii="宋体" w:hAnsi="宋体" w:cs="宋体"/>
          <w:color w:val="auto"/>
          <w:szCs w:val="21"/>
        </w:rPr>
      </w:pPr>
      <w:r>
        <w:rPr>
          <w:rFonts w:hint="eastAsia" w:ascii="宋体" w:hAnsi="宋体" w:cs="宋体"/>
          <w:color w:val="auto"/>
          <w:position w:val="-10"/>
          <w:szCs w:val="21"/>
        </w:rPr>
        <w:object>
          <v:shape id="_x0000_i1027" o:spt="75" type="#_x0000_t75" style="height:21.05pt;width:101pt;" o:ole="t" filled="f" stroked="f" coordsize="21600,21600">
            <v:path/>
            <v:fill on="f" focussize="0,0"/>
            <v:stroke on="f"/>
            <v:imagedata r:id="rId17" o:title=""/>
            <o:lock v:ext="edit" grouping="f" rotation="f" text="f" aspectratio="t"/>
            <w10:wrap type="none"/>
            <w10:anchorlock/>
          </v:shape>
          <o:OLEObject Type="Embed" ProgID="Equation.KSEE3" ShapeID="_x0000_i1027" DrawAspect="Content" ObjectID="_1468075727" r:id="rId16">
            <o:LockedField>false</o:LockedField>
          </o:OLEObject>
        </w:object>
      </w:r>
      <w:r>
        <w:rPr>
          <w:rFonts w:hint="eastAsia" w:ascii="宋体" w:hAnsi="宋体" w:cs="宋体"/>
          <w:color w:val="auto"/>
          <w:szCs w:val="21"/>
        </w:rPr>
        <w:t>——各可调因子的变值权重（即可调部分的权重），为各可调因子在签约合同价中所占的比例；</w:t>
      </w:r>
    </w:p>
    <w:p w14:paraId="1CB8F27F">
      <w:pPr>
        <w:tabs>
          <w:tab w:val="left" w:pos="0"/>
          <w:tab w:val="left" w:pos="360"/>
          <w:tab w:val="left" w:pos="540"/>
        </w:tabs>
        <w:spacing w:line="360" w:lineRule="exact"/>
        <w:ind w:firstLine="420" w:firstLineChars="200"/>
        <w:rPr>
          <w:rFonts w:hint="eastAsia" w:ascii="宋体" w:hAnsi="宋体" w:cs="宋体"/>
          <w:color w:val="auto"/>
          <w:szCs w:val="21"/>
        </w:rPr>
      </w:pPr>
      <w:r>
        <w:rPr>
          <w:rFonts w:hint="eastAsia" w:ascii="宋体" w:hAnsi="宋体" w:cs="宋体"/>
          <w:color w:val="auto"/>
          <w:position w:val="-10"/>
          <w:szCs w:val="21"/>
        </w:rPr>
        <w:object>
          <v:shape id="_x0000_i1028" o:spt="75" type="#_x0000_t75" style="height:20.6pt;width:102.05pt;" o:ole="t" filled="f" stroked="f" coordsize="21600,21600">
            <v:path/>
            <v:fill on="f" focussize="0,0"/>
            <v:stroke on="f"/>
            <v:imagedata r:id="rId19" o:title=""/>
            <o:lock v:ext="edit" grouping="f" rotation="f" text="f" aspectratio="t"/>
            <w10:wrap type="none"/>
            <w10:anchorlock/>
          </v:shape>
          <o:OLEObject Type="Embed" ProgID="Equation.KSEE3" ShapeID="_x0000_i1028" DrawAspect="Content" ObjectID="_1468075728" r:id="rId18">
            <o:LockedField>false</o:LockedField>
          </o:OLEObject>
        </w:object>
      </w:r>
      <w:r>
        <w:rPr>
          <w:rFonts w:hint="eastAsia" w:ascii="宋体" w:hAnsi="宋体" w:cs="宋体"/>
          <w:color w:val="auto"/>
          <w:szCs w:val="21"/>
        </w:rPr>
        <w:t>——各可调因子的现行价格指数，指约定的付款证书相关周期最后一天的前42天的各可调因子的价格指数；</w:t>
      </w:r>
    </w:p>
    <w:p w14:paraId="618AF158">
      <w:pPr>
        <w:tabs>
          <w:tab w:val="left" w:pos="0"/>
          <w:tab w:val="left" w:pos="360"/>
          <w:tab w:val="left" w:pos="540"/>
        </w:tabs>
        <w:spacing w:line="360" w:lineRule="exact"/>
        <w:ind w:firstLine="420" w:firstLineChars="200"/>
        <w:rPr>
          <w:rFonts w:hint="eastAsia" w:ascii="宋体" w:hAnsi="宋体" w:cs="宋体"/>
          <w:color w:val="auto"/>
          <w:szCs w:val="21"/>
        </w:rPr>
      </w:pPr>
      <w:r>
        <w:rPr>
          <w:rFonts w:hint="eastAsia" w:ascii="宋体" w:hAnsi="宋体" w:cs="宋体"/>
          <w:color w:val="auto"/>
          <w:position w:val="-10"/>
          <w:szCs w:val="21"/>
        </w:rPr>
        <w:object>
          <v:shape id="_x0000_i1029" o:spt="75" type="#_x0000_t75" style="height:20.2pt;width:108pt;" o:ole="t" filled="f" stroked="f" coordsize="21600,21600">
            <v:path/>
            <v:fill on="f" focussize="0,0"/>
            <v:stroke on="f"/>
            <v:imagedata r:id="rId21" o:title=""/>
            <o:lock v:ext="edit" grouping="f" rotation="f" text="f" aspectratio="t"/>
            <w10:wrap type="none"/>
            <w10:anchorlock/>
          </v:shape>
          <o:OLEObject Type="Embed" ProgID="Equation.KSEE3" ShapeID="_x0000_i1029" DrawAspect="Content" ObjectID="_1468075729" r:id="rId20">
            <o:LockedField>false</o:LockedField>
          </o:OLEObject>
        </w:object>
      </w:r>
      <w:r>
        <w:rPr>
          <w:rFonts w:hint="eastAsia" w:ascii="宋体" w:hAnsi="宋体" w:cs="宋体"/>
          <w:color w:val="auto"/>
          <w:szCs w:val="21"/>
        </w:rPr>
        <w:t>——各可调因子的基本价格指数，指基准日期的各可调因子的价格指数。</w:t>
      </w:r>
    </w:p>
    <w:p w14:paraId="17693FDD">
      <w:pPr>
        <w:tabs>
          <w:tab w:val="left" w:pos="0"/>
          <w:tab w:val="left" w:pos="360"/>
          <w:tab w:val="left" w:pos="540"/>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以上价格调整公式中的各可调因子、定值和变值权重，以及基本价格指数及其来源在竞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02F3EE0">
      <w:pPr>
        <w:tabs>
          <w:tab w:val="left" w:pos="0"/>
          <w:tab w:val="left" w:pos="360"/>
          <w:tab w:val="left" w:pos="540"/>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（2）暂时确定调整差额</w:t>
      </w:r>
    </w:p>
    <w:p w14:paraId="0665818A">
      <w:pPr>
        <w:tabs>
          <w:tab w:val="left" w:pos="0"/>
          <w:tab w:val="left" w:pos="360"/>
          <w:tab w:val="left" w:pos="540"/>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在计算调整差额时无现行价格指数的，合同当事人同意暂用前次价格指数计算。实际价格指数有调整的，合同当事人进行相应调整。</w:t>
      </w:r>
    </w:p>
    <w:p w14:paraId="2CBE9CF9">
      <w:pPr>
        <w:tabs>
          <w:tab w:val="left" w:pos="0"/>
          <w:tab w:val="left" w:pos="360"/>
          <w:tab w:val="left" w:pos="540"/>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（3）权重的调整</w:t>
      </w:r>
    </w:p>
    <w:p w14:paraId="3BF301B9">
      <w:pPr>
        <w:tabs>
          <w:tab w:val="left" w:pos="0"/>
          <w:tab w:val="left" w:pos="360"/>
          <w:tab w:val="left" w:pos="540"/>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因变更导致合同约定的权重不合理时，按照第4.4款〔商定或确定〕执行。</w:t>
      </w:r>
    </w:p>
    <w:p w14:paraId="6BEC1FBB">
      <w:pPr>
        <w:tabs>
          <w:tab w:val="left" w:pos="0"/>
          <w:tab w:val="left" w:pos="360"/>
          <w:tab w:val="left" w:pos="540"/>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（4）因承包人原因工期延误后的价格调整</w:t>
      </w:r>
    </w:p>
    <w:p w14:paraId="4A2CE6B1">
      <w:pPr>
        <w:tabs>
          <w:tab w:val="left" w:pos="0"/>
          <w:tab w:val="left" w:pos="360"/>
          <w:tab w:val="left" w:pos="540"/>
        </w:tabs>
        <w:spacing w:line="360" w:lineRule="exact"/>
        <w:ind w:firstLine="420" w:firstLineChars="200"/>
        <w:rPr>
          <w:rFonts w:hint="eastAsia" w:ascii="宋体" w:hAnsi="宋体" w:cs="宋体"/>
          <w:color w:val="auto"/>
          <w:szCs w:val="21"/>
        </w:rPr>
      </w:pPr>
      <w:r>
        <w:rPr>
          <w:rFonts w:hint="eastAsia" w:ascii="宋体" w:hAnsi="宋体" w:cs="宋体"/>
          <w:color w:val="auto"/>
          <w:szCs w:val="21"/>
        </w:rPr>
        <w:t>因承包人原因未按期竣工的，对合同约定的竣工日期后继续施工的工程，在使用价格调整公式时，应采用计划竣工日期与实际竣工日期的两个价格指数中较低的一个作为现行价格指数。</w:t>
      </w:r>
    </w:p>
    <w:p w14:paraId="319DF8F3">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第2种方式：采用造价信息进行价格调整。</w:t>
      </w:r>
    </w:p>
    <w:p w14:paraId="129CCE01">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1FDFD01">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4605378">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（2）材料、工程设备价格变化的价款调整按照发包人提供的基准价格，按以下风险范围规定执行:</w:t>
      </w:r>
    </w:p>
    <w:p w14:paraId="60088C61">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CD0E3CF">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CC5F90C">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③承包人在已标价工程量清单或预算书中载明材料单价等于基准价格的：除专用合同条款另有约定外，合同履行期间材料单价涨跌幅以基准价格为基础超过±5%时，其超过部分据实调整。</w:t>
      </w:r>
    </w:p>
    <w:p w14:paraId="4FFC5D8F">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482B0E0">
      <w:pPr>
        <w:spacing w:line="360" w:lineRule="exact"/>
        <w:ind w:firstLine="420" w:firstLineChars="200"/>
        <w:rPr>
          <w:rFonts w:hint="eastAsia" w:ascii="宋体" w:hAnsi="宋体" w:cs="宋体"/>
          <w:color w:val="auto"/>
          <w:szCs w:val="21"/>
        </w:rPr>
      </w:pPr>
      <w:bookmarkStart w:id="418" w:name="OLE_LINK3"/>
      <w:r>
        <w:rPr>
          <w:rFonts w:hint="eastAsia" w:ascii="宋体" w:hAnsi="宋体" w:cs="宋体"/>
          <w:color w:val="auto"/>
          <w:szCs w:val="21"/>
        </w:rPr>
        <w:t>前述基准价格是指由发包人在采购文件或专用合同条款中给定的材料、工程设备的价格，该价格原则上应当按照省级或行业建设主管部门或其授权的工程造价管理机构发布的信息价编制。</w:t>
      </w:r>
    </w:p>
    <w:p w14:paraId="59AF77D7">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（3）施工机械台班单价或施工机械使用费发生变化超过省级或行业建设主管部门或其授权的工程造价管理机构规定的范围时，按规定调整合同价格。</w:t>
      </w:r>
    </w:p>
    <w:p w14:paraId="150860D1">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第3种方式：专用合同条款约定的其他方式。</w:t>
      </w:r>
    </w:p>
    <w:p w14:paraId="09187ABD">
      <w:pPr>
        <w:pStyle w:val="9"/>
        <w:spacing w:before="120" w:after="120" w:line="360" w:lineRule="exact"/>
        <w:ind w:firstLine="422" w:firstLineChars="200"/>
        <w:rPr>
          <w:rFonts w:hint="eastAsia" w:ascii="宋体" w:hAnsi="宋体" w:cs="宋体"/>
          <w:b w:val="0"/>
          <w:color w:val="auto"/>
          <w:sz w:val="21"/>
          <w:szCs w:val="21"/>
        </w:rPr>
      </w:pPr>
      <w:bookmarkStart w:id="419" w:name="_Toc351203579"/>
      <w:bookmarkStart w:id="420" w:name="_Toc296346594"/>
      <w:bookmarkStart w:id="421" w:name="_Toc296503093"/>
      <w:bookmarkStart w:id="422" w:name="_Toc337558798"/>
      <w:r>
        <w:rPr>
          <w:rFonts w:hint="eastAsia" w:ascii="宋体" w:hAnsi="宋体" w:cs="宋体"/>
          <w:color w:val="auto"/>
          <w:sz w:val="21"/>
          <w:szCs w:val="21"/>
        </w:rPr>
        <w:t>11.2法律变化引起的调整</w:t>
      </w:r>
      <w:bookmarkEnd w:id="419"/>
    </w:p>
    <w:bookmarkEnd w:id="420"/>
    <w:bookmarkEnd w:id="421"/>
    <w:bookmarkEnd w:id="422"/>
    <w:p w14:paraId="561F9CD2">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DFD1708">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因法律变化引起的合同价格和工期调整，合同当事人无法达成一致的，由总监理工程师按第4.4款〔商定或确定〕的约定处理。</w:t>
      </w:r>
    </w:p>
    <w:p w14:paraId="00783BD2">
      <w:pPr>
        <w:spacing w:line="360" w:lineRule="exact"/>
        <w:ind w:firstLine="420" w:firstLineChars="200"/>
        <w:rPr>
          <w:rFonts w:hint="eastAsia" w:ascii="宋体" w:hAnsi="宋体" w:cs="宋体"/>
          <w:color w:val="auto"/>
          <w:szCs w:val="21"/>
        </w:rPr>
      </w:pPr>
      <w:r>
        <w:rPr>
          <w:rFonts w:hint="eastAsia" w:ascii="宋体" w:hAnsi="宋体" w:cs="宋体"/>
          <w:color w:val="auto"/>
          <w:kern w:val="0"/>
          <w:szCs w:val="21"/>
        </w:rPr>
        <w:t>因承包人原因造成工期延误，在工期延误期间出现法律变化的，由此增加的费用和（或）延误的工期由承包人承担。</w:t>
      </w:r>
    </w:p>
    <w:p w14:paraId="36C386A3">
      <w:pPr>
        <w:pStyle w:val="8"/>
        <w:spacing w:before="120" w:after="120" w:line="360" w:lineRule="exact"/>
        <w:rPr>
          <w:rFonts w:hint="eastAsia" w:ascii="宋体" w:hAnsi="宋体" w:cs="宋体"/>
          <w:bCs w:val="0"/>
          <w:color w:val="auto"/>
          <w:sz w:val="21"/>
          <w:szCs w:val="21"/>
        </w:rPr>
      </w:pPr>
      <w:bookmarkStart w:id="423" w:name="_Toc351203580"/>
      <w:bookmarkStart w:id="424" w:name="_Toc337558799"/>
      <w:bookmarkStart w:id="425" w:name="_Toc296346597"/>
      <w:bookmarkStart w:id="426" w:name="_Toc296503096"/>
      <w:r>
        <w:rPr>
          <w:rFonts w:hint="eastAsia" w:ascii="宋体" w:hAnsi="宋体" w:cs="宋体"/>
          <w:bCs w:val="0"/>
          <w:color w:val="auto"/>
          <w:sz w:val="21"/>
          <w:szCs w:val="21"/>
        </w:rPr>
        <w:t>12. 合同价格、计量与支付</w:t>
      </w:r>
      <w:bookmarkEnd w:id="423"/>
    </w:p>
    <w:bookmarkEnd w:id="424"/>
    <w:p w14:paraId="44AC8F8B">
      <w:pPr>
        <w:pStyle w:val="9"/>
        <w:spacing w:before="120" w:after="120" w:line="360" w:lineRule="exact"/>
        <w:ind w:firstLine="422" w:firstLineChars="200"/>
        <w:rPr>
          <w:rFonts w:hint="eastAsia" w:ascii="宋体" w:hAnsi="宋体" w:cs="宋体"/>
          <w:color w:val="auto"/>
          <w:sz w:val="21"/>
          <w:szCs w:val="21"/>
        </w:rPr>
      </w:pPr>
      <w:bookmarkStart w:id="427" w:name="_Toc351203581"/>
      <w:bookmarkStart w:id="428" w:name="_Toc337558800"/>
      <w:r>
        <w:rPr>
          <w:rFonts w:hint="eastAsia" w:ascii="宋体" w:hAnsi="宋体" w:cs="宋体"/>
          <w:color w:val="auto"/>
          <w:sz w:val="21"/>
          <w:szCs w:val="21"/>
        </w:rPr>
        <w:t>12.1 合同价</w:t>
      </w:r>
      <w:bookmarkEnd w:id="425"/>
      <w:bookmarkEnd w:id="426"/>
      <w:r>
        <w:rPr>
          <w:rFonts w:hint="eastAsia" w:ascii="宋体" w:hAnsi="宋体" w:cs="宋体"/>
          <w:color w:val="auto"/>
          <w:sz w:val="21"/>
          <w:szCs w:val="21"/>
        </w:rPr>
        <w:t>格形式</w:t>
      </w:r>
      <w:bookmarkEnd w:id="427"/>
    </w:p>
    <w:bookmarkEnd w:id="428"/>
    <w:p w14:paraId="387FD53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发包人和承包人应在合同协议书中选择下列一种合同价格形式： </w:t>
      </w:r>
    </w:p>
    <w:p w14:paraId="781E00F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1.单价合同</w:t>
      </w:r>
    </w:p>
    <w:p w14:paraId="2BFA718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单价合同是指合同当事人约定以工程量清单及其综合单价进行合同价格计算、调整和确认的建设工程施工合同，</w:t>
      </w:r>
      <w:r>
        <w:rPr>
          <w:rFonts w:hint="eastAsia" w:ascii="宋体" w:hAnsi="宋体" w:cs="宋体"/>
          <w:color w:val="auto"/>
          <w:szCs w:val="21"/>
        </w:rPr>
        <w:t>在约定的范围内合同单价不作调整</w:t>
      </w:r>
      <w:r>
        <w:rPr>
          <w:rFonts w:hint="eastAsia" w:ascii="宋体" w:hAnsi="宋体" w:cs="宋体"/>
          <w:color w:val="auto"/>
          <w:kern w:val="0"/>
          <w:szCs w:val="21"/>
        </w:rPr>
        <w:t>。合同当事人应在专用合同条款中约定综合单价包含的风险范围和风险费用的计算方法</w:t>
      </w:r>
      <w:r>
        <w:rPr>
          <w:rFonts w:hint="eastAsia" w:ascii="宋体" w:hAnsi="宋体" w:cs="宋体"/>
          <w:color w:val="auto"/>
          <w:szCs w:val="21"/>
        </w:rPr>
        <w:t>，</w:t>
      </w:r>
      <w:r>
        <w:rPr>
          <w:rFonts w:hint="eastAsia" w:ascii="宋体" w:hAnsi="宋体" w:cs="宋体"/>
          <w:color w:val="auto"/>
          <w:kern w:val="0"/>
          <w:szCs w:val="21"/>
        </w:rPr>
        <w:t>并约定风险范围以外的合同价格的调整方法，其中因市场价格波动引起的调整按第11.1款〔市场价格波动引起的调整〕约定执行。</w:t>
      </w:r>
    </w:p>
    <w:p w14:paraId="3A3031A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2.总价合同</w:t>
      </w:r>
    </w:p>
    <w:p w14:paraId="1D28A82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总价合同是指合同当事人约定以施工图、已标价工程量清单或预算书及有关条件进行合同价格计算、调整和确认的建设工程施工合同，</w:t>
      </w:r>
      <w:r>
        <w:rPr>
          <w:rFonts w:hint="eastAsia" w:ascii="宋体" w:hAnsi="宋体" w:cs="宋体"/>
          <w:color w:val="auto"/>
          <w:szCs w:val="21"/>
        </w:rPr>
        <w:t>在约定的范围内合同总价不作调整</w:t>
      </w:r>
      <w:r>
        <w:rPr>
          <w:rFonts w:hint="eastAsia" w:ascii="宋体" w:hAnsi="宋体" w:cs="宋体"/>
          <w:color w:val="auto"/>
          <w:kern w:val="0"/>
          <w:szCs w:val="21"/>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1DA3A45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3.其它价格形式</w:t>
      </w:r>
    </w:p>
    <w:p w14:paraId="74368B8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合同当事人可在专用合同条款中约定其他合同价格形式。</w:t>
      </w:r>
    </w:p>
    <w:p w14:paraId="3D0122DD">
      <w:pPr>
        <w:pStyle w:val="9"/>
        <w:spacing w:before="120" w:after="120" w:line="360" w:lineRule="exact"/>
        <w:ind w:firstLine="422" w:firstLineChars="200"/>
        <w:rPr>
          <w:rFonts w:hint="eastAsia" w:ascii="宋体" w:hAnsi="宋体" w:cs="宋体"/>
          <w:color w:val="auto"/>
          <w:sz w:val="21"/>
          <w:szCs w:val="21"/>
        </w:rPr>
      </w:pPr>
      <w:bookmarkStart w:id="429" w:name="_Toc296346598"/>
      <w:bookmarkStart w:id="430" w:name="_Toc296503097"/>
      <w:bookmarkStart w:id="431" w:name="_Toc351203582"/>
      <w:bookmarkStart w:id="432" w:name="_Toc337558801"/>
      <w:r>
        <w:rPr>
          <w:rFonts w:hint="eastAsia" w:ascii="宋体" w:hAnsi="宋体" w:cs="宋体"/>
          <w:color w:val="auto"/>
          <w:sz w:val="21"/>
          <w:szCs w:val="21"/>
        </w:rPr>
        <w:t>12.2预</w:t>
      </w:r>
      <w:bookmarkEnd w:id="429"/>
      <w:bookmarkEnd w:id="430"/>
      <w:bookmarkStart w:id="433" w:name="_Toc296503100"/>
      <w:bookmarkStart w:id="434" w:name="_Toc296346601"/>
      <w:r>
        <w:rPr>
          <w:rFonts w:hint="eastAsia" w:ascii="宋体" w:hAnsi="宋体" w:cs="宋体"/>
          <w:color w:val="auto"/>
          <w:sz w:val="21"/>
          <w:szCs w:val="21"/>
        </w:rPr>
        <w:t>付款</w:t>
      </w:r>
      <w:bookmarkEnd w:id="431"/>
    </w:p>
    <w:bookmarkEnd w:id="432"/>
    <w:bookmarkEnd w:id="433"/>
    <w:bookmarkEnd w:id="434"/>
    <w:p w14:paraId="25AFA34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szCs w:val="21"/>
        </w:rPr>
        <w:t>12.2.</w:t>
      </w:r>
      <w:r>
        <w:rPr>
          <w:rFonts w:hint="eastAsia" w:ascii="宋体" w:hAnsi="宋体" w:cs="宋体"/>
          <w:color w:val="auto"/>
          <w:kern w:val="0"/>
          <w:szCs w:val="21"/>
        </w:rPr>
        <w:t>1预付款的支付</w:t>
      </w:r>
    </w:p>
    <w:p w14:paraId="39826AE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预付款的支付按照专用合同条款约定执行，但至迟应在开工通知载明的开工日期7天前支付。预付款应当用于材料、工程设备、施工设备的采购及修建临时工程、组织施工队伍进场等。</w:t>
      </w:r>
    </w:p>
    <w:p w14:paraId="661DB5E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除专用合同条款另有约定外，预付款在进度付款中同比例扣回。</w:t>
      </w:r>
      <w:bookmarkEnd w:id="418"/>
      <w:r>
        <w:rPr>
          <w:rFonts w:hint="eastAsia" w:ascii="宋体" w:hAnsi="宋体" w:cs="宋体"/>
          <w:color w:val="auto"/>
          <w:kern w:val="0"/>
          <w:szCs w:val="21"/>
        </w:rPr>
        <w:t>在颁发工程接收证书前，提前解除合同的，尚未扣完的预付款应与合同价款一并结算。</w:t>
      </w:r>
    </w:p>
    <w:p w14:paraId="4756391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发包人逾期支付预付款超过7天的，承包人有权向发包人发出要求预付的催告通知，发包人收到通知后7天内仍未支付的，承包人有权暂停施工，并按第16.1.1项〔发包人违约的情形〕执行。</w:t>
      </w:r>
    </w:p>
    <w:p w14:paraId="110D08FD">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12.2.2 预付款担保</w:t>
      </w:r>
    </w:p>
    <w:p w14:paraId="7A2AE78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00202E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发包人在工程款中逐期扣回预付款后，预付款担保额度应相应减少，但剩余的预付款担保金额不得低于未被扣回的预付款金额。</w:t>
      </w:r>
    </w:p>
    <w:p w14:paraId="482E204B">
      <w:pPr>
        <w:pStyle w:val="9"/>
        <w:spacing w:before="120" w:after="120" w:line="360" w:lineRule="exact"/>
        <w:ind w:firstLine="422" w:firstLineChars="200"/>
        <w:rPr>
          <w:rFonts w:hint="eastAsia" w:ascii="宋体" w:hAnsi="宋体" w:cs="宋体"/>
          <w:color w:val="auto"/>
          <w:sz w:val="21"/>
          <w:szCs w:val="21"/>
        </w:rPr>
      </w:pPr>
      <w:bookmarkStart w:id="435" w:name="_Toc351203583"/>
      <w:bookmarkStart w:id="436" w:name="_Toc337558802"/>
      <w:r>
        <w:rPr>
          <w:rFonts w:hint="eastAsia" w:ascii="宋体" w:hAnsi="宋体" w:cs="宋体"/>
          <w:color w:val="auto"/>
          <w:sz w:val="21"/>
          <w:szCs w:val="21"/>
        </w:rPr>
        <w:t>12.3计量</w:t>
      </w:r>
      <w:bookmarkEnd w:id="435"/>
    </w:p>
    <w:bookmarkEnd w:id="436"/>
    <w:p w14:paraId="10C3AAF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12.3.1 计量原则</w:t>
      </w:r>
    </w:p>
    <w:p w14:paraId="1456EF9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工程量计量按照合同约定的工程量计算规则、图纸及变更指示等进行计量。工程量计算规则应以相关的国家标准、行业标准等为依据，由合同当事人在专用合同条款中约定。</w:t>
      </w:r>
    </w:p>
    <w:p w14:paraId="0DA6635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12.3.2 计量周期</w:t>
      </w:r>
    </w:p>
    <w:p w14:paraId="2B432BB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除专用合同条款另有约定外，工程量的计量按月进行。</w:t>
      </w:r>
    </w:p>
    <w:p w14:paraId="2401A6C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12.3.3 单价合同的计量</w:t>
      </w:r>
    </w:p>
    <w:p w14:paraId="053593B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除专用合同条款另有约定外，单价合同的计量按照本项约定执行：</w:t>
      </w:r>
    </w:p>
    <w:p w14:paraId="2A03C8F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（1）承包人应于每月25日向监理人报送上月20日至当月19日已完成的工程量报告，并附具进度付款申请单、已完成工程量报表和有关资料。</w:t>
      </w:r>
    </w:p>
    <w:p w14:paraId="05C98FA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FB61207">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（3）监理人未在收到承包人提交的工程量报表后的7天内完成审核的，承包人报送的工程量报告中的工程量视为承包人实际完成的工程量，据此计算工程价款。</w:t>
      </w:r>
    </w:p>
    <w:p w14:paraId="0B320F1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12.3.4 总价合同的计量</w:t>
      </w:r>
    </w:p>
    <w:p w14:paraId="6441BB8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除专用合同条款另有约定外，按月计量支付的总价合同，按照本项约定执行：</w:t>
      </w:r>
    </w:p>
    <w:p w14:paraId="5F0B23A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（1）承包人应于每月25日向监理人报送上月20日至当月19日已完成的工程量报告，并附具进度付款申请单、已完成工程量报表和有关资料。</w:t>
      </w:r>
    </w:p>
    <w:p w14:paraId="39055ED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014269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（3）监理人未在收到承包人提交的工程量报表后的7天内完成复核的，承包人提交的工程量报告中的工程量视为承包人实际完成的工程量。</w:t>
      </w:r>
    </w:p>
    <w:p w14:paraId="265F62B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12.3.5 总价合同采用支付分解表计量支付的，可以按照第12.3.4项〔总价合同的计量〕约定进行计量，但合同价款按照支付分解表进行支付。</w:t>
      </w:r>
    </w:p>
    <w:p w14:paraId="09D4B540">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12.3.6 其他价格形式合同的计量</w:t>
      </w:r>
    </w:p>
    <w:p w14:paraId="130ED86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合同当事人可在专用合同条款中约定其他价格形式合同的计量方式和程序。</w:t>
      </w:r>
    </w:p>
    <w:p w14:paraId="03B2BD62">
      <w:pPr>
        <w:pStyle w:val="9"/>
        <w:spacing w:before="120" w:after="120" w:line="360" w:lineRule="exact"/>
        <w:ind w:firstLine="422" w:firstLineChars="200"/>
        <w:rPr>
          <w:rFonts w:hint="eastAsia" w:ascii="宋体" w:hAnsi="宋体" w:cs="宋体"/>
          <w:b w:val="0"/>
          <w:color w:val="auto"/>
          <w:sz w:val="21"/>
          <w:szCs w:val="21"/>
        </w:rPr>
      </w:pPr>
      <w:bookmarkStart w:id="437" w:name="_Toc296503101"/>
      <w:bookmarkStart w:id="438" w:name="_Toc296346602"/>
      <w:bookmarkStart w:id="439" w:name="_Toc351203584"/>
      <w:bookmarkStart w:id="440" w:name="_Toc337558803"/>
      <w:r>
        <w:rPr>
          <w:rFonts w:hint="eastAsia" w:ascii="宋体" w:hAnsi="宋体" w:cs="宋体"/>
          <w:color w:val="auto"/>
          <w:sz w:val="21"/>
          <w:szCs w:val="21"/>
        </w:rPr>
        <w:t>12.4工程进度款支</w:t>
      </w:r>
      <w:bookmarkEnd w:id="437"/>
      <w:bookmarkEnd w:id="438"/>
      <w:r>
        <w:rPr>
          <w:rFonts w:hint="eastAsia" w:ascii="宋体" w:hAnsi="宋体" w:cs="宋体"/>
          <w:color w:val="auto"/>
          <w:sz w:val="21"/>
          <w:szCs w:val="21"/>
        </w:rPr>
        <w:t>付</w:t>
      </w:r>
      <w:bookmarkEnd w:id="439"/>
    </w:p>
    <w:bookmarkEnd w:id="440"/>
    <w:p w14:paraId="5678962E">
      <w:pPr>
        <w:autoSpaceDE w:val="0"/>
        <w:autoSpaceDN w:val="0"/>
        <w:adjustRightInd w:val="0"/>
        <w:spacing w:line="360" w:lineRule="exact"/>
        <w:ind w:firstLine="420" w:firstLineChars="200"/>
        <w:jc w:val="left"/>
        <w:outlineLvl w:val="0"/>
        <w:rPr>
          <w:rFonts w:hint="eastAsia" w:ascii="宋体" w:hAnsi="宋体" w:cs="宋体"/>
          <w:color w:val="auto"/>
          <w:kern w:val="0"/>
          <w:szCs w:val="21"/>
        </w:rPr>
      </w:pPr>
      <w:bookmarkStart w:id="441" w:name="_Toc1259"/>
      <w:bookmarkStart w:id="442" w:name="_Toc20774"/>
      <w:bookmarkStart w:id="443" w:name="_Toc23254"/>
      <w:bookmarkStart w:id="444" w:name="_Toc10241"/>
      <w:r>
        <w:rPr>
          <w:rFonts w:hint="eastAsia" w:ascii="宋体" w:hAnsi="宋体" w:cs="宋体"/>
          <w:color w:val="auto"/>
          <w:szCs w:val="21"/>
        </w:rPr>
        <w:t>12.4</w:t>
      </w:r>
      <w:r>
        <w:rPr>
          <w:rFonts w:hint="eastAsia" w:ascii="宋体" w:hAnsi="宋体" w:cs="宋体"/>
          <w:color w:val="auto"/>
          <w:kern w:val="0"/>
          <w:szCs w:val="21"/>
        </w:rPr>
        <w:t>.1 付款周期</w:t>
      </w:r>
      <w:bookmarkEnd w:id="441"/>
      <w:bookmarkEnd w:id="442"/>
      <w:bookmarkEnd w:id="443"/>
      <w:bookmarkEnd w:id="444"/>
    </w:p>
    <w:p w14:paraId="440EA32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除专用合同条款另有约定外，付款周期应按照第12.3.2项〔计量周期〕的约定与计量周期保持一致。</w:t>
      </w:r>
    </w:p>
    <w:p w14:paraId="514540F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szCs w:val="21"/>
        </w:rPr>
        <w:t>12.4</w:t>
      </w:r>
      <w:r>
        <w:rPr>
          <w:rFonts w:hint="eastAsia" w:ascii="宋体" w:hAnsi="宋体" w:cs="宋体"/>
          <w:color w:val="auto"/>
          <w:kern w:val="0"/>
          <w:szCs w:val="21"/>
        </w:rPr>
        <w:t>.2 进度付款申请单的编制</w:t>
      </w:r>
    </w:p>
    <w:p w14:paraId="1B2FDA1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除专用合同条款另有约定外，进度付款申请单应包括下列内容：</w:t>
      </w:r>
    </w:p>
    <w:p w14:paraId="062DE56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（1）截至本次付款周期已完成工作对应的金额；</w:t>
      </w:r>
    </w:p>
    <w:p w14:paraId="12AB1BE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（2）根据第10条〔变更〕应增加和扣减的变更金额；</w:t>
      </w:r>
    </w:p>
    <w:p w14:paraId="6699062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（3）根据第12.2款〔预付款〕约定应支付的预付款和扣减的返还预付款；</w:t>
      </w:r>
    </w:p>
    <w:p w14:paraId="292E72F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（4）根据第15.3款〔质量保证金〕约定应扣减的质量保证金；</w:t>
      </w:r>
    </w:p>
    <w:p w14:paraId="0A47A54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（5）根据第19条〔索赔〕应增加和扣减的索赔金额；</w:t>
      </w:r>
    </w:p>
    <w:p w14:paraId="1DAD512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（6）对已签发的进度款支付证书中出现错误的修正，应在本次进度付款中支付或扣除的金额；</w:t>
      </w:r>
    </w:p>
    <w:p w14:paraId="2EFB43A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（7）根据合同约定应增加和扣减的其他金额。</w:t>
      </w:r>
    </w:p>
    <w:p w14:paraId="7AD494A7">
      <w:pPr>
        <w:autoSpaceDE w:val="0"/>
        <w:autoSpaceDN w:val="0"/>
        <w:adjustRightInd w:val="0"/>
        <w:spacing w:line="360" w:lineRule="exact"/>
        <w:ind w:firstLine="420" w:firstLineChars="200"/>
        <w:jc w:val="left"/>
        <w:outlineLvl w:val="0"/>
        <w:rPr>
          <w:rFonts w:hint="eastAsia" w:ascii="宋体" w:hAnsi="宋体" w:cs="宋体"/>
          <w:color w:val="auto"/>
          <w:kern w:val="0"/>
          <w:szCs w:val="21"/>
        </w:rPr>
      </w:pPr>
      <w:bookmarkStart w:id="445" w:name="_Toc7643"/>
      <w:bookmarkStart w:id="446" w:name="_Toc19652"/>
      <w:bookmarkStart w:id="447" w:name="_Toc28855"/>
      <w:bookmarkStart w:id="448" w:name="_Toc11601"/>
      <w:r>
        <w:rPr>
          <w:rFonts w:hint="eastAsia" w:ascii="宋体" w:hAnsi="宋体" w:cs="宋体"/>
          <w:color w:val="auto"/>
          <w:kern w:val="0"/>
          <w:szCs w:val="21"/>
        </w:rPr>
        <w:t>12.4.3 进度付款申请单的提交</w:t>
      </w:r>
      <w:bookmarkEnd w:id="445"/>
      <w:bookmarkEnd w:id="446"/>
      <w:bookmarkEnd w:id="447"/>
      <w:bookmarkEnd w:id="448"/>
    </w:p>
    <w:p w14:paraId="72F38A7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（1）单价合同进度付款申请单的提交</w:t>
      </w:r>
    </w:p>
    <w:p w14:paraId="1966B61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BEC39C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（2）总价合同进度付款申请单的提交</w:t>
      </w:r>
    </w:p>
    <w:p w14:paraId="69358F3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总价合同按月计量支付的，承包人按照第12.3.4项〔总价合同的计量〕约定的时间按月向监理人提交进度付款申请单，并附上已完成工程量报表和有关资料。</w:t>
      </w:r>
    </w:p>
    <w:p w14:paraId="480994C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总价合同按支付分解表支付的，承包人应按照第12.4.6项〔支付分解表〕及第12.4.2项〔进度付款申请单的编制〕的约定向监理人提交进度付款申请单。</w:t>
      </w:r>
    </w:p>
    <w:p w14:paraId="604FB01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（3）其他价格形式合同的进度付款申请单的提交</w:t>
      </w:r>
    </w:p>
    <w:p w14:paraId="3DBBDFB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合同当事人可在专用合同条款中约定其他价格形式合同的进度付款申请单的编制和提交程序。</w:t>
      </w:r>
    </w:p>
    <w:p w14:paraId="1CA6A5B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szCs w:val="21"/>
        </w:rPr>
        <w:t>12.4</w:t>
      </w:r>
      <w:r>
        <w:rPr>
          <w:rFonts w:hint="eastAsia" w:ascii="宋体" w:hAnsi="宋体" w:cs="宋体"/>
          <w:color w:val="auto"/>
          <w:kern w:val="0"/>
          <w:szCs w:val="21"/>
        </w:rPr>
        <w:t>.4 进度款审核和支付</w:t>
      </w:r>
    </w:p>
    <w:p w14:paraId="6FA8ED5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685FD9A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0555D2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6E14F29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（3）发包人签发进度款支付证书或临时进度款支付证书，不表明发包人已同意、批准或接受了承包人完成的相应部分的工作。</w:t>
      </w:r>
    </w:p>
    <w:p w14:paraId="2F40BFB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12.4.5 进度付款的修正</w:t>
      </w:r>
    </w:p>
    <w:p w14:paraId="26C1D2C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1A55218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12.4.6 支付分解表</w:t>
      </w:r>
    </w:p>
    <w:p w14:paraId="10CA936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1.支付分解表的编制要求</w:t>
      </w:r>
    </w:p>
    <w:p w14:paraId="0AF9F91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（1）支付分解表中所列的每期付款金额，应为第12.4.2项〔进度付款申请单的编制〕第（1）目的估算金额；</w:t>
      </w:r>
    </w:p>
    <w:p w14:paraId="6DD430C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（2）实际进度与施工进度计划不一致的，合同当事人可按照第4.4款〔商定或确定〕修改支付分解表；</w:t>
      </w:r>
    </w:p>
    <w:p w14:paraId="77FE1B4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（3）不采用支付分解表的，承包人应向发包人和监理人提交按季度编制的支付估算分解表，用于支付参考。</w:t>
      </w:r>
    </w:p>
    <w:p w14:paraId="5ED1E550">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2.总价合同支付分解表的编制与审批</w:t>
      </w:r>
    </w:p>
    <w:p w14:paraId="5F42B48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999DC7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（2）监理人应在收到支付分解表后7天内完成审核并报送发包人。发包人应在收到经监理人审核的支付分解表后7天内完成审批，经发包人批准的支付分解表为有约束力的支付分解表。</w:t>
      </w:r>
    </w:p>
    <w:p w14:paraId="7495F40F">
      <w:pPr>
        <w:spacing w:line="360" w:lineRule="exact"/>
        <w:jc w:val="left"/>
        <w:rPr>
          <w:rFonts w:hint="eastAsia" w:ascii="宋体" w:hAnsi="宋体" w:cs="宋体"/>
          <w:color w:val="auto"/>
          <w:kern w:val="0"/>
          <w:szCs w:val="21"/>
        </w:rPr>
      </w:pPr>
      <w:r>
        <w:rPr>
          <w:rFonts w:hint="eastAsia" w:ascii="宋体" w:hAnsi="宋体" w:cs="宋体"/>
          <w:color w:val="auto"/>
          <w:kern w:val="0"/>
          <w:szCs w:val="21"/>
        </w:rPr>
        <w:t xml:space="preserve">    （3）发包人逾期未完成支付分解表审批的，也未及时要求承包人进行修正和提供补充资料的，则承包人提交的支付分解表视为已经获得发包人批准。</w:t>
      </w:r>
    </w:p>
    <w:p w14:paraId="2E2B98E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3.单价合同的总价项目支付分解表的编制与审批</w:t>
      </w:r>
    </w:p>
    <w:p w14:paraId="12449F38">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70BDF72">
      <w:pPr>
        <w:pStyle w:val="9"/>
        <w:spacing w:before="120" w:after="120" w:line="360" w:lineRule="exact"/>
        <w:ind w:firstLine="422" w:firstLineChars="200"/>
        <w:rPr>
          <w:rFonts w:hint="eastAsia" w:ascii="宋体" w:hAnsi="宋体" w:cs="宋体"/>
          <w:color w:val="auto"/>
          <w:sz w:val="21"/>
          <w:szCs w:val="21"/>
        </w:rPr>
      </w:pPr>
      <w:bookmarkStart w:id="449" w:name="_Toc351203585"/>
      <w:r>
        <w:rPr>
          <w:rFonts w:hint="eastAsia" w:ascii="宋体" w:hAnsi="宋体" w:cs="宋体"/>
          <w:color w:val="auto"/>
          <w:sz w:val="21"/>
          <w:szCs w:val="21"/>
        </w:rPr>
        <w:t>12.5支付账户</w:t>
      </w:r>
      <w:bookmarkEnd w:id="449"/>
    </w:p>
    <w:p w14:paraId="2EC9E2B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发包人应将合同价款支付至合同协议书中约定的承包人账户。</w:t>
      </w:r>
    </w:p>
    <w:p w14:paraId="2ECBDD1A">
      <w:pPr>
        <w:pStyle w:val="8"/>
        <w:spacing w:before="120" w:after="120" w:line="360" w:lineRule="exact"/>
        <w:rPr>
          <w:rFonts w:hint="eastAsia" w:ascii="宋体" w:hAnsi="宋体" w:cs="宋体"/>
          <w:b w:val="0"/>
          <w:color w:val="auto"/>
          <w:sz w:val="21"/>
          <w:szCs w:val="21"/>
        </w:rPr>
      </w:pPr>
      <w:bookmarkStart w:id="450" w:name="_Toc351203586"/>
      <w:bookmarkStart w:id="451" w:name="_Toc296503106"/>
      <w:bookmarkStart w:id="452" w:name="_Toc296346607"/>
      <w:bookmarkStart w:id="453" w:name="_Toc337558804"/>
      <w:bookmarkStart w:id="454" w:name="_Toc322522574"/>
      <w:r>
        <w:rPr>
          <w:rFonts w:hint="eastAsia" w:ascii="宋体" w:hAnsi="宋体" w:cs="宋体"/>
          <w:bCs w:val="0"/>
          <w:color w:val="auto"/>
          <w:sz w:val="21"/>
          <w:szCs w:val="21"/>
        </w:rPr>
        <w:t>13. 验收和工程试车</w:t>
      </w:r>
      <w:bookmarkEnd w:id="450"/>
    </w:p>
    <w:bookmarkEnd w:id="451"/>
    <w:bookmarkEnd w:id="452"/>
    <w:bookmarkEnd w:id="453"/>
    <w:bookmarkEnd w:id="454"/>
    <w:p w14:paraId="2AD28F4A">
      <w:pPr>
        <w:pStyle w:val="9"/>
        <w:spacing w:before="120" w:after="120" w:line="360" w:lineRule="exact"/>
        <w:ind w:firstLine="422" w:firstLineChars="200"/>
        <w:rPr>
          <w:rFonts w:hint="eastAsia" w:ascii="宋体" w:hAnsi="宋体" w:cs="宋体"/>
          <w:b w:val="0"/>
          <w:color w:val="auto"/>
          <w:sz w:val="21"/>
          <w:szCs w:val="21"/>
        </w:rPr>
      </w:pPr>
      <w:bookmarkStart w:id="455" w:name="_Toc351203587"/>
      <w:bookmarkStart w:id="456" w:name="_Toc337558805"/>
      <w:bookmarkStart w:id="457" w:name="_Toc296503110"/>
      <w:bookmarkStart w:id="458" w:name="_Toc296346611"/>
      <w:r>
        <w:rPr>
          <w:rFonts w:hint="eastAsia" w:ascii="宋体" w:hAnsi="宋体" w:cs="宋体"/>
          <w:color w:val="auto"/>
          <w:sz w:val="21"/>
          <w:szCs w:val="21"/>
        </w:rPr>
        <w:t>13.1分部分项工程验收</w:t>
      </w:r>
      <w:bookmarkEnd w:id="455"/>
    </w:p>
    <w:bookmarkEnd w:id="456"/>
    <w:p w14:paraId="2FADDA59">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13.1.1 分部分项工程质量应符合国家有关工程施工验收规范、标准及合同约定，承包人应按照施工组织设计的要求完成分部分项工程施工。</w:t>
      </w:r>
    </w:p>
    <w:p w14:paraId="4CD2FDA4">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13.1.2 除专用合同条款另有约定外，分部分项工程经承包人自检合格并具备验收条件的，承包人应提前48小时通知监理人进行验收。</w:t>
      </w:r>
      <w:r>
        <w:rPr>
          <w:rFonts w:hint="eastAsia" w:ascii="宋体" w:hAnsi="宋体" w:cs="宋体"/>
          <w:color w:val="auto"/>
          <w:kern w:val="0"/>
          <w:szCs w:val="21"/>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auto"/>
          <w:szCs w:val="21"/>
        </w:rPr>
        <w:t>分部分项工程未经验收的，不得进入下一道工序施工。</w:t>
      </w:r>
    </w:p>
    <w:p w14:paraId="5BA357C3">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分部分项工程的验收资料应当作为竣工资料的组成部分。</w:t>
      </w:r>
    </w:p>
    <w:p w14:paraId="6881783E">
      <w:pPr>
        <w:pStyle w:val="9"/>
        <w:spacing w:before="120" w:after="120" w:line="360" w:lineRule="exact"/>
        <w:ind w:firstLine="422" w:firstLineChars="200"/>
        <w:rPr>
          <w:rFonts w:hint="eastAsia" w:ascii="宋体" w:hAnsi="宋体" w:cs="宋体"/>
          <w:color w:val="auto"/>
          <w:sz w:val="21"/>
          <w:szCs w:val="21"/>
        </w:rPr>
      </w:pPr>
      <w:bookmarkStart w:id="459" w:name="_Toc351203588"/>
      <w:bookmarkStart w:id="460" w:name="_Toc337558806"/>
      <w:r>
        <w:rPr>
          <w:rFonts w:hint="eastAsia" w:ascii="宋体" w:hAnsi="宋体" w:cs="宋体"/>
          <w:color w:val="auto"/>
          <w:sz w:val="21"/>
          <w:szCs w:val="21"/>
        </w:rPr>
        <w:t>13.2竣工验收</w:t>
      </w:r>
      <w:bookmarkEnd w:id="459"/>
    </w:p>
    <w:bookmarkEnd w:id="457"/>
    <w:bookmarkEnd w:id="458"/>
    <w:bookmarkEnd w:id="460"/>
    <w:p w14:paraId="0F09725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13.2.1竣工验收条件</w:t>
      </w:r>
    </w:p>
    <w:p w14:paraId="5512A69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工程具备以下条件的，承包人可以申请竣工验收：</w:t>
      </w:r>
    </w:p>
    <w:p w14:paraId="5ED200C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（1）除发包人同意的甩项工作和缺陷修补工作外，合同范围内的全部工程以及有关工作，包括合同要求的试验、试运行以及检验均已完成，并符合合同要求；</w:t>
      </w:r>
    </w:p>
    <w:p w14:paraId="207354E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（2）已按合同约定编制了甩项工作和缺陷修补工作清单以及相应的施工计划；</w:t>
      </w:r>
    </w:p>
    <w:p w14:paraId="2FF58A5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（3）已按合同约定的内容和份数备齐竣工资料。</w:t>
      </w:r>
    </w:p>
    <w:p w14:paraId="2F02852F">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13.2.2竣工验收程序</w:t>
      </w:r>
    </w:p>
    <w:p w14:paraId="5C0AD238">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除专用合同条款另有约定外，承包人申请竣工验收的，应当按照以下程序进行：</w:t>
      </w:r>
    </w:p>
    <w:p w14:paraId="50D0B56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EEDFEAF">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FB6FD6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（3）竣工验收合格的，发包人应在验收合格后14天内向承包人签发工程接收证书。发包人无正当理由逾期不颁发工程接收证书的，自验收合格后第15天起视为已颁发工程接收证书。</w:t>
      </w:r>
    </w:p>
    <w:p w14:paraId="197B03DF">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986AF2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5E9188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277029B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13.2.3竣工日期</w:t>
      </w:r>
    </w:p>
    <w:p w14:paraId="618BFBE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61" w:name="#go14"/>
      <w:bookmarkEnd w:id="461"/>
      <w:r>
        <w:rPr>
          <w:rFonts w:hint="eastAsia" w:ascii="宋体" w:hAnsi="宋体" w:cs="宋体"/>
          <w:color w:val="auto"/>
          <w:kern w:val="0"/>
          <w:szCs w:val="21"/>
        </w:rPr>
        <w:t>收申请报告的日期为实际竣工日期；工程未经竣工验收，发包人擅自使用的，以转移占有工程之日为实际竣工日期。</w:t>
      </w:r>
    </w:p>
    <w:p w14:paraId="23EBB637">
      <w:pPr>
        <w:spacing w:line="360" w:lineRule="exact"/>
        <w:ind w:firstLine="420" w:firstLineChars="200"/>
        <w:jc w:val="left"/>
        <w:outlineLvl w:val="0"/>
        <w:rPr>
          <w:rFonts w:hint="eastAsia" w:ascii="宋体" w:hAnsi="宋体" w:cs="宋体"/>
          <w:color w:val="auto"/>
          <w:kern w:val="0"/>
          <w:szCs w:val="21"/>
        </w:rPr>
      </w:pPr>
      <w:bookmarkStart w:id="462" w:name="_Toc23108"/>
      <w:bookmarkStart w:id="463" w:name="_Toc21806"/>
      <w:bookmarkStart w:id="464" w:name="_Toc15552"/>
      <w:bookmarkStart w:id="465" w:name="_Toc2187"/>
      <w:r>
        <w:rPr>
          <w:rFonts w:hint="eastAsia" w:ascii="宋体" w:hAnsi="宋体" w:cs="宋体"/>
          <w:color w:val="auto"/>
          <w:kern w:val="0"/>
          <w:szCs w:val="21"/>
        </w:rPr>
        <w:t>13.2.4 拒绝接收全部或部分工程</w:t>
      </w:r>
      <w:bookmarkEnd w:id="462"/>
      <w:bookmarkEnd w:id="463"/>
      <w:bookmarkEnd w:id="464"/>
      <w:bookmarkEnd w:id="465"/>
    </w:p>
    <w:p w14:paraId="7C7DE37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B28E11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13.2.5 移交、接收全部与部分工程</w:t>
      </w:r>
    </w:p>
    <w:p w14:paraId="6D9A959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除专用合同条款另有约定外，合同当事人应当在颁发工程接收证书后7天内完成工程的移交。</w:t>
      </w:r>
    </w:p>
    <w:p w14:paraId="32B0CF5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03AE642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7FE69370">
      <w:pPr>
        <w:pStyle w:val="9"/>
        <w:spacing w:before="120" w:after="120" w:line="360" w:lineRule="exact"/>
        <w:ind w:firstLine="422" w:firstLineChars="200"/>
        <w:rPr>
          <w:rFonts w:hint="eastAsia" w:ascii="宋体" w:hAnsi="宋体" w:cs="宋体"/>
          <w:color w:val="auto"/>
          <w:sz w:val="21"/>
          <w:szCs w:val="21"/>
        </w:rPr>
      </w:pPr>
      <w:bookmarkStart w:id="466" w:name="_Toc351203589"/>
      <w:bookmarkStart w:id="467" w:name="_Toc296503111"/>
      <w:bookmarkStart w:id="468" w:name="_Toc296346612"/>
      <w:bookmarkStart w:id="469" w:name="_Toc337558807"/>
      <w:r>
        <w:rPr>
          <w:rFonts w:hint="eastAsia" w:ascii="宋体" w:hAnsi="宋体" w:cs="宋体"/>
          <w:color w:val="auto"/>
          <w:sz w:val="21"/>
          <w:szCs w:val="21"/>
        </w:rPr>
        <w:t>13.3工程试车</w:t>
      </w:r>
      <w:bookmarkEnd w:id="466"/>
    </w:p>
    <w:bookmarkEnd w:id="467"/>
    <w:bookmarkEnd w:id="468"/>
    <w:bookmarkEnd w:id="469"/>
    <w:p w14:paraId="408F108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13.3.1试车程序</w:t>
      </w:r>
    </w:p>
    <w:p w14:paraId="280BE49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工程需要试车的，除专用合同条款另有约定外，试车内容应与承包人承包范围相一致，试车费用由承包人承担。工程试车应按如下程序进行：</w:t>
      </w:r>
    </w:p>
    <w:p w14:paraId="1EB786A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632D37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60738C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B71FF2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13.3.2 试车中的责任</w:t>
      </w:r>
    </w:p>
    <w:p w14:paraId="65BBEB5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A0E93C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E34C827">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13.3.3 投料试车</w:t>
      </w:r>
    </w:p>
    <w:p w14:paraId="50692220">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如需进行投料试车的，发包人应在工程竣工验收后组织投料试车。发包人要求在工程竣工验收前进行或需要承包人配合时，应征得承包人同意，并在专用合同条款中约定有关事项。</w:t>
      </w:r>
    </w:p>
    <w:p w14:paraId="4E269B4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2F2432D">
      <w:pPr>
        <w:pStyle w:val="9"/>
        <w:spacing w:before="120" w:after="120" w:line="360" w:lineRule="exact"/>
        <w:rPr>
          <w:rFonts w:hint="eastAsia" w:ascii="宋体" w:hAnsi="宋体" w:cs="宋体"/>
          <w:b w:val="0"/>
          <w:color w:val="auto"/>
          <w:sz w:val="21"/>
          <w:szCs w:val="21"/>
        </w:rPr>
      </w:pPr>
      <w:bookmarkStart w:id="470" w:name="_Toc337558808"/>
      <w:r>
        <w:rPr>
          <w:rFonts w:hint="eastAsia" w:ascii="宋体" w:hAnsi="宋体" w:cs="宋体"/>
          <w:b w:val="0"/>
          <w:color w:val="auto"/>
          <w:sz w:val="21"/>
          <w:szCs w:val="21"/>
        </w:rPr>
        <w:t xml:space="preserve">   </w:t>
      </w:r>
      <w:r>
        <w:rPr>
          <w:rFonts w:hint="eastAsia" w:ascii="宋体" w:hAnsi="宋体" w:cs="宋体"/>
          <w:color w:val="auto"/>
          <w:sz w:val="21"/>
          <w:szCs w:val="21"/>
        </w:rPr>
        <w:t xml:space="preserve"> </w:t>
      </w:r>
      <w:bookmarkStart w:id="471" w:name="_Toc351203590"/>
      <w:r>
        <w:rPr>
          <w:rFonts w:hint="eastAsia" w:ascii="宋体" w:hAnsi="宋体" w:cs="宋体"/>
          <w:color w:val="auto"/>
          <w:sz w:val="21"/>
          <w:szCs w:val="21"/>
        </w:rPr>
        <w:t>13.4提前交付单位工程的验收</w:t>
      </w:r>
      <w:bookmarkEnd w:id="471"/>
    </w:p>
    <w:bookmarkEnd w:id="470"/>
    <w:p w14:paraId="11290C40">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13.4.1 发包人需要在工程竣工前使用单位工程的，或承包人提出提前交付已经竣工的单位工程且经发包人同意的，可进行单位工程验收，验收的程序按照第13.2款〔竣工验收〕的约定进行。</w:t>
      </w:r>
    </w:p>
    <w:p w14:paraId="1B927C9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0446530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13.4.2 发包人要求在工程竣工前交付单位工程，由此导致承包人费用增加和（或）工期延误的，由发包人承担由此增加的费用和（或）延误的工期，并支付承包人合理的利润。</w:t>
      </w:r>
    </w:p>
    <w:p w14:paraId="64025CCC">
      <w:pPr>
        <w:pStyle w:val="9"/>
        <w:spacing w:before="120" w:after="120" w:line="360" w:lineRule="exact"/>
        <w:ind w:firstLine="422" w:firstLineChars="200"/>
        <w:rPr>
          <w:rFonts w:hint="eastAsia" w:ascii="宋体" w:hAnsi="宋体" w:cs="宋体"/>
          <w:color w:val="auto"/>
          <w:sz w:val="21"/>
          <w:szCs w:val="21"/>
        </w:rPr>
      </w:pPr>
      <w:bookmarkStart w:id="472" w:name="_Toc351203591"/>
      <w:r>
        <w:rPr>
          <w:rFonts w:hint="eastAsia" w:ascii="宋体" w:hAnsi="宋体" w:cs="宋体"/>
          <w:color w:val="auto"/>
          <w:sz w:val="21"/>
          <w:szCs w:val="21"/>
        </w:rPr>
        <w:t>13.5 施工期运行</w:t>
      </w:r>
      <w:bookmarkEnd w:id="472"/>
    </w:p>
    <w:p w14:paraId="7CA278D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656304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13.5.2 在施工期运行中发现工程或工程设备损坏或存在缺陷的，由承包人按第15.2款〔缺陷责任期〕约定进行修复。</w:t>
      </w:r>
    </w:p>
    <w:p w14:paraId="2AAB1D9A">
      <w:pPr>
        <w:pStyle w:val="9"/>
        <w:spacing w:before="120" w:after="120" w:line="360" w:lineRule="exact"/>
        <w:ind w:firstLine="422" w:firstLineChars="200"/>
        <w:rPr>
          <w:rFonts w:hint="eastAsia" w:ascii="宋体" w:hAnsi="宋体" w:cs="宋体"/>
          <w:color w:val="auto"/>
          <w:sz w:val="21"/>
          <w:szCs w:val="21"/>
        </w:rPr>
      </w:pPr>
      <w:bookmarkStart w:id="473" w:name="_Toc296503112"/>
      <w:bookmarkStart w:id="474" w:name="_Toc296346613"/>
      <w:bookmarkStart w:id="475" w:name="_Toc351203592"/>
      <w:bookmarkStart w:id="476" w:name="_Toc337558809"/>
      <w:r>
        <w:rPr>
          <w:rFonts w:hint="eastAsia" w:ascii="宋体" w:hAnsi="宋体" w:cs="宋体"/>
          <w:color w:val="auto"/>
          <w:sz w:val="21"/>
          <w:szCs w:val="21"/>
        </w:rPr>
        <w:t>13.6 竣工退</w:t>
      </w:r>
      <w:bookmarkEnd w:id="473"/>
      <w:bookmarkEnd w:id="474"/>
      <w:r>
        <w:rPr>
          <w:rFonts w:hint="eastAsia" w:ascii="宋体" w:hAnsi="宋体" w:cs="宋体"/>
          <w:color w:val="auto"/>
          <w:sz w:val="21"/>
          <w:szCs w:val="21"/>
        </w:rPr>
        <w:t>场</w:t>
      </w:r>
      <w:bookmarkEnd w:id="475"/>
    </w:p>
    <w:bookmarkEnd w:id="476"/>
    <w:p w14:paraId="6A3EDD7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13.6.1 竣工退场</w:t>
      </w:r>
    </w:p>
    <w:p w14:paraId="75AD3EC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颁发工程接收证书后，承包人应按以下要求对施工现场进行清理：</w:t>
      </w:r>
    </w:p>
    <w:p w14:paraId="3D44A1A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（1）施工现场内残留的垃圾已全部清除出场；</w:t>
      </w:r>
    </w:p>
    <w:p w14:paraId="38DFBE7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（2）临时工程已拆除，场地已进行清理、平整或复原；</w:t>
      </w:r>
    </w:p>
    <w:p w14:paraId="03E88D77">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（3）按合同约定应撤离的人员、承包人施工设备和剩余的材料，包括废弃的施工设备和材料，已按计划撤离施工现场；</w:t>
      </w:r>
    </w:p>
    <w:p w14:paraId="3333F29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（4）施工现场周边及其附近道路、河道的施工堆积物，已全部清理；</w:t>
      </w:r>
    </w:p>
    <w:p w14:paraId="1387403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（5）施工现场其他场地清理工作已全部完成。</w:t>
      </w:r>
    </w:p>
    <w:p w14:paraId="731ACDA1">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2D71EF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13.6.2 地表还原</w:t>
      </w:r>
    </w:p>
    <w:p w14:paraId="1528C12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0806C3C7">
      <w:pPr>
        <w:pStyle w:val="8"/>
        <w:spacing w:before="120" w:after="120" w:line="360" w:lineRule="exact"/>
        <w:rPr>
          <w:rFonts w:hint="eastAsia" w:ascii="宋体" w:hAnsi="宋体" w:cs="宋体"/>
          <w:b w:val="0"/>
          <w:color w:val="auto"/>
          <w:sz w:val="21"/>
          <w:szCs w:val="21"/>
        </w:rPr>
      </w:pPr>
      <w:bookmarkStart w:id="477" w:name="_Toc351203593"/>
      <w:bookmarkStart w:id="478" w:name="_Toc337558810"/>
      <w:bookmarkStart w:id="479" w:name="_Toc296503113"/>
      <w:bookmarkStart w:id="480" w:name="_Toc296346614"/>
      <w:r>
        <w:rPr>
          <w:rFonts w:hint="eastAsia" w:ascii="宋体" w:hAnsi="宋体" w:cs="宋体"/>
          <w:bCs w:val="0"/>
          <w:color w:val="auto"/>
          <w:sz w:val="21"/>
          <w:szCs w:val="21"/>
        </w:rPr>
        <w:t>14. 竣工结算</w:t>
      </w:r>
      <w:bookmarkEnd w:id="477"/>
    </w:p>
    <w:bookmarkEnd w:id="478"/>
    <w:p w14:paraId="717FF51E">
      <w:pPr>
        <w:pStyle w:val="9"/>
        <w:spacing w:before="120" w:after="120" w:line="360" w:lineRule="exact"/>
        <w:ind w:firstLine="422" w:firstLineChars="200"/>
        <w:rPr>
          <w:rFonts w:hint="eastAsia" w:ascii="宋体" w:hAnsi="宋体" w:cs="宋体"/>
          <w:color w:val="auto"/>
          <w:sz w:val="21"/>
          <w:szCs w:val="21"/>
        </w:rPr>
      </w:pPr>
      <w:bookmarkStart w:id="481" w:name="_Toc351203594"/>
      <w:bookmarkStart w:id="482" w:name="_Toc337558811"/>
      <w:r>
        <w:rPr>
          <w:rFonts w:hint="eastAsia" w:ascii="宋体" w:hAnsi="宋体" w:cs="宋体"/>
          <w:color w:val="auto"/>
          <w:sz w:val="21"/>
          <w:szCs w:val="21"/>
        </w:rPr>
        <w:t>14.1 竣工结算申请</w:t>
      </w:r>
      <w:bookmarkEnd w:id="481"/>
    </w:p>
    <w:bookmarkEnd w:id="482"/>
    <w:p w14:paraId="6493609F">
      <w:pPr>
        <w:autoSpaceDE w:val="0"/>
        <w:autoSpaceDN w:val="0"/>
        <w:adjustRightInd w:val="0"/>
        <w:spacing w:line="360" w:lineRule="exact"/>
        <w:ind w:firstLine="420" w:firstLineChars="200"/>
        <w:jc w:val="left"/>
        <w:rPr>
          <w:rFonts w:hint="eastAsia" w:ascii="宋体" w:hAnsi="宋体" w:cs="宋体"/>
          <w:color w:val="auto"/>
          <w:szCs w:val="21"/>
        </w:rPr>
      </w:pPr>
      <w:r>
        <w:rPr>
          <w:rFonts w:hint="eastAsia" w:ascii="宋体" w:hAnsi="宋体" w:cs="宋体"/>
          <w:color w:val="auto"/>
          <w:kern w:val="0"/>
          <w:szCs w:val="21"/>
        </w:rPr>
        <w:t>除专用合同条款另有约定外，</w:t>
      </w:r>
      <w:r>
        <w:rPr>
          <w:rFonts w:hint="eastAsia" w:ascii="宋体" w:hAnsi="宋体" w:cs="宋体"/>
          <w:color w:val="auto"/>
          <w:szCs w:val="21"/>
        </w:rPr>
        <w:t>承包人应在工程竣工验收合格后28天内向发包人和监理人提交竣工结算申请单，并提交完整的结算资料，有关竣工结算申请单的资料清单和份数等要求由合同当事人在专用合同条款中约定。</w:t>
      </w:r>
    </w:p>
    <w:p w14:paraId="6AFA5355">
      <w:pPr>
        <w:autoSpaceDE w:val="0"/>
        <w:autoSpaceDN w:val="0"/>
        <w:adjustRightInd w:val="0"/>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除专用合同条款另有约定外，竣工结算申请单应包括以下内容：</w:t>
      </w:r>
    </w:p>
    <w:p w14:paraId="7D46AD1E">
      <w:pPr>
        <w:autoSpaceDE w:val="0"/>
        <w:autoSpaceDN w:val="0"/>
        <w:adjustRightInd w:val="0"/>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（1）竣工结算合同价格；</w:t>
      </w:r>
    </w:p>
    <w:p w14:paraId="28640B38">
      <w:pPr>
        <w:autoSpaceDE w:val="0"/>
        <w:autoSpaceDN w:val="0"/>
        <w:adjustRightInd w:val="0"/>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（2）发包人已支付承包人的款项；</w:t>
      </w:r>
    </w:p>
    <w:p w14:paraId="7E0C6610">
      <w:pPr>
        <w:autoSpaceDE w:val="0"/>
        <w:autoSpaceDN w:val="0"/>
        <w:adjustRightInd w:val="0"/>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（3）应扣留的质量保证金。已缴纳履约保证金的或提供其他工程质量担保方式的除外； </w:t>
      </w:r>
    </w:p>
    <w:p w14:paraId="6CF970A7">
      <w:pPr>
        <w:autoSpaceDE w:val="0"/>
        <w:autoSpaceDN w:val="0"/>
        <w:adjustRightInd w:val="0"/>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（4）发包人应支付承包人的合同价款。</w:t>
      </w:r>
    </w:p>
    <w:p w14:paraId="6BAA6533">
      <w:pPr>
        <w:pStyle w:val="9"/>
        <w:spacing w:before="120" w:after="120" w:line="360" w:lineRule="exact"/>
        <w:ind w:firstLine="422" w:firstLineChars="200"/>
        <w:rPr>
          <w:rFonts w:hint="eastAsia" w:ascii="宋体" w:hAnsi="宋体" w:cs="宋体"/>
          <w:color w:val="auto"/>
          <w:sz w:val="21"/>
          <w:szCs w:val="21"/>
        </w:rPr>
      </w:pPr>
      <w:bookmarkStart w:id="483" w:name="_Toc351203595"/>
      <w:bookmarkStart w:id="484" w:name="_Toc337558812"/>
      <w:r>
        <w:rPr>
          <w:rFonts w:hint="eastAsia" w:ascii="宋体" w:hAnsi="宋体" w:cs="宋体"/>
          <w:color w:val="auto"/>
          <w:sz w:val="21"/>
          <w:szCs w:val="21"/>
        </w:rPr>
        <w:t>14.2 竣工结算审核</w:t>
      </w:r>
      <w:bookmarkEnd w:id="483"/>
    </w:p>
    <w:bookmarkEnd w:id="484"/>
    <w:p w14:paraId="688BAD9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auto"/>
          <w:szCs w:val="21"/>
        </w:rPr>
        <w:t>发包人对竣工</w:t>
      </w:r>
      <w:r>
        <w:rPr>
          <w:rFonts w:hint="eastAsia" w:ascii="宋体" w:hAnsi="宋体" w:cs="宋体"/>
          <w:color w:val="auto"/>
          <w:kern w:val="0"/>
          <w:szCs w:val="21"/>
        </w:rPr>
        <w:t>结算</w:t>
      </w:r>
      <w:r>
        <w:rPr>
          <w:rFonts w:hint="eastAsia" w:ascii="宋体" w:hAnsi="宋体" w:cs="宋体"/>
          <w:color w:val="auto"/>
          <w:szCs w:val="21"/>
        </w:rPr>
        <w:t>申请单有异议的，有权要求承包人进行修正和提供补充资料，承包人应提交修正后的竣工</w:t>
      </w:r>
      <w:r>
        <w:rPr>
          <w:rFonts w:hint="eastAsia" w:ascii="宋体" w:hAnsi="宋体" w:cs="宋体"/>
          <w:color w:val="auto"/>
          <w:kern w:val="0"/>
          <w:szCs w:val="21"/>
        </w:rPr>
        <w:t>结算</w:t>
      </w:r>
      <w:r>
        <w:rPr>
          <w:rFonts w:hint="eastAsia" w:ascii="宋体" w:hAnsi="宋体" w:cs="宋体"/>
          <w:color w:val="auto"/>
          <w:szCs w:val="21"/>
        </w:rPr>
        <w:t>申请单。</w:t>
      </w:r>
    </w:p>
    <w:p w14:paraId="04971C6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6BDCF3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4E0AC0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6F8223AE">
      <w:pPr>
        <w:pStyle w:val="9"/>
        <w:spacing w:before="120" w:after="120" w:line="360" w:lineRule="exact"/>
        <w:ind w:firstLine="422" w:firstLineChars="200"/>
        <w:rPr>
          <w:rFonts w:hint="eastAsia" w:ascii="宋体" w:hAnsi="宋体" w:cs="宋体"/>
          <w:b w:val="0"/>
          <w:color w:val="auto"/>
          <w:sz w:val="21"/>
          <w:szCs w:val="21"/>
        </w:rPr>
      </w:pPr>
      <w:bookmarkStart w:id="485" w:name="_Toc351203596"/>
      <w:bookmarkStart w:id="486" w:name="_Toc337558813"/>
      <w:r>
        <w:rPr>
          <w:rFonts w:hint="eastAsia" w:ascii="宋体" w:hAnsi="宋体" w:cs="宋体"/>
          <w:color w:val="auto"/>
          <w:sz w:val="21"/>
          <w:szCs w:val="21"/>
        </w:rPr>
        <w:t>14.3 甩项竣工协议</w:t>
      </w:r>
      <w:bookmarkEnd w:id="485"/>
    </w:p>
    <w:bookmarkEnd w:id="486"/>
    <w:p w14:paraId="37B230EC">
      <w:pPr>
        <w:autoSpaceDE w:val="0"/>
        <w:autoSpaceDN w:val="0"/>
        <w:adjustRightInd w:val="0"/>
        <w:spacing w:line="360" w:lineRule="exact"/>
        <w:ind w:firstLine="411" w:firstLineChars="196"/>
        <w:jc w:val="left"/>
        <w:rPr>
          <w:rFonts w:hint="eastAsia" w:ascii="宋体" w:hAnsi="宋体" w:cs="宋体"/>
          <w:color w:val="auto"/>
          <w:kern w:val="0"/>
          <w:szCs w:val="21"/>
        </w:rPr>
      </w:pPr>
      <w:r>
        <w:rPr>
          <w:rFonts w:hint="eastAsia" w:ascii="宋体" w:hAnsi="宋体" w:cs="宋体"/>
          <w:color w:val="auto"/>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5568D806">
      <w:pPr>
        <w:pStyle w:val="9"/>
        <w:spacing w:before="120" w:after="120" w:line="360" w:lineRule="exact"/>
        <w:ind w:firstLine="422" w:firstLineChars="200"/>
        <w:rPr>
          <w:rFonts w:hint="eastAsia" w:ascii="宋体" w:hAnsi="宋体" w:cs="宋体"/>
          <w:color w:val="auto"/>
          <w:sz w:val="21"/>
          <w:szCs w:val="21"/>
        </w:rPr>
      </w:pPr>
      <w:bookmarkStart w:id="487" w:name="_Toc351203597"/>
      <w:bookmarkStart w:id="488" w:name="_Toc337558814"/>
      <w:r>
        <w:rPr>
          <w:rFonts w:hint="eastAsia" w:ascii="宋体" w:hAnsi="宋体" w:cs="宋体"/>
          <w:color w:val="auto"/>
          <w:sz w:val="21"/>
          <w:szCs w:val="21"/>
        </w:rPr>
        <w:t>14.4 最终结清</w:t>
      </w:r>
      <w:bookmarkEnd w:id="487"/>
    </w:p>
    <w:bookmarkEnd w:id="488"/>
    <w:p w14:paraId="14A6682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14.4.1 最终结清申请单</w:t>
      </w:r>
    </w:p>
    <w:p w14:paraId="08D1AC5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（1）除专用合同条款另有约定外，承包人应在缺陷责任期终止证书颁发后7天内，按专用合同条款约定的份数向发包人提交最终结清申请单，并提供相关证明材料。</w:t>
      </w:r>
    </w:p>
    <w:p w14:paraId="54D1FD40">
      <w:pPr>
        <w:autoSpaceDE w:val="0"/>
        <w:autoSpaceDN w:val="0"/>
        <w:adjustRightInd w:val="0"/>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除专用合同条款另有约定外，</w:t>
      </w:r>
      <w:r>
        <w:rPr>
          <w:rFonts w:hint="eastAsia" w:ascii="宋体" w:hAnsi="宋体" w:cs="宋体"/>
          <w:color w:val="auto"/>
          <w:kern w:val="0"/>
          <w:szCs w:val="21"/>
        </w:rPr>
        <w:t>最终结清申请单</w:t>
      </w:r>
      <w:r>
        <w:rPr>
          <w:rFonts w:hint="eastAsia" w:ascii="宋体" w:hAnsi="宋体" w:cs="宋体"/>
          <w:color w:val="auto"/>
          <w:szCs w:val="21"/>
        </w:rPr>
        <w:t>应列明质量保证金、应扣除的质量保证金、缺陷责任期内发生的增减费用。</w:t>
      </w:r>
    </w:p>
    <w:p w14:paraId="028370E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（2）发包人对最终结清申请单内容有异议的，有权要求承包人进行修正和提供补充资料，承包人应向发包人提交修正后的最终结清申请单。</w:t>
      </w:r>
    </w:p>
    <w:p w14:paraId="40BB9A5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14.4.2 最终结清证书和支付</w:t>
      </w:r>
    </w:p>
    <w:p w14:paraId="49786E4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DCFBD5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FB852C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（3）承包人对发包人颁发的最终结清证书有异议的，按第20条〔争议解决〕的约定办理。</w:t>
      </w:r>
    </w:p>
    <w:p w14:paraId="5158E813">
      <w:pPr>
        <w:pStyle w:val="8"/>
        <w:spacing w:before="120" w:after="120" w:line="360" w:lineRule="exact"/>
        <w:rPr>
          <w:rFonts w:hint="eastAsia" w:ascii="宋体" w:hAnsi="宋体" w:cs="宋体"/>
          <w:bCs w:val="0"/>
          <w:color w:val="auto"/>
          <w:sz w:val="21"/>
          <w:szCs w:val="21"/>
        </w:rPr>
      </w:pPr>
      <w:bookmarkStart w:id="489" w:name="_Toc351203598"/>
      <w:bookmarkStart w:id="490" w:name="_Toc337558815"/>
      <w:r>
        <w:rPr>
          <w:rFonts w:hint="eastAsia" w:ascii="宋体" w:hAnsi="宋体" w:cs="宋体"/>
          <w:bCs w:val="0"/>
          <w:color w:val="auto"/>
          <w:sz w:val="21"/>
          <w:szCs w:val="21"/>
        </w:rPr>
        <w:t>15. 缺陷责任与保修</w:t>
      </w:r>
      <w:bookmarkEnd w:id="489"/>
    </w:p>
    <w:bookmarkEnd w:id="479"/>
    <w:bookmarkEnd w:id="480"/>
    <w:bookmarkEnd w:id="490"/>
    <w:p w14:paraId="530C31A5">
      <w:pPr>
        <w:pStyle w:val="9"/>
        <w:spacing w:before="120" w:after="120" w:line="360" w:lineRule="exact"/>
        <w:ind w:firstLine="422" w:firstLineChars="200"/>
        <w:rPr>
          <w:rFonts w:hint="eastAsia" w:ascii="宋体" w:hAnsi="宋体" w:cs="宋体"/>
          <w:b w:val="0"/>
          <w:color w:val="auto"/>
          <w:sz w:val="21"/>
          <w:szCs w:val="21"/>
        </w:rPr>
      </w:pPr>
      <w:bookmarkStart w:id="491" w:name="_Toc351203599"/>
      <w:bookmarkStart w:id="492" w:name="_Toc337558816"/>
      <w:bookmarkStart w:id="493" w:name="_Toc296503114"/>
      <w:bookmarkStart w:id="494" w:name="_Toc296346615"/>
      <w:r>
        <w:rPr>
          <w:rFonts w:hint="eastAsia" w:ascii="宋体" w:hAnsi="宋体" w:cs="宋体"/>
          <w:color w:val="auto"/>
          <w:sz w:val="21"/>
          <w:szCs w:val="21"/>
        </w:rPr>
        <w:t>15.1 工程保修的原则</w:t>
      </w:r>
      <w:bookmarkEnd w:id="491"/>
    </w:p>
    <w:bookmarkEnd w:id="492"/>
    <w:p w14:paraId="409B84E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在工程移交发包人后，因承包人原因产生的质量缺陷，承包人应承担质量缺陷责任和保修义务。缺陷责任期届满，承包人仍应按合同约定的工程各部位保修年限承担保修义务。</w:t>
      </w:r>
    </w:p>
    <w:p w14:paraId="0A4753F0">
      <w:pPr>
        <w:pStyle w:val="9"/>
        <w:spacing w:before="120" w:after="120" w:line="360" w:lineRule="exact"/>
        <w:ind w:firstLine="422" w:firstLineChars="200"/>
        <w:rPr>
          <w:rFonts w:hint="eastAsia" w:ascii="宋体" w:hAnsi="宋体" w:cs="宋体"/>
          <w:b w:val="0"/>
          <w:color w:val="auto"/>
          <w:sz w:val="21"/>
          <w:szCs w:val="21"/>
        </w:rPr>
      </w:pPr>
      <w:bookmarkStart w:id="495" w:name="_Toc351203600"/>
      <w:bookmarkStart w:id="496" w:name="_Toc337558817"/>
      <w:r>
        <w:rPr>
          <w:rFonts w:hint="eastAsia" w:ascii="宋体" w:hAnsi="宋体" w:cs="宋体"/>
          <w:color w:val="auto"/>
          <w:sz w:val="21"/>
          <w:szCs w:val="21"/>
        </w:rPr>
        <w:t>15.2 缺陷责任期</w:t>
      </w:r>
      <w:bookmarkEnd w:id="493"/>
      <w:bookmarkEnd w:id="494"/>
      <w:bookmarkEnd w:id="495"/>
    </w:p>
    <w:bookmarkEnd w:id="496"/>
    <w:p w14:paraId="7A338E4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15.2.1 缺陷责任期从工程通过竣工验收之日起计算，合同当事人应在专用合同条款约定缺陷责任期的具体期限，但该期限最长不超过24个月。</w:t>
      </w:r>
    </w:p>
    <w:p w14:paraId="52B29A2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EF2FB7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cs="宋体"/>
          <w:bCs/>
          <w:color w:val="auto"/>
          <w:szCs w:val="21"/>
        </w:rPr>
        <w:t>包人延长缺陷责任期，</w:t>
      </w:r>
      <w:r>
        <w:rPr>
          <w:rFonts w:hint="eastAsia" w:ascii="宋体" w:hAnsi="宋体" w:cs="宋体"/>
          <w:color w:val="auto"/>
          <w:kern w:val="0"/>
          <w:szCs w:val="21"/>
        </w:rPr>
        <w:t>并应在原缺陷责任期届满前发出延长通知。</w:t>
      </w:r>
      <w:r>
        <w:rPr>
          <w:rFonts w:hint="eastAsia" w:ascii="宋体" w:hAnsi="宋体" w:cs="宋体"/>
          <w:bCs/>
          <w:color w:val="auto"/>
          <w:szCs w:val="21"/>
        </w:rPr>
        <w:t>但缺陷责任期（含延长部分）最长</w:t>
      </w:r>
      <w:r>
        <w:rPr>
          <w:rFonts w:hint="eastAsia" w:ascii="宋体" w:hAnsi="宋体" w:cs="宋体"/>
          <w:color w:val="auto"/>
          <w:kern w:val="0"/>
          <w:szCs w:val="21"/>
        </w:rPr>
        <w:t>不能超过24个月。</w:t>
      </w:r>
    </w:p>
    <w:p w14:paraId="3CBEF12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由他人原因造成的缺陷，发包人负责组织维修，承包人不承担费用，且发包人不得从保证金中扣除费用。</w:t>
      </w:r>
    </w:p>
    <w:p w14:paraId="4136821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15.2.3 任何一项缺陷或损坏修复后，经检查证明其影响了工程或工程设备的使用性能，承包人应重新进行合同约定的试验和试运行，试验和试运行的全部费用应由责任方承担。</w:t>
      </w:r>
    </w:p>
    <w:p w14:paraId="16277F0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3435B10">
      <w:pPr>
        <w:pStyle w:val="9"/>
        <w:spacing w:before="120" w:after="120" w:line="360" w:lineRule="exact"/>
        <w:ind w:firstLine="422" w:firstLineChars="200"/>
        <w:rPr>
          <w:rFonts w:hint="eastAsia" w:ascii="宋体" w:hAnsi="宋体" w:cs="宋体"/>
          <w:color w:val="auto"/>
          <w:sz w:val="21"/>
          <w:szCs w:val="21"/>
        </w:rPr>
      </w:pPr>
      <w:bookmarkStart w:id="497" w:name="_Toc351203601"/>
      <w:bookmarkStart w:id="498" w:name="_Toc337558818"/>
      <w:bookmarkStart w:id="499" w:name="_Toc296346616"/>
      <w:bookmarkStart w:id="500" w:name="_Toc296503115"/>
      <w:r>
        <w:rPr>
          <w:rFonts w:hint="eastAsia" w:ascii="宋体" w:hAnsi="宋体" w:cs="宋体"/>
          <w:color w:val="auto"/>
          <w:sz w:val="21"/>
          <w:szCs w:val="21"/>
        </w:rPr>
        <w:t>15.3 质量保证金</w:t>
      </w:r>
      <w:bookmarkEnd w:id="497"/>
    </w:p>
    <w:bookmarkEnd w:id="498"/>
    <w:p w14:paraId="0768756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经合同当事人协商一致扣留质量保证金的，应在专用合同条款中予以明确。</w:t>
      </w:r>
    </w:p>
    <w:p w14:paraId="0F755E35">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在工程项目竣工前，承包人已经提供履约担保的，发包人不得同时预留工程质量保证金。</w:t>
      </w:r>
    </w:p>
    <w:p w14:paraId="533534FB">
      <w:pPr>
        <w:autoSpaceDE w:val="0"/>
        <w:autoSpaceDN w:val="0"/>
        <w:adjustRightInd w:val="0"/>
        <w:spacing w:line="360" w:lineRule="exact"/>
        <w:ind w:firstLine="420" w:firstLineChars="200"/>
        <w:jc w:val="left"/>
        <w:rPr>
          <w:rFonts w:hint="eastAsia" w:ascii="宋体" w:hAnsi="宋体" w:cs="宋体"/>
          <w:color w:val="auto"/>
          <w:kern w:val="0"/>
          <w:szCs w:val="21"/>
        </w:rPr>
      </w:pPr>
    </w:p>
    <w:p w14:paraId="545996C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15.3.1 承包人提供质量保证金的方式</w:t>
      </w:r>
    </w:p>
    <w:p w14:paraId="478CDF6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承包人提供质量保证金有以下三种方式：</w:t>
      </w:r>
    </w:p>
    <w:p w14:paraId="5352168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（1）质量保证金保函； </w:t>
      </w:r>
    </w:p>
    <w:p w14:paraId="15C4587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（2）相应比例的工程款；</w:t>
      </w:r>
    </w:p>
    <w:p w14:paraId="41EC0D3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（3）双方约定的其他方式。</w:t>
      </w:r>
    </w:p>
    <w:p w14:paraId="28454D9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除专用合同条款另有约定外，质量保证金原则上采用上述第（1）种方式。</w:t>
      </w:r>
    </w:p>
    <w:p w14:paraId="6AF46A5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15.3.2 质量保证金的扣留</w:t>
      </w:r>
    </w:p>
    <w:p w14:paraId="2247C51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质量保证金的扣留有以下三种方式：</w:t>
      </w:r>
    </w:p>
    <w:p w14:paraId="4B598BC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（1）在支付工程进度款时逐次扣留，在此情形下，质量保证金的计算基数不包括预付款的支付、扣回以及价格调整的金额；</w:t>
      </w:r>
    </w:p>
    <w:p w14:paraId="2EAC4C7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（2）工</w:t>
      </w:r>
      <w:bookmarkStart w:id="501" w:name="#go6"/>
      <w:bookmarkEnd w:id="501"/>
      <w:r>
        <w:rPr>
          <w:rFonts w:hint="eastAsia" w:ascii="宋体" w:hAnsi="宋体" w:cs="宋体"/>
          <w:color w:val="auto"/>
          <w:kern w:val="0"/>
          <w:szCs w:val="21"/>
        </w:rPr>
        <w:t>程竣工结算时一次性扣留质量保证金；</w:t>
      </w:r>
    </w:p>
    <w:p w14:paraId="46658D4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（3）双方约定的其他扣留方式。</w:t>
      </w:r>
    </w:p>
    <w:p w14:paraId="03D8EF0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除专用合同条款另有约定外，质量保证金的扣留原则上采用上述第（1）种方式。</w:t>
      </w:r>
    </w:p>
    <w:p w14:paraId="75A9AEA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w:t>
      </w:r>
      <w:bookmarkStart w:id="502" w:name="#go4"/>
      <w:bookmarkEnd w:id="502"/>
      <w:r>
        <w:rPr>
          <w:rFonts w:hint="eastAsia" w:ascii="宋体" w:hAnsi="宋体" w:cs="宋体"/>
          <w:color w:val="auto"/>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05F595D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发包人在退还质量保证金的同时按照中国人民银行发布的同期同类贷款基准利率支付利息。</w:t>
      </w:r>
    </w:p>
    <w:p w14:paraId="58949F2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15.3.3 </w:t>
      </w:r>
      <w:r>
        <w:rPr>
          <w:rFonts w:hint="eastAsia" w:ascii="宋体" w:hAnsi="宋体" w:cs="宋体"/>
          <w:color w:val="auto"/>
          <w:szCs w:val="21"/>
        </w:rPr>
        <w:t>质量保证金</w:t>
      </w:r>
      <w:r>
        <w:rPr>
          <w:rFonts w:hint="eastAsia" w:ascii="宋体" w:hAnsi="宋体" w:cs="宋体"/>
          <w:color w:val="auto"/>
          <w:kern w:val="0"/>
          <w:szCs w:val="21"/>
        </w:rPr>
        <w:t>的退还</w:t>
      </w:r>
    </w:p>
    <w:p w14:paraId="06A2EAE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缺陷责任期内，承包人认真履行合同约定的责任，到期后，承包人可向发包人申请返还保证金。</w:t>
      </w:r>
    </w:p>
    <w:p w14:paraId="36FE659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30D915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发包人和承包人对保证金预留、返还以及工程维修质量、费用有争议的，按本合同第20条约定的争议和纠纷解决程序处理。</w:t>
      </w:r>
    </w:p>
    <w:p w14:paraId="1A5C7929">
      <w:pPr>
        <w:pStyle w:val="9"/>
        <w:spacing w:before="120" w:after="120" w:line="360" w:lineRule="exact"/>
        <w:ind w:firstLine="422" w:firstLineChars="200"/>
        <w:rPr>
          <w:rFonts w:hint="eastAsia" w:ascii="宋体" w:hAnsi="宋体" w:cs="宋体"/>
          <w:color w:val="auto"/>
          <w:sz w:val="21"/>
          <w:szCs w:val="21"/>
        </w:rPr>
      </w:pPr>
      <w:bookmarkStart w:id="503" w:name="_Toc351203602"/>
      <w:bookmarkStart w:id="504" w:name="_Toc337558819"/>
      <w:r>
        <w:rPr>
          <w:rFonts w:hint="eastAsia" w:ascii="宋体" w:hAnsi="宋体" w:cs="宋体"/>
          <w:color w:val="auto"/>
          <w:sz w:val="21"/>
          <w:szCs w:val="21"/>
        </w:rPr>
        <w:t>15.4 保修</w:t>
      </w:r>
      <w:bookmarkEnd w:id="503"/>
    </w:p>
    <w:bookmarkEnd w:id="499"/>
    <w:bookmarkEnd w:id="500"/>
    <w:bookmarkEnd w:id="504"/>
    <w:p w14:paraId="6DFDD457">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15.4.1保修责任</w:t>
      </w:r>
    </w:p>
    <w:p w14:paraId="235C3DC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E82E82A">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发包人未经竣工验收擅自使用工程的，保修期自</w:t>
      </w:r>
      <w:r>
        <w:rPr>
          <w:rFonts w:hint="eastAsia" w:ascii="宋体" w:hAnsi="宋体" w:cs="宋体"/>
          <w:color w:val="auto"/>
          <w:kern w:val="0"/>
          <w:szCs w:val="21"/>
        </w:rPr>
        <w:t>转移占有之日起算</w:t>
      </w:r>
      <w:r>
        <w:rPr>
          <w:rFonts w:hint="eastAsia" w:ascii="宋体" w:hAnsi="宋体" w:cs="宋体"/>
          <w:color w:val="auto"/>
          <w:szCs w:val="21"/>
        </w:rPr>
        <w:t>。</w:t>
      </w:r>
    </w:p>
    <w:p w14:paraId="44273D1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15.4.2 修复费用</w:t>
      </w:r>
    </w:p>
    <w:p w14:paraId="1B6F82A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保修期内，修复的费用按照以下约定处理：</w:t>
      </w:r>
    </w:p>
    <w:p w14:paraId="65FF5CE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（1）保修期内，因承包人原因造成工程的缺陷、损坏，承包人应负责修复，并承担修复的费用以及因工程的缺陷、损坏造成的人身伤害和财产损失；</w:t>
      </w:r>
    </w:p>
    <w:p w14:paraId="692EACA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（2）保修期内，因发包人使用不当造成工程的缺陷、损坏，可以委托承包人修复，但发包人应承担修复的费用，并支付承包人合理利润；</w:t>
      </w:r>
    </w:p>
    <w:p w14:paraId="3122972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（3）因其他原因造成工程的缺陷、损坏，可以委托承包人修复，发包人应承担修复的费用，并支付承包人合理的利润，因工程的缺陷、损坏造成的人身伤害和财产损失由责任方承担。</w:t>
      </w:r>
    </w:p>
    <w:p w14:paraId="3438BD9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15.4.3 修复通知</w:t>
      </w:r>
    </w:p>
    <w:p w14:paraId="1A5948CB">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76281AF">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15.4.4 未能修复</w:t>
      </w:r>
    </w:p>
    <w:p w14:paraId="4D3E364F">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E2C759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15.4.5 承包人出入权</w:t>
      </w:r>
    </w:p>
    <w:p w14:paraId="02F7F71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9AFC9C5">
      <w:pPr>
        <w:pStyle w:val="8"/>
        <w:spacing w:before="120" w:after="120" w:line="360" w:lineRule="exact"/>
        <w:rPr>
          <w:rFonts w:hint="eastAsia" w:ascii="宋体" w:hAnsi="宋体" w:cs="宋体"/>
          <w:bCs w:val="0"/>
          <w:color w:val="auto"/>
          <w:sz w:val="21"/>
          <w:szCs w:val="21"/>
        </w:rPr>
      </w:pPr>
      <w:bookmarkStart w:id="505" w:name="_Toc351203603"/>
      <w:bookmarkStart w:id="506" w:name="_Toc337558820"/>
      <w:r>
        <w:rPr>
          <w:rFonts w:hint="eastAsia" w:ascii="宋体" w:hAnsi="宋体" w:cs="宋体"/>
          <w:bCs w:val="0"/>
          <w:color w:val="auto"/>
          <w:sz w:val="21"/>
          <w:szCs w:val="21"/>
        </w:rPr>
        <w:t>16. 违约</w:t>
      </w:r>
      <w:bookmarkEnd w:id="505"/>
    </w:p>
    <w:bookmarkEnd w:id="506"/>
    <w:p w14:paraId="51BBB389">
      <w:pPr>
        <w:pStyle w:val="9"/>
        <w:spacing w:before="120" w:after="120" w:line="360" w:lineRule="exact"/>
        <w:ind w:firstLine="422" w:firstLineChars="200"/>
        <w:rPr>
          <w:rFonts w:hint="eastAsia" w:ascii="宋体" w:hAnsi="宋体" w:cs="宋体"/>
          <w:bCs w:val="0"/>
          <w:color w:val="auto"/>
          <w:sz w:val="21"/>
          <w:szCs w:val="21"/>
        </w:rPr>
      </w:pPr>
      <w:bookmarkStart w:id="507" w:name="_Toc296503129"/>
      <w:bookmarkStart w:id="508" w:name="_Toc296346630"/>
      <w:bookmarkStart w:id="509" w:name="_Toc351203604"/>
      <w:bookmarkStart w:id="510" w:name="_Toc337558821"/>
      <w:r>
        <w:rPr>
          <w:rFonts w:hint="eastAsia" w:ascii="宋体" w:hAnsi="宋体" w:cs="宋体"/>
          <w:bCs w:val="0"/>
          <w:color w:val="auto"/>
          <w:sz w:val="21"/>
          <w:szCs w:val="21"/>
        </w:rPr>
        <w:t>16.1 发</w:t>
      </w:r>
      <w:bookmarkEnd w:id="507"/>
      <w:bookmarkEnd w:id="508"/>
      <w:r>
        <w:rPr>
          <w:rFonts w:hint="eastAsia" w:ascii="宋体" w:hAnsi="宋体" w:cs="宋体"/>
          <w:bCs w:val="0"/>
          <w:color w:val="auto"/>
          <w:sz w:val="21"/>
          <w:szCs w:val="21"/>
        </w:rPr>
        <w:t>包人违约</w:t>
      </w:r>
      <w:bookmarkEnd w:id="509"/>
    </w:p>
    <w:bookmarkEnd w:id="510"/>
    <w:p w14:paraId="4971FDD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16.1.1 发包人违约的情形</w:t>
      </w:r>
    </w:p>
    <w:p w14:paraId="317BB386">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在合同履行过程中发生的下列情形，属于发包人违约：</w:t>
      </w:r>
    </w:p>
    <w:p w14:paraId="07D199C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（1）因发包人原因未能在计划开工日期前7天内下达开工通知的；</w:t>
      </w:r>
    </w:p>
    <w:p w14:paraId="11B4EC2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（2）因发包人原因未能按合同约定支付合同价款的；</w:t>
      </w:r>
    </w:p>
    <w:p w14:paraId="2419BCE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（3）发包人违反第10.1款〔变更的范围〕第（2）项约定，自行实施被取消的工作或转由他人实施的；</w:t>
      </w:r>
    </w:p>
    <w:p w14:paraId="0220CBE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（4）发包人提供的材料、工程设备的规格、数量或质量不符合合同约定，或因发包人原因导致交货日期延误或交货地点变更等情况的；</w:t>
      </w:r>
    </w:p>
    <w:p w14:paraId="13C2E4D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（5）因发包人违反合同约定造成暂停施工的；</w:t>
      </w:r>
    </w:p>
    <w:p w14:paraId="7DC7D8C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（6）发包人无正当理由没有在约定期限内发出复工指示，导致承包人无法复工的；</w:t>
      </w:r>
    </w:p>
    <w:p w14:paraId="7AA1F8D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（7）发包人明确表示或者以其行为表明不履行合同主要义务的；</w:t>
      </w:r>
    </w:p>
    <w:p w14:paraId="080EDBA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（8）发包人未能按照合同约定履行其他义务的。</w:t>
      </w:r>
    </w:p>
    <w:p w14:paraId="2CD4447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4F120F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16.1.2 发包人违约的责任</w:t>
      </w:r>
    </w:p>
    <w:p w14:paraId="3384FA3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发包人应承担因其违约给承包人增加的费用和（或）延误的工期，并支付承包人合理的利润。此外，合同当事人可在专用合同条款中另行约定发包人违约责任的承担方式和计算方法。</w:t>
      </w:r>
    </w:p>
    <w:p w14:paraId="6930CC5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16.1.3 因发包人违约解除合同</w:t>
      </w:r>
    </w:p>
    <w:p w14:paraId="49E8CD8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50A6AF27">
      <w:pPr>
        <w:autoSpaceDE w:val="0"/>
        <w:autoSpaceDN w:val="0"/>
        <w:adjustRightInd w:val="0"/>
        <w:spacing w:line="360" w:lineRule="exact"/>
        <w:ind w:firstLine="420" w:firstLineChars="200"/>
        <w:jc w:val="left"/>
        <w:rPr>
          <w:rFonts w:hint="eastAsia" w:ascii="宋体" w:hAnsi="宋体" w:cs="宋体"/>
          <w:color w:val="auto"/>
          <w:szCs w:val="21"/>
        </w:rPr>
      </w:pPr>
      <w:r>
        <w:rPr>
          <w:rFonts w:hint="eastAsia" w:ascii="宋体" w:hAnsi="宋体" w:cs="宋体"/>
          <w:color w:val="auto"/>
          <w:kern w:val="0"/>
          <w:szCs w:val="21"/>
        </w:rPr>
        <w:t>16.1.4 因发包人违约解除合同后的付款</w:t>
      </w:r>
    </w:p>
    <w:p w14:paraId="57882E9F">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承包人按照本款约定解除合同的，发包人应在解除合同后28天内支付下列款项，并解除履约担保：</w:t>
      </w:r>
    </w:p>
    <w:p w14:paraId="2A7FDAE1">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（1）合同解除前所完成工作的价款；</w:t>
      </w:r>
    </w:p>
    <w:p w14:paraId="162B1A27">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（2）承包人为工程施工订购并已付款的材料、工程设备和其他物品的价款；</w:t>
      </w:r>
    </w:p>
    <w:p w14:paraId="3018743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（3）承包人撤离施工现场以及遣散承包人人员的款项；</w:t>
      </w:r>
    </w:p>
    <w:p w14:paraId="667EA30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（4）按照合同约定在合同解除前应支付的违约金；</w:t>
      </w:r>
    </w:p>
    <w:p w14:paraId="34B8682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（5）按照合同约定应当支付给承包人的其他款项；</w:t>
      </w:r>
    </w:p>
    <w:p w14:paraId="2E0BC615">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（6）按照合同约定应退还的质量保证金；</w:t>
      </w:r>
    </w:p>
    <w:p w14:paraId="04392DE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（7）因解除合同给承包人造成的损失。</w:t>
      </w:r>
    </w:p>
    <w:p w14:paraId="362E807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合同当事人未能就解除合同后的结清达成一致的，按照第20条〔争议解决〕的约定处理。</w:t>
      </w:r>
    </w:p>
    <w:p w14:paraId="69C1A441">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承包人应妥善做好已完工程和与工程有关的已购材料、工程设备的保护和移交工作，并将施工设备和人员撤出施工现场，发包人应为承包人撤出提供必要条件。</w:t>
      </w:r>
    </w:p>
    <w:p w14:paraId="77FAB2AD">
      <w:pPr>
        <w:pStyle w:val="9"/>
        <w:spacing w:before="120" w:after="120" w:line="360" w:lineRule="exact"/>
        <w:ind w:firstLine="422" w:firstLineChars="200"/>
        <w:rPr>
          <w:rFonts w:hint="eastAsia" w:ascii="宋体" w:hAnsi="宋体" w:cs="宋体"/>
          <w:b w:val="0"/>
          <w:color w:val="auto"/>
          <w:sz w:val="21"/>
          <w:szCs w:val="21"/>
        </w:rPr>
      </w:pPr>
      <w:bookmarkStart w:id="511" w:name="_Toc351203605"/>
      <w:bookmarkStart w:id="512" w:name="_Toc296346632"/>
      <w:bookmarkStart w:id="513" w:name="_Toc337558822"/>
      <w:bookmarkStart w:id="514" w:name="_Toc296503131"/>
      <w:r>
        <w:rPr>
          <w:rFonts w:hint="eastAsia" w:ascii="宋体" w:hAnsi="宋体" w:cs="宋体"/>
          <w:color w:val="auto"/>
          <w:sz w:val="21"/>
          <w:szCs w:val="21"/>
        </w:rPr>
        <w:t>16.2 承包人违约</w:t>
      </w:r>
      <w:bookmarkEnd w:id="511"/>
    </w:p>
    <w:bookmarkEnd w:id="512"/>
    <w:bookmarkEnd w:id="513"/>
    <w:bookmarkEnd w:id="514"/>
    <w:p w14:paraId="781A314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16.2.1 承包人违约的情形</w:t>
      </w:r>
    </w:p>
    <w:p w14:paraId="5BB1363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在合同履行过程中发生的下列情形，属于承包人违约：</w:t>
      </w:r>
    </w:p>
    <w:p w14:paraId="2034DB1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（1）承包人违反合同约定进行转包或违法分包的；</w:t>
      </w:r>
    </w:p>
    <w:p w14:paraId="6D3D1E1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（2）承包人违反合同约定采购和使用不合格的材料和工程设备的；</w:t>
      </w:r>
    </w:p>
    <w:p w14:paraId="1C6E136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（3）因承包人原因导致工程质量不符合合同要求的； </w:t>
      </w:r>
    </w:p>
    <w:p w14:paraId="6FCBFB8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（4）承包人违反第8.9款〔材料与设备专用要求〕的约定，未经批准，私自将已按照合同约定进入施工现场的材料或设备撤离施工现场的；</w:t>
      </w:r>
    </w:p>
    <w:p w14:paraId="6BE09EF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（5）承包人未能按施工进度计划及时完成合同约定的工作，造成工期延误的；</w:t>
      </w:r>
    </w:p>
    <w:p w14:paraId="3D42A4D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（6）承包人在缺陷责任期及保修期内，未能在合理期限对工程缺陷进行修复，或拒绝按发包人要求进行修复的；</w:t>
      </w:r>
    </w:p>
    <w:p w14:paraId="2941A37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（7）承包人明确表示或者以其行为表明不履行合同主要义务的；</w:t>
      </w:r>
    </w:p>
    <w:p w14:paraId="260A7F9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（8）承包人未能按照合同约定履行其他义务的。</w:t>
      </w:r>
    </w:p>
    <w:p w14:paraId="096F04C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承包人发生除本项第（7）目约定以外的其他违约情况时，监理人可向承包人发出整改通知，要求其在指定的期限内改正。</w:t>
      </w:r>
    </w:p>
    <w:p w14:paraId="5ADB23F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16.2.2 承包人违约的责任</w:t>
      </w:r>
    </w:p>
    <w:p w14:paraId="5DCA100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承包人应承担因其违约行为而增加的费用和（或）延误的工期。此外，合同当事人可在专用合同条款中另行约定承包人违约责任的承担方式和计算方法。</w:t>
      </w:r>
    </w:p>
    <w:p w14:paraId="0A70733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16.2.3 因承包人违约解除合同</w:t>
      </w:r>
    </w:p>
    <w:p w14:paraId="4C05EF5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DDA4E3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16.2.4因承包人违约解除合同后的处理</w:t>
      </w:r>
    </w:p>
    <w:p w14:paraId="374A04D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因承包人原因导致合同解除的，则合同当事人应在合同解除后28天内完成估价、付款和清算，并按以下约定执行：</w:t>
      </w:r>
    </w:p>
    <w:p w14:paraId="50F69C1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（1）合同解除后，按第4.4款〔商定或确定〕商定或确定承包人实际完成工作对应的合同价款，以及承包人已提供的材料、工程设备、施工设备和临时工程等的价值；</w:t>
      </w:r>
    </w:p>
    <w:p w14:paraId="63B2CDF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（2）合同解除后，承包人应支付的违约金；</w:t>
      </w:r>
    </w:p>
    <w:p w14:paraId="4F5C1B5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（3）合同解除后，因解除合同给发包人造成的损失；</w:t>
      </w:r>
    </w:p>
    <w:p w14:paraId="31F77427">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（4）合同解除后，承包人应按照发包人要求和监理人的指示完成现场的清理和撤离；</w:t>
      </w:r>
    </w:p>
    <w:p w14:paraId="7369EFA0">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（5）发包人和承包人应在合同解除后进行清算，出具最终结清付款证书，结清全部款项。</w:t>
      </w:r>
    </w:p>
    <w:p w14:paraId="0162F5C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因承包人违约解除合同的，发包人有权暂停对承包人的付款，查清各项付款和已扣款项。发包人和承包人未能就合同解除后的清算和款项支付达成一致的，按照第20条〔争议解决〕的约定处理。</w:t>
      </w:r>
    </w:p>
    <w:p w14:paraId="7CE9821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16.2.5采购合同权益转让</w:t>
      </w:r>
    </w:p>
    <w:p w14:paraId="1FE06F9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DF31C78">
      <w:pPr>
        <w:pStyle w:val="9"/>
        <w:spacing w:before="120" w:after="120" w:line="360" w:lineRule="exact"/>
        <w:ind w:firstLine="422" w:firstLineChars="200"/>
        <w:rPr>
          <w:rFonts w:hint="eastAsia" w:ascii="宋体" w:hAnsi="宋体" w:cs="宋体"/>
          <w:b w:val="0"/>
          <w:color w:val="auto"/>
          <w:sz w:val="21"/>
          <w:szCs w:val="21"/>
        </w:rPr>
      </w:pPr>
      <w:bookmarkStart w:id="515" w:name="_Toc351203606"/>
      <w:r>
        <w:rPr>
          <w:rFonts w:hint="eastAsia" w:ascii="宋体" w:hAnsi="宋体" w:cs="宋体"/>
          <w:color w:val="auto"/>
          <w:sz w:val="21"/>
          <w:szCs w:val="21"/>
        </w:rPr>
        <w:t>16.3 第三人造成的违约</w:t>
      </w:r>
      <w:bookmarkEnd w:id="515"/>
    </w:p>
    <w:p w14:paraId="44C53703">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在履行合同过程中，一方当事人因第三人的原因造成违约的，应当向对方当事人承担违约责任。一方当事人和第三人之间的纠纷，依照法律规定或者按照约定解决。</w:t>
      </w:r>
    </w:p>
    <w:p w14:paraId="3AEA0D76">
      <w:pPr>
        <w:pStyle w:val="8"/>
        <w:spacing w:before="120" w:after="120" w:line="360" w:lineRule="exact"/>
        <w:rPr>
          <w:rFonts w:hint="eastAsia" w:ascii="宋体" w:hAnsi="宋体" w:cs="宋体"/>
          <w:bCs w:val="0"/>
          <w:color w:val="auto"/>
          <w:sz w:val="21"/>
          <w:szCs w:val="21"/>
        </w:rPr>
      </w:pPr>
      <w:bookmarkStart w:id="516" w:name="_Toc351203607"/>
      <w:bookmarkStart w:id="517" w:name="_Toc296346617"/>
      <w:bookmarkStart w:id="518" w:name="_Toc296503116"/>
      <w:bookmarkStart w:id="519" w:name="_Toc337558823"/>
      <w:r>
        <w:rPr>
          <w:rFonts w:hint="eastAsia" w:ascii="宋体" w:hAnsi="宋体" w:cs="宋体"/>
          <w:bCs w:val="0"/>
          <w:color w:val="auto"/>
          <w:sz w:val="21"/>
          <w:szCs w:val="21"/>
        </w:rPr>
        <w:t>17. 不可抗力</w:t>
      </w:r>
      <w:bookmarkEnd w:id="516"/>
      <w:r>
        <w:rPr>
          <w:rFonts w:hint="eastAsia" w:ascii="宋体" w:hAnsi="宋体" w:cs="宋体"/>
          <w:bCs w:val="0"/>
          <w:color w:val="auto"/>
          <w:sz w:val="21"/>
          <w:szCs w:val="21"/>
        </w:rPr>
        <w:t xml:space="preserve"> </w:t>
      </w:r>
      <w:bookmarkEnd w:id="517"/>
      <w:bookmarkEnd w:id="518"/>
      <w:bookmarkEnd w:id="519"/>
    </w:p>
    <w:p w14:paraId="7440986D">
      <w:pPr>
        <w:pStyle w:val="9"/>
        <w:spacing w:before="120" w:after="120" w:line="360" w:lineRule="exact"/>
        <w:ind w:firstLine="422" w:firstLineChars="200"/>
        <w:rPr>
          <w:rFonts w:hint="eastAsia" w:ascii="宋体" w:hAnsi="宋体" w:cs="宋体"/>
          <w:bCs w:val="0"/>
          <w:color w:val="auto"/>
          <w:sz w:val="21"/>
          <w:szCs w:val="21"/>
        </w:rPr>
      </w:pPr>
      <w:bookmarkStart w:id="520" w:name="_Toc351203608"/>
      <w:bookmarkStart w:id="521" w:name="_Toc296346618"/>
      <w:bookmarkStart w:id="522" w:name="_Toc337558824"/>
      <w:bookmarkStart w:id="523" w:name="_Toc296503117"/>
      <w:r>
        <w:rPr>
          <w:rFonts w:hint="eastAsia" w:ascii="宋体" w:hAnsi="宋体" w:cs="宋体"/>
          <w:bCs w:val="0"/>
          <w:color w:val="auto"/>
          <w:sz w:val="21"/>
          <w:szCs w:val="21"/>
        </w:rPr>
        <w:t>17.1 不可抗力的确认</w:t>
      </w:r>
      <w:bookmarkEnd w:id="520"/>
    </w:p>
    <w:bookmarkEnd w:id="521"/>
    <w:bookmarkEnd w:id="522"/>
    <w:bookmarkEnd w:id="523"/>
    <w:p w14:paraId="671AC45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6CAD01D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2070A7A7">
      <w:pPr>
        <w:pStyle w:val="9"/>
        <w:spacing w:before="120" w:after="120" w:line="360" w:lineRule="exact"/>
        <w:ind w:firstLine="422" w:firstLineChars="200"/>
        <w:rPr>
          <w:rFonts w:hint="eastAsia" w:ascii="宋体" w:hAnsi="宋体" w:cs="宋体"/>
          <w:b w:val="0"/>
          <w:color w:val="auto"/>
          <w:sz w:val="21"/>
          <w:szCs w:val="21"/>
        </w:rPr>
      </w:pPr>
      <w:bookmarkStart w:id="524" w:name="_Toc351203609"/>
      <w:bookmarkStart w:id="525" w:name="_Toc337558825"/>
      <w:bookmarkStart w:id="526" w:name="_Toc296503118"/>
      <w:bookmarkStart w:id="527" w:name="_Toc296346619"/>
      <w:r>
        <w:rPr>
          <w:rFonts w:hint="eastAsia" w:ascii="宋体" w:hAnsi="宋体" w:cs="宋体"/>
          <w:color w:val="auto"/>
          <w:sz w:val="21"/>
          <w:szCs w:val="21"/>
        </w:rPr>
        <w:t>17.2 不可抗力的通知</w:t>
      </w:r>
      <w:bookmarkEnd w:id="524"/>
    </w:p>
    <w:bookmarkEnd w:id="525"/>
    <w:bookmarkEnd w:id="526"/>
    <w:bookmarkEnd w:id="527"/>
    <w:p w14:paraId="584E849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合同一方当事人遇到不可抗力事件，使其履行合同义务受到阻碍时，应立即通知合同另一方当事人和监理人，书面说明不可抗力和受阻碍的详细情况，并提供必要的证明。</w:t>
      </w:r>
    </w:p>
    <w:p w14:paraId="1B18E7D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0DEBCDD5">
      <w:pPr>
        <w:pStyle w:val="9"/>
        <w:spacing w:before="120" w:after="120" w:line="360" w:lineRule="exact"/>
        <w:ind w:firstLine="422" w:firstLineChars="200"/>
        <w:rPr>
          <w:rFonts w:hint="eastAsia" w:ascii="宋体" w:hAnsi="宋体" w:cs="宋体"/>
          <w:b w:val="0"/>
          <w:color w:val="auto"/>
          <w:sz w:val="21"/>
          <w:szCs w:val="21"/>
        </w:rPr>
      </w:pPr>
      <w:bookmarkStart w:id="528" w:name="_Toc351203610"/>
      <w:bookmarkStart w:id="529" w:name="_Toc296346620"/>
      <w:bookmarkStart w:id="530" w:name="_Toc337558826"/>
      <w:bookmarkStart w:id="531" w:name="_Toc296503119"/>
      <w:r>
        <w:rPr>
          <w:rFonts w:hint="eastAsia" w:ascii="宋体" w:hAnsi="宋体" w:cs="宋体"/>
          <w:color w:val="auto"/>
          <w:sz w:val="21"/>
          <w:szCs w:val="21"/>
        </w:rPr>
        <w:t>17.3 不可抗力后果的承担</w:t>
      </w:r>
      <w:bookmarkEnd w:id="528"/>
    </w:p>
    <w:bookmarkEnd w:id="529"/>
    <w:bookmarkEnd w:id="530"/>
    <w:bookmarkEnd w:id="531"/>
    <w:p w14:paraId="25D9FC6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17.3.1 不可抗力引起的后果及造成的损失由合同当事人按照法律规定及合同约定各自承担。不可抗力发生前已完成的工程应当按照合同约定进行计量支付。</w:t>
      </w:r>
    </w:p>
    <w:p w14:paraId="6227B99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17.3.2 不可抗力导致的人员伤亡、财产损失、费用增加和（或）工期延误等后果，由合同当事人按以下原则承担：</w:t>
      </w:r>
    </w:p>
    <w:p w14:paraId="7F1B94B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（1）永久工程、已运至施工现场的材料和工程设备的损坏，以及因工程损坏造成的第三人人员伤亡和财产损失由发包人承担；</w:t>
      </w:r>
    </w:p>
    <w:p w14:paraId="00E1D66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（2）承包人施工设备的损坏由承包人承担；</w:t>
      </w:r>
    </w:p>
    <w:p w14:paraId="4FE9659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（3）发包人和承包人承担各自人员伤亡和财产的损失；</w:t>
      </w:r>
    </w:p>
    <w:p w14:paraId="7827601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1AE3A9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（5）因不可抗力引起或将引起工期延误，发包人要求赶工的，由此增加的赶工费用由发包人承担；</w:t>
      </w:r>
    </w:p>
    <w:p w14:paraId="6D6E49E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（6）承包人在停工期间按照发包人要求照管、清理和修复工程的费用由发包人承担。</w:t>
      </w:r>
    </w:p>
    <w:p w14:paraId="42CDDB1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不可抗力发生后，合同当事人均应采取措施尽量避免和减少损失的扩大，任何一方当事人没有采取有效措施导致损失扩大的，应对扩大的损失承担责任。</w:t>
      </w:r>
    </w:p>
    <w:p w14:paraId="27A1781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因合同一方迟延履行合同义务，在迟延履行期间遭遇不可抗力的，不免除其违约责任。</w:t>
      </w:r>
    </w:p>
    <w:p w14:paraId="4BC66122">
      <w:pPr>
        <w:pStyle w:val="9"/>
        <w:spacing w:before="120" w:after="120" w:line="360" w:lineRule="exact"/>
        <w:ind w:firstLine="422" w:firstLineChars="200"/>
        <w:rPr>
          <w:rFonts w:hint="eastAsia" w:ascii="宋体" w:hAnsi="宋体" w:cs="宋体"/>
          <w:color w:val="auto"/>
          <w:sz w:val="21"/>
          <w:szCs w:val="21"/>
        </w:rPr>
      </w:pPr>
      <w:bookmarkStart w:id="532" w:name="_Toc351203611"/>
      <w:bookmarkStart w:id="533" w:name="_Toc337558827"/>
      <w:r>
        <w:rPr>
          <w:rFonts w:hint="eastAsia" w:ascii="宋体" w:hAnsi="宋体" w:cs="宋体"/>
          <w:color w:val="auto"/>
          <w:sz w:val="21"/>
          <w:szCs w:val="21"/>
        </w:rPr>
        <w:t>17.4 因不可抗力解除合同</w:t>
      </w:r>
      <w:bookmarkEnd w:id="532"/>
    </w:p>
    <w:bookmarkEnd w:id="533"/>
    <w:p w14:paraId="44106FFA">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4B5D3A89">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（1）合同解除前承包人已完成工作的价款；</w:t>
      </w:r>
    </w:p>
    <w:p w14:paraId="251B3E0C">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（2）承包人为工程订购的并已交付给承包人，或承包人有责任接受交付的材料、工程设备和其他物品的价款；</w:t>
      </w:r>
    </w:p>
    <w:p w14:paraId="16387AB2">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（3）发包人要求承包人退货或解除订货合同而产生的费用，或因不能退货或解除合同而产生的损失；</w:t>
      </w:r>
    </w:p>
    <w:p w14:paraId="01D3661D">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（4）承包人撤离施工现场以及遣散承包人人员的费用；</w:t>
      </w:r>
    </w:p>
    <w:p w14:paraId="51FEBAFE">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（5）按照合同约定在合同解除前应支付给承包人的其他款项；</w:t>
      </w:r>
    </w:p>
    <w:p w14:paraId="0A32B666">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（6）扣减承包人按照合同约定应向发包人支付的款项；</w:t>
      </w:r>
    </w:p>
    <w:p w14:paraId="3CB61F58">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（7）双方商定或确定的其他款项。</w:t>
      </w:r>
    </w:p>
    <w:p w14:paraId="63D95C94">
      <w:pPr>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除专用合同条款另有约定外，合同解除后，发包人应在商定或确定上述款项后28天内完成上述款项的支付。</w:t>
      </w:r>
    </w:p>
    <w:p w14:paraId="684BAB4C">
      <w:pPr>
        <w:pStyle w:val="8"/>
        <w:spacing w:before="120" w:after="120" w:line="360" w:lineRule="exact"/>
        <w:rPr>
          <w:rFonts w:hint="eastAsia" w:ascii="宋体" w:hAnsi="宋体" w:cs="宋体"/>
          <w:bCs w:val="0"/>
          <w:color w:val="auto"/>
          <w:sz w:val="21"/>
          <w:szCs w:val="21"/>
        </w:rPr>
      </w:pPr>
      <w:bookmarkStart w:id="534" w:name="_Toc351203612"/>
      <w:bookmarkStart w:id="535" w:name="_Toc337558828"/>
      <w:bookmarkStart w:id="536" w:name="_Toc296346621"/>
      <w:bookmarkStart w:id="537" w:name="_Toc296503120"/>
      <w:r>
        <w:rPr>
          <w:rFonts w:hint="eastAsia" w:ascii="宋体" w:hAnsi="宋体" w:cs="宋体"/>
          <w:bCs w:val="0"/>
          <w:color w:val="auto"/>
          <w:sz w:val="21"/>
          <w:szCs w:val="21"/>
        </w:rPr>
        <w:t>18. 保险</w:t>
      </w:r>
      <w:bookmarkEnd w:id="534"/>
    </w:p>
    <w:bookmarkEnd w:id="535"/>
    <w:bookmarkEnd w:id="536"/>
    <w:bookmarkEnd w:id="537"/>
    <w:p w14:paraId="78357E48">
      <w:pPr>
        <w:pStyle w:val="9"/>
        <w:spacing w:before="120" w:after="120" w:line="360" w:lineRule="exact"/>
        <w:ind w:firstLine="422" w:firstLineChars="200"/>
        <w:rPr>
          <w:rFonts w:hint="eastAsia" w:ascii="宋体" w:hAnsi="宋体" w:cs="宋体"/>
          <w:b w:val="0"/>
          <w:color w:val="auto"/>
          <w:sz w:val="21"/>
          <w:szCs w:val="21"/>
        </w:rPr>
      </w:pPr>
      <w:bookmarkStart w:id="538" w:name="_Toc351203613"/>
      <w:bookmarkStart w:id="539" w:name="_Toc296346622"/>
      <w:bookmarkStart w:id="540" w:name="_Toc296503121"/>
      <w:bookmarkStart w:id="541" w:name="_Toc337558829"/>
      <w:r>
        <w:rPr>
          <w:rFonts w:hint="eastAsia" w:ascii="宋体" w:hAnsi="宋体" w:cs="宋体"/>
          <w:bCs w:val="0"/>
          <w:color w:val="auto"/>
          <w:sz w:val="21"/>
          <w:szCs w:val="21"/>
        </w:rPr>
        <w:t>18.1 工程保险</w:t>
      </w:r>
      <w:bookmarkEnd w:id="538"/>
    </w:p>
    <w:bookmarkEnd w:id="539"/>
    <w:bookmarkEnd w:id="540"/>
    <w:bookmarkEnd w:id="541"/>
    <w:p w14:paraId="4182062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除专用合同条款另有约定外，发包人应投保建筑工程一切险或安装工程一切险；发包人委托承包人投保的，因投保产生的保险费和其他相关费用由发包人承担。</w:t>
      </w:r>
    </w:p>
    <w:p w14:paraId="588477E2">
      <w:pPr>
        <w:pStyle w:val="9"/>
        <w:spacing w:before="120" w:after="120" w:line="360" w:lineRule="exact"/>
        <w:ind w:firstLine="422" w:firstLineChars="200"/>
        <w:rPr>
          <w:rFonts w:hint="eastAsia" w:ascii="宋体" w:hAnsi="宋体" w:cs="宋体"/>
          <w:color w:val="auto"/>
          <w:sz w:val="21"/>
          <w:szCs w:val="21"/>
        </w:rPr>
      </w:pPr>
      <w:bookmarkStart w:id="542" w:name="_Toc351203614"/>
      <w:bookmarkStart w:id="543" w:name="_Toc296346623"/>
      <w:bookmarkStart w:id="544" w:name="_Toc337558830"/>
      <w:bookmarkStart w:id="545" w:name="_Toc296503122"/>
      <w:r>
        <w:rPr>
          <w:rFonts w:hint="eastAsia" w:ascii="宋体" w:hAnsi="宋体" w:cs="宋体"/>
          <w:color w:val="auto"/>
          <w:sz w:val="21"/>
          <w:szCs w:val="21"/>
        </w:rPr>
        <w:t>18.2 工伤保险</w:t>
      </w:r>
      <w:bookmarkEnd w:id="542"/>
    </w:p>
    <w:bookmarkEnd w:id="543"/>
    <w:bookmarkEnd w:id="544"/>
    <w:bookmarkEnd w:id="545"/>
    <w:p w14:paraId="04385D3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18.2.1 发包人应依照法律规定参加工伤保险，并为在施工现场的全部员工办理工伤保险，缴纳工伤保险费，并要求监理人及由发包人为履行合同聘请的第三方依法参加工伤保险。</w:t>
      </w:r>
    </w:p>
    <w:p w14:paraId="6C89691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18.2.2 承包人应依照法律规定参加工伤保险，并为其履行合同的全部员工办理工伤保险，缴纳工伤保险费，并要求分包人及由承包人为履行合同聘请的第三方依法参加工伤保险。</w:t>
      </w:r>
    </w:p>
    <w:p w14:paraId="6CB523FF">
      <w:pPr>
        <w:pStyle w:val="9"/>
        <w:spacing w:before="120" w:after="120" w:line="360" w:lineRule="exact"/>
        <w:ind w:firstLine="422" w:firstLineChars="200"/>
        <w:rPr>
          <w:rFonts w:hint="eastAsia" w:ascii="宋体" w:hAnsi="宋体" w:cs="宋体"/>
          <w:color w:val="auto"/>
          <w:sz w:val="21"/>
          <w:szCs w:val="21"/>
        </w:rPr>
      </w:pPr>
      <w:bookmarkStart w:id="546" w:name="_Toc351203615"/>
      <w:bookmarkStart w:id="547" w:name="_Toc296503125"/>
      <w:bookmarkStart w:id="548" w:name="_Toc296346626"/>
      <w:bookmarkStart w:id="549" w:name="_Toc337558831"/>
      <w:r>
        <w:rPr>
          <w:rFonts w:hint="eastAsia" w:ascii="宋体" w:hAnsi="宋体" w:cs="宋体"/>
          <w:color w:val="auto"/>
          <w:sz w:val="21"/>
          <w:szCs w:val="21"/>
        </w:rPr>
        <w:t>18.3其他保险</w:t>
      </w:r>
      <w:bookmarkEnd w:id="546"/>
    </w:p>
    <w:bookmarkEnd w:id="547"/>
    <w:bookmarkEnd w:id="548"/>
    <w:bookmarkEnd w:id="549"/>
    <w:p w14:paraId="3CA8E7DE">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发包人和承包人可以为其施工现场的全部人员办理意外伤害保险并支付保险费，包括其员工及为履行合同聘请的第三方的人员，具体事项由合同当事人在专用合同条款约定。</w:t>
      </w:r>
    </w:p>
    <w:p w14:paraId="6C3B5EAC">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除专用合同条款另有约定外，承包人应为其施工设备等办理财产保险。</w:t>
      </w:r>
    </w:p>
    <w:p w14:paraId="38958AF1">
      <w:pPr>
        <w:pStyle w:val="9"/>
        <w:spacing w:before="120" w:after="120" w:line="360" w:lineRule="exact"/>
        <w:ind w:firstLine="422" w:firstLineChars="200"/>
        <w:rPr>
          <w:rFonts w:hint="eastAsia" w:ascii="宋体" w:hAnsi="宋体" w:cs="宋体"/>
          <w:color w:val="auto"/>
          <w:sz w:val="21"/>
          <w:szCs w:val="21"/>
        </w:rPr>
      </w:pPr>
      <w:bookmarkStart w:id="550" w:name="_Toc351203616"/>
      <w:r>
        <w:rPr>
          <w:rFonts w:hint="eastAsia" w:ascii="宋体" w:hAnsi="宋体" w:cs="宋体"/>
          <w:color w:val="auto"/>
          <w:sz w:val="21"/>
          <w:szCs w:val="21"/>
        </w:rPr>
        <w:t>18.4持续保险</w:t>
      </w:r>
      <w:bookmarkEnd w:id="550"/>
    </w:p>
    <w:p w14:paraId="20B3AB85">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合同当事人应与保险人保持联系，使保险人能够随时了解工程实施中的变动，并确保按保险合同条款要求持续保险。</w:t>
      </w:r>
    </w:p>
    <w:p w14:paraId="58C81B70">
      <w:pPr>
        <w:pStyle w:val="9"/>
        <w:spacing w:before="120" w:after="120" w:line="360" w:lineRule="exact"/>
        <w:ind w:firstLine="422" w:firstLineChars="200"/>
        <w:rPr>
          <w:rFonts w:hint="eastAsia" w:ascii="宋体" w:hAnsi="宋体" w:cs="宋体"/>
          <w:b w:val="0"/>
          <w:color w:val="auto"/>
          <w:sz w:val="21"/>
          <w:szCs w:val="21"/>
        </w:rPr>
      </w:pPr>
      <w:bookmarkStart w:id="551" w:name="_Toc351203617"/>
      <w:bookmarkStart w:id="552" w:name="_Toc296503126"/>
      <w:bookmarkStart w:id="553" w:name="_Toc296346627"/>
      <w:bookmarkStart w:id="554" w:name="_Toc337558832"/>
      <w:r>
        <w:rPr>
          <w:rFonts w:hint="eastAsia" w:ascii="宋体" w:hAnsi="宋体" w:cs="宋体"/>
          <w:color w:val="auto"/>
          <w:sz w:val="21"/>
          <w:szCs w:val="21"/>
        </w:rPr>
        <w:t>18.5 保险凭证</w:t>
      </w:r>
      <w:bookmarkEnd w:id="551"/>
    </w:p>
    <w:bookmarkEnd w:id="552"/>
    <w:bookmarkEnd w:id="553"/>
    <w:bookmarkEnd w:id="554"/>
    <w:p w14:paraId="42EDAAF6">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合同当事人应及时向另一方当事人提交其已投保的各项保险的凭证和保险单复印件。</w:t>
      </w:r>
    </w:p>
    <w:p w14:paraId="2659EDD3">
      <w:pPr>
        <w:pStyle w:val="9"/>
        <w:spacing w:before="120" w:after="120" w:line="360" w:lineRule="exact"/>
        <w:ind w:firstLine="422" w:firstLineChars="200"/>
        <w:rPr>
          <w:rFonts w:hint="eastAsia" w:ascii="宋体" w:hAnsi="宋体" w:cs="宋体"/>
          <w:color w:val="auto"/>
          <w:sz w:val="21"/>
          <w:szCs w:val="21"/>
        </w:rPr>
      </w:pPr>
      <w:bookmarkStart w:id="555" w:name="_Toc351203618"/>
      <w:bookmarkStart w:id="556" w:name="_Toc337558833"/>
      <w:bookmarkStart w:id="557" w:name="_Toc296346628"/>
      <w:bookmarkStart w:id="558" w:name="_Toc296503127"/>
      <w:r>
        <w:rPr>
          <w:rFonts w:hint="eastAsia" w:ascii="宋体" w:hAnsi="宋体" w:cs="宋体"/>
          <w:color w:val="auto"/>
          <w:sz w:val="21"/>
          <w:szCs w:val="21"/>
        </w:rPr>
        <w:t>18.6 未按约定投保的补救</w:t>
      </w:r>
      <w:bookmarkEnd w:id="555"/>
    </w:p>
    <w:bookmarkEnd w:id="556"/>
    <w:bookmarkEnd w:id="557"/>
    <w:bookmarkEnd w:id="558"/>
    <w:p w14:paraId="0105A4B5">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18.6.1发包人未按合同约定办理保险，或未能使保险持续有效的，则承包人可代为办理，所需费用由发包人承担。发包人未按合同约定办理保险，导致未能得到足额赔偿的，由发包人负责补足。</w:t>
      </w:r>
    </w:p>
    <w:p w14:paraId="7FDFAFCF">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18.6.2承包人未按合同约定办理保险，或未能使保险持续有效的，则发包人可代为办理，所需费用由承包人承担。承包人未按合同约定办理保险，导致未能得到足额赔偿的，由承包人负责补足。</w:t>
      </w:r>
    </w:p>
    <w:p w14:paraId="7955DE9E">
      <w:pPr>
        <w:pStyle w:val="9"/>
        <w:spacing w:before="120" w:after="120" w:line="360" w:lineRule="exact"/>
        <w:ind w:firstLine="422" w:firstLineChars="200"/>
        <w:rPr>
          <w:rFonts w:hint="eastAsia" w:ascii="宋体" w:hAnsi="宋体" w:cs="宋体"/>
          <w:color w:val="auto"/>
          <w:sz w:val="21"/>
          <w:szCs w:val="21"/>
        </w:rPr>
      </w:pPr>
      <w:bookmarkStart w:id="559" w:name="_Toc351203619"/>
      <w:bookmarkStart w:id="560" w:name="_Toc337558834"/>
      <w:r>
        <w:rPr>
          <w:rFonts w:hint="eastAsia" w:ascii="宋体" w:hAnsi="宋体" w:cs="宋体"/>
          <w:color w:val="auto"/>
          <w:sz w:val="21"/>
          <w:szCs w:val="21"/>
        </w:rPr>
        <w:t>18.7 通知义务</w:t>
      </w:r>
      <w:bookmarkEnd w:id="559"/>
    </w:p>
    <w:bookmarkEnd w:id="560"/>
    <w:p w14:paraId="0D3CA564">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56A95473">
      <w:pPr>
        <w:spacing w:line="360" w:lineRule="exact"/>
        <w:ind w:firstLine="420" w:firstLineChars="200"/>
        <w:jc w:val="left"/>
        <w:rPr>
          <w:rFonts w:hint="eastAsia" w:ascii="宋体" w:hAnsi="宋体" w:cs="宋体"/>
          <w:color w:val="auto"/>
          <w:szCs w:val="21"/>
        </w:rPr>
      </w:pPr>
      <w:r>
        <w:rPr>
          <w:rFonts w:hint="eastAsia" w:ascii="宋体" w:hAnsi="宋体" w:cs="宋体"/>
          <w:color w:val="auto"/>
          <w:szCs w:val="21"/>
        </w:rPr>
        <w:t>保险事故发生时，投保人应按照保险合同规定的条件和期限及时向保险人报告。发包人和承包人应当在知道保险事故发生后及时通知对方。</w:t>
      </w:r>
    </w:p>
    <w:p w14:paraId="0ADAD5A3">
      <w:pPr>
        <w:pStyle w:val="8"/>
        <w:spacing w:before="120" w:after="120" w:line="360" w:lineRule="exact"/>
        <w:rPr>
          <w:rFonts w:hint="eastAsia" w:ascii="宋体" w:hAnsi="宋体" w:cs="宋体"/>
          <w:bCs w:val="0"/>
          <w:color w:val="auto"/>
          <w:sz w:val="21"/>
          <w:szCs w:val="21"/>
        </w:rPr>
      </w:pPr>
      <w:bookmarkStart w:id="561" w:name="_Toc351203620"/>
      <w:bookmarkStart w:id="562" w:name="_Toc337558835"/>
      <w:bookmarkStart w:id="563" w:name="_Toc296346641"/>
      <w:bookmarkStart w:id="564" w:name="_Toc296503140"/>
      <w:r>
        <w:rPr>
          <w:rFonts w:hint="eastAsia" w:ascii="宋体" w:hAnsi="宋体" w:cs="宋体"/>
          <w:bCs w:val="0"/>
          <w:color w:val="auto"/>
          <w:sz w:val="21"/>
          <w:szCs w:val="21"/>
        </w:rPr>
        <w:t>19. 索赔</w:t>
      </w:r>
      <w:bookmarkEnd w:id="561"/>
    </w:p>
    <w:bookmarkEnd w:id="562"/>
    <w:bookmarkEnd w:id="563"/>
    <w:bookmarkEnd w:id="564"/>
    <w:p w14:paraId="474D2879">
      <w:pPr>
        <w:pStyle w:val="9"/>
        <w:spacing w:before="120" w:after="120" w:line="360" w:lineRule="exact"/>
        <w:ind w:firstLine="422" w:firstLineChars="200"/>
        <w:rPr>
          <w:rFonts w:hint="eastAsia" w:ascii="宋体" w:hAnsi="宋体" w:cs="宋体"/>
          <w:bCs w:val="0"/>
          <w:color w:val="auto"/>
          <w:sz w:val="21"/>
          <w:szCs w:val="21"/>
        </w:rPr>
      </w:pPr>
      <w:bookmarkStart w:id="565" w:name="_Toc351203621"/>
      <w:bookmarkStart w:id="566" w:name="_Toc337558836"/>
      <w:bookmarkStart w:id="567" w:name="_Toc296503141"/>
      <w:bookmarkStart w:id="568" w:name="_Toc296346642"/>
      <w:r>
        <w:rPr>
          <w:rFonts w:hint="eastAsia" w:ascii="宋体" w:hAnsi="宋体" w:cs="宋体"/>
          <w:bCs w:val="0"/>
          <w:color w:val="auto"/>
          <w:sz w:val="21"/>
          <w:szCs w:val="21"/>
        </w:rPr>
        <w:t>19.1承包人的索赔</w:t>
      </w:r>
      <w:bookmarkEnd w:id="565"/>
    </w:p>
    <w:bookmarkEnd w:id="566"/>
    <w:bookmarkEnd w:id="567"/>
    <w:bookmarkEnd w:id="568"/>
    <w:p w14:paraId="25B98FC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根据合同约定，承包人认为有权得到追加付款和（或）延长工期的，应按以下程序向发包人提出索赔：</w:t>
      </w:r>
    </w:p>
    <w:p w14:paraId="6A6ABC7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92AC38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（2）承包人应在发出索赔意向通知书后28天内，向监理人正式递交索赔报告；索赔报告应详细说明索赔理由以及要求追加的付款金额和（或）延长的工期，并附必要的记录和证明材料；</w:t>
      </w:r>
    </w:p>
    <w:p w14:paraId="2E17639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（3）索赔事件具有持续影响的，承包人应按合理时间间隔继续递交延续索赔通知，说明持续影响的实际情况和记录，列出累计的追加付款金额和（或）工期延长天数；</w:t>
      </w:r>
    </w:p>
    <w:p w14:paraId="4F1DC08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（4）在索赔事件影响结束后28天内，承包人应向监理人递交最终索赔报告，说明最终要求索赔的追加付款金额和（或）延长的工期，并附必要的记录和证明材料。</w:t>
      </w:r>
    </w:p>
    <w:p w14:paraId="33E0B354">
      <w:pPr>
        <w:pStyle w:val="9"/>
        <w:spacing w:before="120" w:after="120" w:line="360" w:lineRule="exact"/>
        <w:ind w:firstLine="422" w:firstLineChars="200"/>
        <w:rPr>
          <w:rFonts w:hint="eastAsia" w:ascii="宋体" w:hAnsi="宋体" w:cs="宋体"/>
          <w:color w:val="auto"/>
          <w:sz w:val="21"/>
          <w:szCs w:val="21"/>
        </w:rPr>
      </w:pPr>
      <w:bookmarkStart w:id="569" w:name="_Toc351203622"/>
      <w:bookmarkStart w:id="570" w:name="_Toc296503142"/>
      <w:bookmarkStart w:id="571" w:name="_Toc337558837"/>
      <w:bookmarkStart w:id="572" w:name="_Toc296346643"/>
      <w:r>
        <w:rPr>
          <w:rFonts w:hint="eastAsia" w:ascii="宋体" w:hAnsi="宋体" w:cs="宋体"/>
          <w:color w:val="auto"/>
          <w:sz w:val="21"/>
          <w:szCs w:val="21"/>
        </w:rPr>
        <w:t>19.2 对承包人索赔的处理</w:t>
      </w:r>
      <w:bookmarkEnd w:id="569"/>
    </w:p>
    <w:bookmarkEnd w:id="570"/>
    <w:bookmarkEnd w:id="571"/>
    <w:bookmarkEnd w:id="572"/>
    <w:p w14:paraId="44F4D30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对承包人索赔的处理如下：</w:t>
      </w:r>
    </w:p>
    <w:p w14:paraId="3F4FFCD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（1）监理人应在收到索赔报告后14天内完成审查并报送发包人。监理人对索赔报告存在异议的，有权要求承包人提交全部原始记录副本；</w:t>
      </w:r>
    </w:p>
    <w:p w14:paraId="4B6F2ECD">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6D787F4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（3）承包人接受索赔处理结果的，索赔款项在当期进度款中进行支付；承包人不接受索赔处理结果的，按照第20条〔争议解决〕约定处理。</w:t>
      </w:r>
    </w:p>
    <w:p w14:paraId="4625C8B5">
      <w:pPr>
        <w:pStyle w:val="9"/>
        <w:spacing w:before="120" w:after="120" w:line="360" w:lineRule="exact"/>
        <w:ind w:firstLine="422" w:firstLineChars="200"/>
        <w:rPr>
          <w:rFonts w:hint="eastAsia" w:ascii="宋体" w:hAnsi="宋体" w:cs="宋体"/>
          <w:color w:val="auto"/>
          <w:sz w:val="21"/>
          <w:szCs w:val="21"/>
        </w:rPr>
      </w:pPr>
      <w:bookmarkStart w:id="573" w:name="_Toc351203623"/>
      <w:bookmarkStart w:id="574" w:name="_Toc296503143"/>
      <w:bookmarkStart w:id="575" w:name="_Toc337558838"/>
      <w:bookmarkStart w:id="576" w:name="_Toc296346644"/>
      <w:r>
        <w:rPr>
          <w:rFonts w:hint="eastAsia" w:ascii="宋体" w:hAnsi="宋体" w:cs="宋体"/>
          <w:color w:val="auto"/>
          <w:sz w:val="21"/>
          <w:szCs w:val="21"/>
        </w:rPr>
        <w:t>19.3发包人的索赔</w:t>
      </w:r>
      <w:bookmarkEnd w:id="573"/>
    </w:p>
    <w:bookmarkEnd w:id="574"/>
    <w:bookmarkEnd w:id="575"/>
    <w:bookmarkEnd w:id="576"/>
    <w:p w14:paraId="6B0F797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根据合同约定，发包人认为有权得到赔付金额和（或）延长缺陷责任期的，监理人应向承包人发出通知并附有详细的证明。</w:t>
      </w:r>
    </w:p>
    <w:p w14:paraId="7851E95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51628A7">
      <w:pPr>
        <w:pStyle w:val="9"/>
        <w:spacing w:before="120" w:after="120" w:line="360" w:lineRule="exact"/>
        <w:ind w:firstLine="422" w:firstLineChars="200"/>
        <w:rPr>
          <w:rFonts w:hint="eastAsia" w:ascii="宋体" w:hAnsi="宋体" w:cs="宋体"/>
          <w:color w:val="auto"/>
          <w:sz w:val="21"/>
          <w:szCs w:val="21"/>
        </w:rPr>
      </w:pPr>
      <w:bookmarkStart w:id="577" w:name="_Toc351203624"/>
      <w:bookmarkStart w:id="578" w:name="_Toc337558839"/>
      <w:bookmarkStart w:id="579" w:name="_Toc296503144"/>
      <w:bookmarkStart w:id="580" w:name="_Toc296346645"/>
      <w:r>
        <w:rPr>
          <w:rFonts w:hint="eastAsia" w:ascii="宋体" w:hAnsi="宋体" w:cs="宋体"/>
          <w:color w:val="auto"/>
          <w:sz w:val="21"/>
          <w:szCs w:val="21"/>
        </w:rPr>
        <w:t>19.4 对发包人索赔的处理</w:t>
      </w:r>
      <w:bookmarkEnd w:id="577"/>
    </w:p>
    <w:bookmarkEnd w:id="578"/>
    <w:bookmarkEnd w:id="579"/>
    <w:bookmarkEnd w:id="580"/>
    <w:p w14:paraId="1E23645E">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对发包人索赔的处理如下：</w:t>
      </w:r>
    </w:p>
    <w:p w14:paraId="140DE44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（1）承包人收到发包人提交的索赔报告后，应及时审查索赔报告的内容、查验发包人证明材料；</w:t>
      </w:r>
    </w:p>
    <w:p w14:paraId="6AD03B21">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（2）承包人应在收到索赔报告或有关索赔的进一步证明材料后28天内，将索赔处理结果答复发包人。如果承包人未在上述期限内作出答复的，则视为对发包人索赔要求的认可；</w:t>
      </w:r>
    </w:p>
    <w:p w14:paraId="07C1D38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（3）承包人接受索赔处理结果的，发包人可从应支付给承包人的合同价款中扣除赔付的金额或延长缺陷责任期；发包人不接受索赔处理结果的，按第20条〔争议解决〕约定处理。</w:t>
      </w:r>
    </w:p>
    <w:p w14:paraId="6EA81B36">
      <w:pPr>
        <w:pStyle w:val="9"/>
        <w:spacing w:before="120" w:after="120" w:line="360" w:lineRule="exact"/>
        <w:ind w:firstLine="422" w:firstLineChars="200"/>
        <w:rPr>
          <w:rFonts w:hint="eastAsia" w:ascii="宋体" w:hAnsi="宋体" w:cs="宋体"/>
          <w:color w:val="auto"/>
          <w:sz w:val="21"/>
          <w:szCs w:val="21"/>
        </w:rPr>
      </w:pPr>
      <w:bookmarkStart w:id="581" w:name="_Toc351203625"/>
      <w:r>
        <w:rPr>
          <w:rFonts w:hint="eastAsia" w:ascii="宋体" w:hAnsi="宋体" w:cs="宋体"/>
          <w:color w:val="auto"/>
          <w:sz w:val="21"/>
          <w:szCs w:val="21"/>
        </w:rPr>
        <w:t>19.5 提出索赔的期限</w:t>
      </w:r>
      <w:bookmarkEnd w:id="581"/>
    </w:p>
    <w:p w14:paraId="604108C7">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（1）承包人按第14.2款〔竣工结算审核〕约定接收竣工付款证书后，应被视为已无权再提出在工程接收证书颁发前所发生的任何索赔。</w:t>
      </w:r>
    </w:p>
    <w:p w14:paraId="52768944">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（2）承包人按第14.4款〔最终结清〕提交的最终结清申请单中，只限于提出工程接收证书颁发后发生的索赔。提出索赔的期限自接受最终结清证书时终止。</w:t>
      </w:r>
    </w:p>
    <w:p w14:paraId="00DA9E5A">
      <w:pPr>
        <w:pStyle w:val="8"/>
        <w:spacing w:before="120" w:after="120" w:line="360" w:lineRule="exact"/>
        <w:rPr>
          <w:rFonts w:hint="eastAsia" w:ascii="宋体" w:hAnsi="宋体" w:cs="宋体"/>
          <w:bCs w:val="0"/>
          <w:color w:val="auto"/>
          <w:sz w:val="21"/>
          <w:szCs w:val="21"/>
        </w:rPr>
      </w:pPr>
      <w:bookmarkStart w:id="582" w:name="_Toc351203626"/>
      <w:r>
        <w:rPr>
          <w:rFonts w:hint="eastAsia" w:ascii="宋体" w:hAnsi="宋体" w:cs="宋体"/>
          <w:bCs w:val="0"/>
          <w:color w:val="auto"/>
          <w:sz w:val="21"/>
          <w:szCs w:val="21"/>
        </w:rPr>
        <w:t>20</w:t>
      </w:r>
      <w:bookmarkStart w:id="583" w:name="_Toc296346647"/>
      <w:bookmarkStart w:id="584" w:name="_Toc296503146"/>
      <w:bookmarkStart w:id="585" w:name="_Toc337558840"/>
      <w:r>
        <w:rPr>
          <w:rFonts w:hint="eastAsia" w:ascii="宋体" w:hAnsi="宋体" w:cs="宋体"/>
          <w:bCs w:val="0"/>
          <w:color w:val="auto"/>
          <w:sz w:val="21"/>
          <w:szCs w:val="21"/>
        </w:rPr>
        <w:t>. 争议解决</w:t>
      </w:r>
      <w:bookmarkEnd w:id="582"/>
    </w:p>
    <w:bookmarkEnd w:id="583"/>
    <w:bookmarkEnd w:id="584"/>
    <w:bookmarkEnd w:id="585"/>
    <w:p w14:paraId="00A5E6BC">
      <w:pPr>
        <w:pStyle w:val="9"/>
        <w:spacing w:before="120" w:after="120" w:line="360" w:lineRule="exact"/>
        <w:ind w:firstLine="422" w:firstLineChars="200"/>
        <w:rPr>
          <w:rFonts w:hint="eastAsia" w:ascii="宋体" w:hAnsi="宋体" w:cs="宋体"/>
          <w:bCs w:val="0"/>
          <w:color w:val="auto"/>
          <w:sz w:val="21"/>
          <w:szCs w:val="21"/>
        </w:rPr>
      </w:pPr>
      <w:bookmarkStart w:id="586" w:name="_Toc351203627"/>
      <w:bookmarkStart w:id="587" w:name="_Toc296503147"/>
      <w:bookmarkStart w:id="588" w:name="_Toc296346648"/>
      <w:bookmarkStart w:id="589" w:name="_Toc337558841"/>
      <w:r>
        <w:rPr>
          <w:rFonts w:hint="eastAsia" w:ascii="宋体" w:hAnsi="宋体" w:cs="宋体"/>
          <w:bCs w:val="0"/>
          <w:color w:val="auto"/>
          <w:sz w:val="21"/>
          <w:szCs w:val="21"/>
        </w:rPr>
        <w:t>20.1和解</w:t>
      </w:r>
      <w:bookmarkEnd w:id="586"/>
    </w:p>
    <w:bookmarkEnd w:id="587"/>
    <w:bookmarkEnd w:id="588"/>
    <w:bookmarkEnd w:id="589"/>
    <w:p w14:paraId="6F9DFED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合同当事人可以就争议自行和解，自行和解达成协议的经双方签字并盖章后作为合同补充文件，双方均应遵照执行。</w:t>
      </w:r>
    </w:p>
    <w:p w14:paraId="358BFC40">
      <w:pPr>
        <w:pStyle w:val="9"/>
        <w:spacing w:before="120" w:after="120" w:line="360" w:lineRule="exact"/>
        <w:ind w:firstLine="422" w:firstLineChars="200"/>
        <w:rPr>
          <w:rFonts w:hint="eastAsia" w:ascii="宋体" w:hAnsi="宋体" w:cs="宋体"/>
          <w:color w:val="auto"/>
          <w:sz w:val="21"/>
          <w:szCs w:val="21"/>
        </w:rPr>
      </w:pPr>
      <w:bookmarkStart w:id="590" w:name="_Toc351203628"/>
      <w:r>
        <w:rPr>
          <w:rFonts w:hint="eastAsia" w:ascii="宋体" w:hAnsi="宋体" w:cs="宋体"/>
          <w:color w:val="auto"/>
          <w:sz w:val="21"/>
          <w:szCs w:val="21"/>
        </w:rPr>
        <w:t>20</w:t>
      </w:r>
      <w:bookmarkStart w:id="591" w:name="_Toc337558842"/>
      <w:bookmarkStart w:id="592" w:name="_Toc296346649"/>
      <w:bookmarkStart w:id="593" w:name="_Toc296503148"/>
      <w:r>
        <w:rPr>
          <w:rFonts w:hint="eastAsia" w:ascii="宋体" w:hAnsi="宋体" w:cs="宋体"/>
          <w:color w:val="auto"/>
          <w:sz w:val="21"/>
          <w:szCs w:val="21"/>
        </w:rPr>
        <w:t>.2调解</w:t>
      </w:r>
      <w:bookmarkEnd w:id="590"/>
    </w:p>
    <w:bookmarkEnd w:id="591"/>
    <w:bookmarkEnd w:id="592"/>
    <w:bookmarkEnd w:id="593"/>
    <w:p w14:paraId="67E89D00">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合同当事人可以就争议请求建设行政主管部门、行业协会或其他第三方进行调解，调解达成协议的，经双方签字并盖章后作为合同补充文件，双方均应遵照执行。</w:t>
      </w:r>
    </w:p>
    <w:p w14:paraId="1CFEF0E3">
      <w:pPr>
        <w:pStyle w:val="9"/>
        <w:spacing w:before="120" w:after="120" w:line="360" w:lineRule="exact"/>
        <w:ind w:firstLine="422" w:firstLineChars="200"/>
        <w:rPr>
          <w:rFonts w:hint="eastAsia" w:ascii="宋体" w:hAnsi="宋体" w:cs="宋体"/>
          <w:color w:val="auto"/>
          <w:sz w:val="21"/>
          <w:szCs w:val="21"/>
        </w:rPr>
      </w:pPr>
      <w:bookmarkStart w:id="594" w:name="_Toc351203629"/>
      <w:bookmarkStart w:id="595" w:name="_Toc296503149"/>
      <w:bookmarkStart w:id="596" w:name="_Toc337558843"/>
      <w:bookmarkStart w:id="597" w:name="_Toc296346650"/>
      <w:r>
        <w:rPr>
          <w:rFonts w:hint="eastAsia" w:ascii="宋体" w:hAnsi="宋体" w:cs="宋体"/>
          <w:color w:val="auto"/>
          <w:sz w:val="21"/>
          <w:szCs w:val="21"/>
        </w:rPr>
        <w:t>20.3争议评审</w:t>
      </w:r>
      <w:bookmarkEnd w:id="594"/>
    </w:p>
    <w:bookmarkEnd w:id="595"/>
    <w:bookmarkEnd w:id="596"/>
    <w:bookmarkEnd w:id="597"/>
    <w:p w14:paraId="47310E1A">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合同当事人在专用合同条款中约定采取争议评审方式解决争议以及评审规则，并按下列约定执行： </w:t>
      </w:r>
    </w:p>
    <w:p w14:paraId="451E8CC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20.3.1 争议评审小组的确定</w:t>
      </w:r>
    </w:p>
    <w:p w14:paraId="00D11E7B">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合同当事人可以共同选择一名或三名争议评审员，组成争议评审小组。除专用合同条款另有约定外，合同当事人应当自合同签订后28天内，或者争议发生后14天内，选定争议评审员。</w:t>
      </w:r>
    </w:p>
    <w:p w14:paraId="26DB4102">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5DC89D87">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除专用合同条款另有约定外，评审员报酬由发包人和承包人各承担一半。</w:t>
      </w:r>
    </w:p>
    <w:p w14:paraId="76CAB10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20.3.2 争议评审小组的决定</w:t>
      </w:r>
    </w:p>
    <w:p w14:paraId="52716B8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2972DD83">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20.3.3 争议评审小组决定的效力</w:t>
      </w:r>
    </w:p>
    <w:p w14:paraId="42E5D1B4">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争议评审小组作出的书面决定经合同当事人签字确认后，对双方具有约束力，双方应遵照执行。</w:t>
      </w:r>
    </w:p>
    <w:p w14:paraId="472F6C7C">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任何一方当事人不接受争议评审小组决定或不履行争议评审小组决定的，双方可选择采用其他争议解决方式。</w:t>
      </w:r>
    </w:p>
    <w:p w14:paraId="2814B23B">
      <w:pPr>
        <w:pStyle w:val="9"/>
        <w:spacing w:before="120" w:after="120" w:line="360" w:lineRule="exact"/>
        <w:ind w:firstLine="422" w:firstLineChars="200"/>
        <w:rPr>
          <w:rFonts w:hint="eastAsia" w:ascii="宋体" w:hAnsi="宋体" w:cs="宋体"/>
          <w:color w:val="auto"/>
          <w:sz w:val="21"/>
          <w:szCs w:val="21"/>
        </w:rPr>
      </w:pPr>
      <w:bookmarkStart w:id="598" w:name="_Toc351203630"/>
      <w:bookmarkStart w:id="599" w:name="_Toc296346651"/>
      <w:bookmarkStart w:id="600" w:name="_Toc296503150"/>
      <w:bookmarkStart w:id="601" w:name="_Toc337558844"/>
      <w:r>
        <w:rPr>
          <w:rFonts w:hint="eastAsia" w:ascii="宋体" w:hAnsi="宋体" w:cs="宋体"/>
          <w:color w:val="auto"/>
          <w:sz w:val="21"/>
          <w:szCs w:val="21"/>
        </w:rPr>
        <w:t>20.4仲裁或诉讼</w:t>
      </w:r>
      <w:bookmarkEnd w:id="598"/>
    </w:p>
    <w:bookmarkEnd w:id="599"/>
    <w:bookmarkEnd w:id="600"/>
    <w:bookmarkEnd w:id="601"/>
    <w:p w14:paraId="7AD1DED9">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因合同及合同有关事项产生的争议，合同当事人可以在专用合同条款中约定以下一种方式解决争议：</w:t>
      </w:r>
    </w:p>
    <w:p w14:paraId="65C23885">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（1）向约定的仲裁委员会申请仲裁；</w:t>
      </w:r>
    </w:p>
    <w:p w14:paraId="5C2B1098">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（2）向有管辖权的人民法院起诉。</w:t>
      </w:r>
    </w:p>
    <w:p w14:paraId="3C28505E">
      <w:pPr>
        <w:pStyle w:val="9"/>
        <w:spacing w:before="120" w:after="120" w:line="360" w:lineRule="exact"/>
        <w:ind w:firstLine="422" w:firstLineChars="200"/>
        <w:rPr>
          <w:rFonts w:hint="eastAsia" w:ascii="宋体" w:hAnsi="宋体" w:cs="宋体"/>
          <w:b w:val="0"/>
          <w:color w:val="auto"/>
          <w:sz w:val="21"/>
          <w:szCs w:val="21"/>
        </w:rPr>
      </w:pPr>
      <w:bookmarkStart w:id="602" w:name="_Toc351203631"/>
      <w:bookmarkStart w:id="603" w:name="_Toc296346653"/>
      <w:bookmarkStart w:id="604" w:name="_Toc337558845"/>
      <w:bookmarkStart w:id="605" w:name="_Toc296503152"/>
      <w:r>
        <w:rPr>
          <w:rFonts w:hint="eastAsia" w:ascii="宋体" w:hAnsi="宋体" w:cs="宋体"/>
          <w:color w:val="auto"/>
          <w:sz w:val="21"/>
          <w:szCs w:val="21"/>
        </w:rPr>
        <w:t>20.5争议解决条款效力</w:t>
      </w:r>
      <w:bookmarkEnd w:id="602"/>
    </w:p>
    <w:bookmarkEnd w:id="603"/>
    <w:bookmarkEnd w:id="604"/>
    <w:bookmarkEnd w:id="605"/>
    <w:p w14:paraId="664F3DFF">
      <w:pPr>
        <w:autoSpaceDE w:val="0"/>
        <w:autoSpaceDN w:val="0"/>
        <w:adjustRightInd w:val="0"/>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 xml:space="preserve">合同有关争议解决的条款独立存在，合同的变更、解除、终止、无效或者被撤销均不影响其效力。 </w:t>
      </w:r>
    </w:p>
    <w:p w14:paraId="1B900E3F">
      <w:pPr>
        <w:pStyle w:val="5"/>
        <w:spacing w:line="360" w:lineRule="exact"/>
        <w:jc w:val="center"/>
        <w:rPr>
          <w:rFonts w:ascii="宋体" w:hAnsi="宋体"/>
          <w:color w:val="auto"/>
          <w:sz w:val="21"/>
          <w:szCs w:val="21"/>
          <w:lang w:val="zh-CN"/>
        </w:rPr>
      </w:pPr>
      <w:r>
        <w:rPr>
          <w:rFonts w:ascii="华文中宋" w:hAnsi="华文中宋" w:eastAsia="华文中宋"/>
          <w:color w:val="auto"/>
        </w:rPr>
        <w:br w:type="page"/>
      </w:r>
      <w:bookmarkStart w:id="606" w:name="_Toc420933428"/>
      <w:bookmarkEnd w:id="606"/>
      <w:bookmarkStart w:id="607" w:name="_Toc373227779"/>
      <w:bookmarkEnd w:id="607"/>
      <w:bookmarkStart w:id="608" w:name="_Toc351203652"/>
      <w:bookmarkEnd w:id="608"/>
      <w:bookmarkStart w:id="609" w:name="_Toc373478426"/>
      <w:bookmarkEnd w:id="609"/>
      <w:bookmarkStart w:id="610" w:name="_Toc389065344"/>
      <w:bookmarkEnd w:id="610"/>
      <w:bookmarkStart w:id="611" w:name="_Toc20695"/>
      <w:bookmarkStart w:id="612" w:name="_Toc30528"/>
      <w:bookmarkStart w:id="613" w:name="_Toc14977"/>
      <w:bookmarkStart w:id="614" w:name="_Toc31534"/>
      <w:bookmarkStart w:id="615" w:name="_Toc18315"/>
      <w:r>
        <w:rPr>
          <w:rFonts w:hint="eastAsia" w:ascii="宋体" w:hAnsi="宋体"/>
          <w:color w:val="auto"/>
          <w:sz w:val="21"/>
          <w:szCs w:val="21"/>
          <w:lang w:val="zh-CN"/>
        </w:rPr>
        <w:t>第三部分 专用</w:t>
      </w:r>
      <w:r>
        <w:rPr>
          <w:rFonts w:ascii="宋体" w:hAnsi="宋体"/>
          <w:color w:val="auto"/>
          <w:sz w:val="21"/>
          <w:szCs w:val="21"/>
          <w:lang w:val="zh-CN"/>
        </w:rPr>
        <w:t>合同条款</w:t>
      </w:r>
      <w:bookmarkEnd w:id="611"/>
      <w:bookmarkEnd w:id="612"/>
      <w:bookmarkEnd w:id="613"/>
      <w:bookmarkEnd w:id="614"/>
      <w:bookmarkEnd w:id="615"/>
    </w:p>
    <w:p w14:paraId="6C706B28">
      <w:pPr>
        <w:pStyle w:val="5"/>
        <w:keepNext w:val="0"/>
        <w:spacing w:line="360" w:lineRule="exact"/>
        <w:rPr>
          <w:rFonts w:ascii="宋体" w:hAnsi="宋体" w:cs="宋体"/>
          <w:color w:val="auto"/>
          <w:sz w:val="21"/>
          <w:szCs w:val="21"/>
          <w:lang w:val="zh-CN"/>
        </w:rPr>
      </w:pPr>
      <w:bookmarkStart w:id="616" w:name="_Toc358569763"/>
      <w:bookmarkEnd w:id="616"/>
      <w:bookmarkStart w:id="617" w:name="_Toc30192"/>
      <w:bookmarkStart w:id="618" w:name="_Toc833"/>
      <w:bookmarkStart w:id="619" w:name="_Toc17736"/>
      <w:bookmarkStart w:id="620" w:name="_Toc14815"/>
      <w:bookmarkStart w:id="621" w:name="_Toc1245"/>
      <w:r>
        <w:rPr>
          <w:rFonts w:ascii="宋体" w:hAnsi="宋体" w:cs="宋体"/>
          <w:color w:val="auto"/>
          <w:sz w:val="21"/>
          <w:szCs w:val="21"/>
          <w:lang w:val="zh-CN"/>
        </w:rPr>
        <w:t>1</w:t>
      </w:r>
      <w:bookmarkStart w:id="622" w:name="_Toc296890984"/>
      <w:bookmarkEnd w:id="622"/>
      <w:bookmarkStart w:id="623" w:name="_Toc297048342"/>
      <w:bookmarkEnd w:id="623"/>
      <w:bookmarkStart w:id="624" w:name="_Toc296891196"/>
      <w:bookmarkEnd w:id="624"/>
      <w:bookmarkStart w:id="625" w:name="_Toc296347155"/>
      <w:bookmarkEnd w:id="625"/>
      <w:bookmarkStart w:id="626" w:name="_Toc296503156"/>
      <w:bookmarkEnd w:id="626"/>
      <w:bookmarkStart w:id="627" w:name="_Toc296944495"/>
      <w:bookmarkEnd w:id="627"/>
      <w:bookmarkStart w:id="628" w:name="_Toc292559866"/>
      <w:bookmarkEnd w:id="628"/>
      <w:bookmarkStart w:id="629" w:name="_Toc296346657"/>
      <w:bookmarkEnd w:id="629"/>
      <w:bookmarkStart w:id="630" w:name="_Toc292559361"/>
      <w:bookmarkEnd w:id="630"/>
      <w:bookmarkStart w:id="631" w:name="_Toc297120456"/>
      <w:bookmarkEnd w:id="631"/>
      <w:r>
        <w:rPr>
          <w:rFonts w:ascii="宋体" w:hAnsi="宋体" w:cs="宋体"/>
          <w:color w:val="auto"/>
          <w:sz w:val="21"/>
          <w:szCs w:val="21"/>
          <w:lang w:val="zh-CN"/>
        </w:rPr>
        <w:t>. 一般约定</w:t>
      </w:r>
      <w:bookmarkEnd w:id="617"/>
      <w:bookmarkEnd w:id="618"/>
      <w:bookmarkEnd w:id="619"/>
      <w:bookmarkEnd w:id="620"/>
      <w:bookmarkEnd w:id="621"/>
    </w:p>
    <w:p w14:paraId="3C660AD6">
      <w:pPr>
        <w:pStyle w:val="5"/>
        <w:keepNext w:val="0"/>
        <w:spacing w:line="360" w:lineRule="exact"/>
        <w:rPr>
          <w:rFonts w:ascii="宋体" w:hAnsi="宋体" w:cs="宋体"/>
          <w:color w:val="auto"/>
          <w:sz w:val="21"/>
          <w:szCs w:val="21"/>
          <w:lang w:val="zh-CN"/>
        </w:rPr>
      </w:pPr>
      <w:bookmarkStart w:id="632" w:name="_Toc373227693"/>
      <w:bookmarkEnd w:id="632"/>
      <w:bookmarkStart w:id="633" w:name="_Toc406054731"/>
      <w:bookmarkEnd w:id="633"/>
      <w:bookmarkStart w:id="634" w:name="_Toc373478340"/>
      <w:bookmarkEnd w:id="634"/>
      <w:bookmarkStart w:id="635" w:name="_Toc8583"/>
      <w:bookmarkStart w:id="636" w:name="_Toc5625"/>
      <w:bookmarkStart w:id="637" w:name="_Toc26045"/>
      <w:bookmarkStart w:id="638" w:name="_Toc19611"/>
      <w:bookmarkStart w:id="639" w:name="_Toc31432"/>
      <w:r>
        <w:rPr>
          <w:rFonts w:ascii="宋体" w:hAnsi="宋体" w:cs="宋体"/>
          <w:color w:val="auto"/>
          <w:sz w:val="21"/>
          <w:szCs w:val="21"/>
          <w:lang w:val="zh-CN"/>
        </w:rPr>
        <w:t>1.1 词语定义</w:t>
      </w:r>
      <w:bookmarkEnd w:id="635"/>
      <w:bookmarkEnd w:id="636"/>
      <w:bookmarkEnd w:id="637"/>
      <w:bookmarkEnd w:id="638"/>
      <w:bookmarkEnd w:id="639"/>
    </w:p>
    <w:p w14:paraId="0E3079D3">
      <w:pPr>
        <w:spacing w:line="360" w:lineRule="exact"/>
        <w:ind w:firstLine="420"/>
        <w:rPr>
          <w:rFonts w:ascii="宋体" w:hAnsi="宋体" w:cs="宋体"/>
          <w:color w:val="auto"/>
          <w:kern w:val="1"/>
          <w:szCs w:val="21"/>
        </w:rPr>
      </w:pPr>
      <w:r>
        <w:rPr>
          <w:rFonts w:ascii="宋体" w:hAnsi="宋体" w:cs="宋体"/>
          <w:color w:val="auto"/>
          <w:kern w:val="1"/>
          <w:szCs w:val="21"/>
        </w:rPr>
        <w:t>1.1.1合同</w:t>
      </w:r>
    </w:p>
    <w:p w14:paraId="7E3C3215">
      <w:pPr>
        <w:spacing w:line="360" w:lineRule="exact"/>
        <w:ind w:firstLine="420"/>
        <w:rPr>
          <w:rFonts w:ascii="宋体" w:hAnsi="宋体" w:cs="宋体"/>
          <w:color w:val="auto"/>
          <w:kern w:val="1"/>
          <w:szCs w:val="21"/>
        </w:rPr>
      </w:pPr>
      <w:r>
        <w:rPr>
          <w:rFonts w:ascii="宋体" w:hAnsi="宋体" w:cs="宋体"/>
          <w:color w:val="auto"/>
          <w:kern w:val="1"/>
          <w:szCs w:val="21"/>
        </w:rPr>
        <w:t>1.1.1.10其他合同文件包括：</w:t>
      </w:r>
      <w:r>
        <w:rPr>
          <w:rFonts w:hint="eastAsia" w:ascii="宋体" w:hAnsi="宋体"/>
          <w:color w:val="auto"/>
          <w:szCs w:val="21"/>
          <w:u w:val="single"/>
        </w:rPr>
        <w:t>成交</w:t>
      </w:r>
      <w:r>
        <w:rPr>
          <w:rFonts w:ascii="宋体" w:hAnsi="宋体"/>
          <w:color w:val="auto"/>
          <w:szCs w:val="21"/>
          <w:u w:val="single"/>
        </w:rPr>
        <w:t>通知书；</w:t>
      </w:r>
      <w:r>
        <w:rPr>
          <w:rFonts w:hint="eastAsia" w:ascii="宋体" w:hAnsi="宋体"/>
          <w:color w:val="auto"/>
          <w:szCs w:val="21"/>
          <w:u w:val="single"/>
        </w:rPr>
        <w:t>竞标</w:t>
      </w:r>
      <w:r>
        <w:rPr>
          <w:rFonts w:ascii="宋体" w:hAnsi="宋体"/>
          <w:color w:val="auto"/>
          <w:szCs w:val="21"/>
          <w:u w:val="single"/>
        </w:rPr>
        <w:t>函及其附录；</w:t>
      </w:r>
      <w:r>
        <w:rPr>
          <w:rFonts w:hint="eastAsia" w:ascii="宋体" w:hAnsi="宋体"/>
          <w:color w:val="auto"/>
          <w:szCs w:val="21"/>
          <w:u w:val="single"/>
        </w:rPr>
        <w:t>补充合同（协议）</w:t>
      </w:r>
      <w:r>
        <w:rPr>
          <w:rFonts w:ascii="宋体" w:hAnsi="宋体"/>
          <w:color w:val="auto"/>
          <w:szCs w:val="21"/>
          <w:u w:val="single"/>
        </w:rPr>
        <w:t xml:space="preserve">及其附件；图纸；技术标准和要求；已标价工程量清单 </w:t>
      </w:r>
      <w:r>
        <w:rPr>
          <w:rFonts w:ascii="宋体" w:hAnsi="宋体" w:cs="宋体"/>
          <w:color w:val="auto"/>
          <w:kern w:val="1"/>
          <w:szCs w:val="21"/>
        </w:rPr>
        <w:t>。</w:t>
      </w:r>
    </w:p>
    <w:p w14:paraId="37794EB7">
      <w:pPr>
        <w:spacing w:line="360" w:lineRule="exact"/>
        <w:ind w:firstLine="420"/>
        <w:rPr>
          <w:rFonts w:ascii="宋体" w:hAnsi="宋体" w:cs="宋体"/>
          <w:color w:val="auto"/>
          <w:kern w:val="1"/>
          <w:szCs w:val="21"/>
        </w:rPr>
      </w:pPr>
      <w:r>
        <w:rPr>
          <w:rFonts w:ascii="宋体" w:hAnsi="宋体" w:cs="宋体"/>
          <w:color w:val="auto"/>
          <w:kern w:val="1"/>
          <w:szCs w:val="21"/>
        </w:rPr>
        <w:t>1.1.2 合同当事人及其他相关方</w:t>
      </w:r>
    </w:p>
    <w:p w14:paraId="3E613A95">
      <w:pPr>
        <w:spacing w:line="360" w:lineRule="exact"/>
        <w:ind w:firstLine="420"/>
        <w:rPr>
          <w:rFonts w:ascii="宋体" w:hAnsi="宋体" w:cs="宋体"/>
          <w:color w:val="auto"/>
          <w:kern w:val="1"/>
          <w:szCs w:val="21"/>
        </w:rPr>
      </w:pPr>
      <w:r>
        <w:rPr>
          <w:rFonts w:ascii="宋体" w:hAnsi="宋体" w:cs="宋体"/>
          <w:color w:val="auto"/>
          <w:kern w:val="1"/>
          <w:szCs w:val="21"/>
        </w:rPr>
        <w:t>1.1.2.4监理人：</w:t>
      </w:r>
    </w:p>
    <w:p w14:paraId="5D4117F4">
      <w:pPr>
        <w:spacing w:line="360" w:lineRule="exact"/>
        <w:ind w:firstLine="420" w:firstLineChars="200"/>
        <w:rPr>
          <w:color w:val="auto"/>
          <w:szCs w:val="21"/>
          <w:u w:val="single"/>
        </w:rPr>
      </w:pPr>
      <w:r>
        <w:rPr>
          <w:rFonts w:hint="eastAsia"/>
          <w:color w:val="auto"/>
          <w:szCs w:val="21"/>
        </w:rPr>
        <w:t>名    称：</w:t>
      </w:r>
      <w:r>
        <w:rPr>
          <w:rFonts w:hint="eastAsia"/>
          <w:color w:val="auto"/>
          <w:szCs w:val="21"/>
          <w:u w:val="single"/>
        </w:rPr>
        <w:t xml:space="preserve">                 </w:t>
      </w:r>
    </w:p>
    <w:p w14:paraId="04E613F6">
      <w:pPr>
        <w:spacing w:line="360" w:lineRule="exact"/>
        <w:ind w:firstLine="420" w:firstLineChars="200"/>
        <w:rPr>
          <w:color w:val="auto"/>
          <w:szCs w:val="21"/>
        </w:rPr>
      </w:pPr>
      <w:r>
        <w:rPr>
          <w:rFonts w:hint="eastAsia"/>
          <w:color w:val="auto"/>
          <w:szCs w:val="21"/>
        </w:rPr>
        <w:t>资质类别和等级：</w:t>
      </w:r>
      <w:r>
        <w:rPr>
          <w:rFonts w:hint="eastAsia"/>
          <w:color w:val="auto"/>
          <w:szCs w:val="21"/>
          <w:u w:val="single"/>
        </w:rPr>
        <w:t xml:space="preserve">                  </w:t>
      </w:r>
    </w:p>
    <w:p w14:paraId="3FC6BB89">
      <w:pPr>
        <w:spacing w:line="360" w:lineRule="exact"/>
        <w:ind w:firstLine="420" w:firstLineChars="200"/>
        <w:rPr>
          <w:color w:val="auto"/>
          <w:szCs w:val="21"/>
          <w:u w:val="single"/>
        </w:rPr>
      </w:pPr>
      <w:r>
        <w:rPr>
          <w:rFonts w:hint="eastAsia"/>
          <w:color w:val="auto"/>
          <w:szCs w:val="21"/>
        </w:rPr>
        <w:t>联系电话：</w:t>
      </w:r>
      <w:r>
        <w:rPr>
          <w:rFonts w:hint="eastAsia"/>
          <w:color w:val="auto"/>
          <w:szCs w:val="21"/>
          <w:u w:val="single"/>
        </w:rPr>
        <w:t xml:space="preserve">               </w:t>
      </w:r>
    </w:p>
    <w:p w14:paraId="654A0567">
      <w:pPr>
        <w:spacing w:line="360" w:lineRule="exact"/>
        <w:ind w:firstLine="420" w:firstLineChars="200"/>
        <w:rPr>
          <w:color w:val="auto"/>
          <w:szCs w:val="21"/>
          <w:u w:val="single"/>
        </w:rPr>
      </w:pPr>
      <w:r>
        <w:rPr>
          <w:rFonts w:hint="eastAsia"/>
          <w:color w:val="auto"/>
          <w:szCs w:val="21"/>
        </w:rPr>
        <w:t>电子邮箱：</w:t>
      </w:r>
      <w:r>
        <w:rPr>
          <w:rFonts w:hint="eastAsia"/>
          <w:color w:val="auto"/>
          <w:szCs w:val="21"/>
          <w:u w:val="single"/>
        </w:rPr>
        <w:t xml:space="preserve">                 </w:t>
      </w:r>
    </w:p>
    <w:p w14:paraId="3EB283EF">
      <w:pPr>
        <w:spacing w:line="360" w:lineRule="exact"/>
        <w:ind w:firstLine="420" w:firstLineChars="200"/>
        <w:rPr>
          <w:color w:val="auto"/>
          <w:szCs w:val="21"/>
          <w:u w:val="single"/>
        </w:rPr>
      </w:pPr>
      <w:r>
        <w:rPr>
          <w:rFonts w:hint="eastAsia"/>
          <w:color w:val="auto"/>
          <w:szCs w:val="21"/>
        </w:rPr>
        <w:t>通信地址：</w:t>
      </w:r>
      <w:r>
        <w:rPr>
          <w:rFonts w:hint="eastAsia"/>
          <w:color w:val="auto"/>
          <w:szCs w:val="21"/>
          <w:u w:val="single"/>
        </w:rPr>
        <w:t xml:space="preserve">              </w:t>
      </w:r>
    </w:p>
    <w:p w14:paraId="702C4AE9">
      <w:pPr>
        <w:spacing w:line="360" w:lineRule="exact"/>
        <w:ind w:firstLine="420"/>
        <w:rPr>
          <w:rFonts w:hint="eastAsia" w:ascii="宋体" w:hAnsi="宋体" w:cs="宋体"/>
          <w:color w:val="auto"/>
          <w:kern w:val="1"/>
          <w:szCs w:val="21"/>
        </w:rPr>
      </w:pPr>
      <w:r>
        <w:rPr>
          <w:rFonts w:hint="eastAsia" w:ascii="宋体" w:hAnsi="宋体" w:cs="宋体"/>
          <w:color w:val="auto"/>
          <w:kern w:val="1"/>
          <w:szCs w:val="21"/>
        </w:rPr>
        <w:t>1.1.2.5 设计人：</w:t>
      </w:r>
    </w:p>
    <w:p w14:paraId="2E8F5908">
      <w:pPr>
        <w:spacing w:line="360" w:lineRule="exact"/>
        <w:ind w:firstLine="420"/>
        <w:rPr>
          <w:rFonts w:hint="eastAsia" w:ascii="宋体" w:hAnsi="宋体" w:cs="宋体"/>
          <w:color w:val="auto"/>
          <w:kern w:val="1"/>
          <w:szCs w:val="21"/>
          <w:u w:val="single"/>
        </w:rPr>
      </w:pPr>
      <w:r>
        <w:rPr>
          <w:rFonts w:hint="eastAsia" w:ascii="宋体" w:hAnsi="宋体" w:cs="宋体"/>
          <w:color w:val="auto"/>
          <w:kern w:val="1"/>
          <w:szCs w:val="21"/>
        </w:rPr>
        <w:t>名    称：</w:t>
      </w:r>
      <w:r>
        <w:rPr>
          <w:rFonts w:hint="eastAsia" w:ascii="宋体" w:hAnsi="宋体" w:cs="宋体"/>
          <w:color w:val="auto"/>
          <w:kern w:val="1"/>
          <w:szCs w:val="21"/>
          <w:u w:val="single"/>
        </w:rPr>
        <w:t xml:space="preserve">               </w:t>
      </w:r>
    </w:p>
    <w:p w14:paraId="23C53F72">
      <w:pPr>
        <w:spacing w:line="360" w:lineRule="exact"/>
        <w:ind w:firstLine="420"/>
        <w:rPr>
          <w:rFonts w:ascii="宋体" w:hAnsi="宋体" w:cs="宋体"/>
          <w:color w:val="auto"/>
          <w:kern w:val="1"/>
          <w:szCs w:val="21"/>
        </w:rPr>
      </w:pPr>
      <w:r>
        <w:rPr>
          <w:rFonts w:hint="eastAsia" w:ascii="宋体" w:hAnsi="宋体" w:cs="宋体"/>
          <w:color w:val="auto"/>
          <w:kern w:val="1"/>
          <w:szCs w:val="21"/>
        </w:rPr>
        <w:t>资质类别和等级：</w:t>
      </w:r>
      <w:r>
        <w:rPr>
          <w:rFonts w:hint="eastAsia" w:ascii="宋体" w:hAnsi="宋体" w:cs="宋体"/>
          <w:color w:val="auto"/>
          <w:kern w:val="1"/>
          <w:szCs w:val="21"/>
          <w:u w:val="single"/>
        </w:rPr>
        <w:t xml:space="preserve">               </w:t>
      </w:r>
    </w:p>
    <w:p w14:paraId="3E6B3A48">
      <w:pPr>
        <w:spacing w:line="360" w:lineRule="exact"/>
        <w:ind w:firstLine="420"/>
        <w:rPr>
          <w:rFonts w:ascii="宋体" w:hAnsi="宋体" w:cs="宋体"/>
          <w:color w:val="auto"/>
          <w:kern w:val="1"/>
          <w:szCs w:val="21"/>
        </w:rPr>
      </w:pPr>
      <w:r>
        <w:rPr>
          <w:rFonts w:hint="eastAsia" w:ascii="宋体" w:hAnsi="宋体" w:cs="宋体"/>
          <w:color w:val="auto"/>
          <w:kern w:val="1"/>
          <w:szCs w:val="21"/>
        </w:rPr>
        <w:t>联系电话：</w:t>
      </w:r>
      <w:r>
        <w:rPr>
          <w:rFonts w:hint="eastAsia" w:ascii="宋体" w:hAnsi="宋体" w:cs="宋体"/>
          <w:color w:val="auto"/>
          <w:kern w:val="1"/>
          <w:szCs w:val="21"/>
          <w:u w:val="single"/>
        </w:rPr>
        <w:t xml:space="preserve">                 </w:t>
      </w:r>
    </w:p>
    <w:p w14:paraId="7EA4765E">
      <w:pPr>
        <w:spacing w:line="360" w:lineRule="exact"/>
        <w:ind w:firstLine="420"/>
        <w:rPr>
          <w:rFonts w:hint="eastAsia" w:ascii="宋体" w:hAnsi="宋体" w:cs="宋体"/>
          <w:color w:val="auto"/>
          <w:kern w:val="1"/>
          <w:szCs w:val="21"/>
        </w:rPr>
      </w:pPr>
      <w:r>
        <w:rPr>
          <w:rFonts w:hint="eastAsia" w:ascii="宋体" w:hAnsi="宋体" w:cs="宋体"/>
          <w:color w:val="auto"/>
          <w:kern w:val="1"/>
          <w:szCs w:val="21"/>
        </w:rPr>
        <w:t>电子信箱：</w:t>
      </w:r>
      <w:r>
        <w:rPr>
          <w:rFonts w:hint="eastAsia" w:ascii="宋体" w:hAnsi="宋体" w:cs="宋体"/>
          <w:color w:val="auto"/>
          <w:kern w:val="1"/>
          <w:szCs w:val="21"/>
          <w:u w:val="single"/>
        </w:rPr>
        <w:t xml:space="preserve">               </w:t>
      </w:r>
      <w:r>
        <w:rPr>
          <w:rFonts w:hint="eastAsia" w:ascii="宋体" w:hAnsi="宋体" w:cs="宋体"/>
          <w:color w:val="auto"/>
          <w:kern w:val="1"/>
          <w:szCs w:val="21"/>
        </w:rPr>
        <w:t>；</w:t>
      </w:r>
    </w:p>
    <w:p w14:paraId="403823B1">
      <w:pPr>
        <w:spacing w:line="360" w:lineRule="exact"/>
        <w:ind w:firstLine="420"/>
        <w:rPr>
          <w:rFonts w:hint="eastAsia" w:ascii="宋体" w:hAnsi="宋体" w:cs="宋体"/>
          <w:color w:val="auto"/>
          <w:kern w:val="1"/>
          <w:szCs w:val="21"/>
        </w:rPr>
      </w:pPr>
      <w:r>
        <w:rPr>
          <w:rFonts w:hint="eastAsia" w:ascii="宋体" w:hAnsi="宋体" w:cs="宋体"/>
          <w:color w:val="auto"/>
          <w:kern w:val="1"/>
          <w:szCs w:val="21"/>
        </w:rPr>
        <w:t>通信地址：</w:t>
      </w:r>
      <w:r>
        <w:rPr>
          <w:rFonts w:hint="eastAsia" w:ascii="宋体" w:hAnsi="宋体" w:cs="宋体"/>
          <w:color w:val="auto"/>
          <w:kern w:val="1"/>
          <w:szCs w:val="21"/>
          <w:u w:val="single"/>
        </w:rPr>
        <w:t xml:space="preserve">                </w:t>
      </w:r>
      <w:r>
        <w:rPr>
          <w:rFonts w:hint="eastAsia" w:ascii="宋体" w:hAnsi="宋体" w:cs="宋体"/>
          <w:color w:val="auto"/>
          <w:kern w:val="1"/>
          <w:szCs w:val="21"/>
        </w:rPr>
        <w:t>。</w:t>
      </w:r>
    </w:p>
    <w:p w14:paraId="0FF868CB">
      <w:pPr>
        <w:spacing w:line="360" w:lineRule="exact"/>
        <w:ind w:firstLine="420"/>
        <w:rPr>
          <w:rFonts w:ascii="宋体" w:hAnsi="宋体" w:cs="宋体"/>
          <w:color w:val="auto"/>
          <w:kern w:val="1"/>
          <w:szCs w:val="21"/>
        </w:rPr>
      </w:pPr>
      <w:r>
        <w:rPr>
          <w:rFonts w:ascii="宋体" w:hAnsi="宋体" w:cs="宋体"/>
          <w:color w:val="auto"/>
          <w:kern w:val="1"/>
          <w:szCs w:val="21"/>
        </w:rPr>
        <w:t>1.1.3 工程和设备</w:t>
      </w:r>
    </w:p>
    <w:p w14:paraId="101F06DC">
      <w:pPr>
        <w:spacing w:line="360" w:lineRule="exact"/>
        <w:ind w:firstLine="420"/>
        <w:rPr>
          <w:rFonts w:ascii="宋体" w:hAnsi="宋体" w:cs="宋体"/>
          <w:color w:val="auto"/>
          <w:kern w:val="1"/>
          <w:szCs w:val="21"/>
        </w:rPr>
      </w:pPr>
      <w:r>
        <w:rPr>
          <w:rFonts w:ascii="宋体" w:hAnsi="宋体" w:cs="宋体"/>
          <w:color w:val="auto"/>
          <w:kern w:val="1"/>
          <w:szCs w:val="21"/>
        </w:rPr>
        <w:t>1.1.3.7 作为施工现场组成部分的其他场所包括：</w:t>
      </w:r>
      <w:r>
        <w:rPr>
          <w:rFonts w:hint="eastAsia" w:ascii="宋体" w:hAnsi="宋体" w:cs="宋体"/>
          <w:color w:val="auto"/>
          <w:kern w:val="1"/>
          <w:szCs w:val="21"/>
          <w:u w:val="single"/>
        </w:rPr>
        <w:t>包括永久占地、临时占地</w:t>
      </w:r>
      <w:r>
        <w:rPr>
          <w:rFonts w:ascii="宋体" w:hAnsi="宋体" w:cs="宋体"/>
          <w:color w:val="auto"/>
          <w:kern w:val="1"/>
          <w:szCs w:val="21"/>
        </w:rPr>
        <w:t>。</w:t>
      </w:r>
    </w:p>
    <w:p w14:paraId="0C479AF7">
      <w:pPr>
        <w:spacing w:line="360" w:lineRule="exact"/>
        <w:ind w:firstLine="420"/>
        <w:jc w:val="left"/>
        <w:rPr>
          <w:rFonts w:ascii="宋体" w:hAnsi="宋体" w:cs="宋体"/>
          <w:color w:val="auto"/>
          <w:kern w:val="1"/>
          <w:szCs w:val="21"/>
        </w:rPr>
      </w:pPr>
      <w:r>
        <w:rPr>
          <w:rFonts w:ascii="宋体" w:hAnsi="宋体" w:cs="宋体"/>
          <w:color w:val="auto"/>
          <w:kern w:val="1"/>
          <w:szCs w:val="21"/>
        </w:rPr>
        <w:t>1.1.3.9 永久占地包括：</w:t>
      </w:r>
      <w:r>
        <w:rPr>
          <w:rFonts w:hint="eastAsia" w:ascii="宋体" w:hAnsi="宋体" w:cs="宋体"/>
          <w:color w:val="auto"/>
          <w:kern w:val="1"/>
          <w:szCs w:val="21"/>
          <w:u w:val="single"/>
        </w:rPr>
        <w:t>为实施合同工程需永久占用的土地</w:t>
      </w:r>
      <w:r>
        <w:rPr>
          <w:rFonts w:ascii="宋体" w:hAnsi="宋体" w:cs="宋体"/>
          <w:color w:val="auto"/>
          <w:kern w:val="1"/>
          <w:szCs w:val="21"/>
        </w:rPr>
        <w:t>。</w:t>
      </w:r>
    </w:p>
    <w:p w14:paraId="0A6DA54F">
      <w:pPr>
        <w:spacing w:line="360" w:lineRule="exact"/>
        <w:ind w:firstLine="420"/>
        <w:jc w:val="left"/>
        <w:rPr>
          <w:rFonts w:ascii="宋体" w:hAnsi="宋体" w:cs="宋体"/>
          <w:color w:val="auto"/>
          <w:kern w:val="1"/>
          <w:szCs w:val="21"/>
        </w:rPr>
      </w:pPr>
      <w:r>
        <w:rPr>
          <w:rFonts w:ascii="宋体" w:hAnsi="宋体" w:cs="宋体"/>
          <w:color w:val="auto"/>
          <w:kern w:val="1"/>
          <w:szCs w:val="21"/>
        </w:rPr>
        <w:t>1.1.3.10 临时占地包括：</w:t>
      </w:r>
      <w:r>
        <w:rPr>
          <w:rFonts w:hint="eastAsia" w:ascii="宋体" w:hAnsi="宋体" w:cs="宋体"/>
          <w:color w:val="auto"/>
          <w:kern w:val="1"/>
          <w:szCs w:val="21"/>
          <w:u w:val="single"/>
        </w:rPr>
        <w:t>为实施合同工程需临时占用的土地</w:t>
      </w:r>
      <w:r>
        <w:rPr>
          <w:rFonts w:ascii="宋体" w:hAnsi="宋体" w:cs="宋体"/>
          <w:color w:val="auto"/>
          <w:kern w:val="1"/>
          <w:szCs w:val="21"/>
        </w:rPr>
        <w:t>。</w:t>
      </w:r>
    </w:p>
    <w:p w14:paraId="147871B8">
      <w:pPr>
        <w:pStyle w:val="5"/>
        <w:keepNext w:val="0"/>
        <w:spacing w:line="360" w:lineRule="exact"/>
        <w:rPr>
          <w:rFonts w:ascii="宋体" w:hAnsi="宋体" w:cs="宋体"/>
          <w:color w:val="auto"/>
          <w:sz w:val="21"/>
          <w:szCs w:val="21"/>
          <w:lang w:val="zh-CN"/>
        </w:rPr>
      </w:pPr>
      <w:bookmarkStart w:id="640" w:name="_Toc373478341"/>
      <w:bookmarkEnd w:id="640"/>
      <w:bookmarkStart w:id="641" w:name="_Toc406054732"/>
      <w:bookmarkEnd w:id="641"/>
      <w:bookmarkStart w:id="642" w:name="_Toc373227694"/>
      <w:bookmarkEnd w:id="642"/>
      <w:bookmarkStart w:id="643" w:name="_Toc23483"/>
      <w:bookmarkStart w:id="644" w:name="_Toc29424"/>
      <w:bookmarkStart w:id="645" w:name="_Toc8027"/>
      <w:bookmarkStart w:id="646" w:name="_Toc20144"/>
      <w:bookmarkStart w:id="647" w:name="_Toc29972"/>
      <w:r>
        <w:rPr>
          <w:rFonts w:ascii="宋体" w:hAnsi="宋体" w:cs="宋体"/>
          <w:color w:val="auto"/>
          <w:sz w:val="21"/>
          <w:szCs w:val="21"/>
          <w:lang w:val="zh-CN"/>
        </w:rPr>
        <w:t>1.3法律</w:t>
      </w:r>
      <w:bookmarkEnd w:id="643"/>
      <w:bookmarkEnd w:id="644"/>
      <w:bookmarkEnd w:id="645"/>
      <w:bookmarkEnd w:id="646"/>
      <w:bookmarkEnd w:id="647"/>
    </w:p>
    <w:p w14:paraId="0ED9C69B">
      <w:pPr>
        <w:spacing w:line="360" w:lineRule="exact"/>
        <w:jc w:val="left"/>
        <w:rPr>
          <w:rFonts w:ascii="宋体" w:hAnsi="宋体" w:cs="宋体"/>
          <w:color w:val="auto"/>
          <w:kern w:val="1"/>
          <w:szCs w:val="21"/>
        </w:rPr>
      </w:pPr>
      <w:r>
        <w:rPr>
          <w:rFonts w:ascii="宋体" w:hAnsi="宋体" w:cs="宋体"/>
          <w:color w:val="auto"/>
          <w:kern w:val="1"/>
          <w:szCs w:val="21"/>
        </w:rPr>
        <w:t>适用于合同的其他规范性文件：</w:t>
      </w:r>
      <w:r>
        <w:rPr>
          <w:rFonts w:hint="eastAsia" w:ascii="宋体" w:hAnsi="宋体" w:cs="宋体"/>
          <w:color w:val="auto"/>
          <w:kern w:val="1"/>
          <w:szCs w:val="21"/>
          <w:u w:val="single"/>
        </w:rPr>
        <w:t>按国家</w:t>
      </w:r>
      <w:r>
        <w:rPr>
          <w:rFonts w:ascii="宋体" w:hAnsi="宋体" w:cs="宋体"/>
          <w:color w:val="auto"/>
          <w:kern w:val="1"/>
          <w:szCs w:val="21"/>
          <w:u w:val="single"/>
        </w:rPr>
        <w:t>有关规定</w:t>
      </w:r>
      <w:r>
        <w:rPr>
          <w:rFonts w:ascii="宋体" w:hAnsi="宋体" w:cs="宋体"/>
          <w:color w:val="auto"/>
          <w:kern w:val="1"/>
          <w:szCs w:val="21"/>
        </w:rPr>
        <w:t>。</w:t>
      </w:r>
    </w:p>
    <w:p w14:paraId="3E07697F">
      <w:pPr>
        <w:pStyle w:val="5"/>
        <w:keepNext w:val="0"/>
        <w:spacing w:line="360" w:lineRule="exact"/>
        <w:rPr>
          <w:rFonts w:ascii="宋体" w:hAnsi="宋体" w:cs="宋体"/>
          <w:color w:val="auto"/>
          <w:sz w:val="21"/>
          <w:szCs w:val="21"/>
          <w:lang w:val="zh-CN"/>
        </w:rPr>
      </w:pPr>
      <w:bookmarkStart w:id="648" w:name="_Toc373478342"/>
      <w:bookmarkEnd w:id="648"/>
      <w:bookmarkStart w:id="649" w:name="_Toc406054733"/>
      <w:bookmarkEnd w:id="649"/>
      <w:bookmarkStart w:id="650" w:name="_Toc373227695"/>
      <w:bookmarkEnd w:id="650"/>
      <w:bookmarkStart w:id="651" w:name="_Toc26494"/>
      <w:bookmarkStart w:id="652" w:name="_Toc29507"/>
      <w:bookmarkStart w:id="653" w:name="_Toc6697"/>
      <w:bookmarkStart w:id="654" w:name="_Toc16770"/>
      <w:bookmarkStart w:id="655" w:name="_Toc14206"/>
      <w:r>
        <w:rPr>
          <w:rFonts w:ascii="宋体" w:hAnsi="宋体" w:cs="宋体"/>
          <w:color w:val="auto"/>
          <w:sz w:val="21"/>
          <w:szCs w:val="21"/>
          <w:lang w:val="zh-CN"/>
        </w:rPr>
        <w:t>1.4 标准和规范</w:t>
      </w:r>
      <w:bookmarkEnd w:id="651"/>
      <w:bookmarkEnd w:id="652"/>
      <w:bookmarkEnd w:id="653"/>
      <w:bookmarkEnd w:id="654"/>
      <w:bookmarkEnd w:id="655"/>
    </w:p>
    <w:p w14:paraId="3AB9E0CA">
      <w:pPr>
        <w:spacing w:line="360" w:lineRule="exact"/>
        <w:ind w:firstLine="420"/>
        <w:rPr>
          <w:rFonts w:ascii="宋体" w:hAnsi="宋体" w:cs="宋体"/>
          <w:color w:val="auto"/>
          <w:kern w:val="1"/>
          <w:szCs w:val="21"/>
        </w:rPr>
      </w:pPr>
      <w:r>
        <w:rPr>
          <w:rFonts w:ascii="宋体" w:hAnsi="宋体" w:cs="宋体"/>
          <w:color w:val="auto"/>
          <w:kern w:val="1"/>
          <w:szCs w:val="21"/>
        </w:rPr>
        <w:t>1.4.1适用于工程的标准规范包括：</w:t>
      </w:r>
      <w:r>
        <w:rPr>
          <w:rFonts w:hint="eastAsia" w:ascii="宋体" w:hAnsi="宋体" w:cs="宋体"/>
          <w:color w:val="auto"/>
          <w:kern w:val="1"/>
          <w:szCs w:val="21"/>
          <w:u w:val="single"/>
        </w:rPr>
        <w:t>施工规范、质量验收规范、质量评定标准、地方技术标准和规程</w:t>
      </w:r>
      <w:r>
        <w:rPr>
          <w:rFonts w:ascii="宋体" w:hAnsi="宋体" w:cs="宋体"/>
          <w:color w:val="auto"/>
          <w:kern w:val="1"/>
          <w:szCs w:val="21"/>
        </w:rPr>
        <w:t>。</w:t>
      </w:r>
    </w:p>
    <w:p w14:paraId="0BB9C9AD">
      <w:pPr>
        <w:spacing w:line="360" w:lineRule="exact"/>
        <w:ind w:firstLine="420"/>
        <w:rPr>
          <w:rFonts w:ascii="宋体" w:hAnsi="宋体" w:cs="宋体"/>
          <w:color w:val="auto"/>
          <w:kern w:val="1"/>
          <w:szCs w:val="21"/>
        </w:rPr>
      </w:pPr>
      <w:r>
        <w:rPr>
          <w:rFonts w:ascii="宋体" w:hAnsi="宋体" w:cs="宋体"/>
          <w:color w:val="auto"/>
          <w:kern w:val="1"/>
          <w:szCs w:val="21"/>
        </w:rPr>
        <w:t>1.4.2 发包人提供国外标准、规范的名称：</w:t>
      </w:r>
      <w:r>
        <w:rPr>
          <w:rFonts w:hint="eastAsia" w:ascii="宋体" w:hAnsi="宋体" w:cs="宋体"/>
          <w:color w:val="auto"/>
          <w:kern w:val="1"/>
          <w:szCs w:val="21"/>
          <w:u w:val="single"/>
        </w:rPr>
        <w:t xml:space="preserve"> 无</w:t>
      </w:r>
      <w:r>
        <w:rPr>
          <w:rFonts w:ascii="宋体" w:hAnsi="宋体" w:cs="宋体"/>
          <w:color w:val="auto"/>
          <w:kern w:val="1"/>
          <w:szCs w:val="21"/>
        </w:rPr>
        <w:t>；</w:t>
      </w:r>
    </w:p>
    <w:p w14:paraId="383F1966">
      <w:pPr>
        <w:spacing w:line="360" w:lineRule="exact"/>
        <w:ind w:firstLine="945"/>
        <w:rPr>
          <w:rFonts w:ascii="宋体" w:hAnsi="宋体" w:cs="宋体"/>
          <w:color w:val="auto"/>
          <w:kern w:val="1"/>
          <w:szCs w:val="21"/>
        </w:rPr>
      </w:pPr>
      <w:r>
        <w:rPr>
          <w:rFonts w:ascii="宋体" w:hAnsi="宋体" w:cs="宋体"/>
          <w:color w:val="auto"/>
          <w:kern w:val="1"/>
          <w:szCs w:val="21"/>
        </w:rPr>
        <w:t>发包人提供国外标准、规范的份数：</w:t>
      </w:r>
      <w:r>
        <w:rPr>
          <w:rFonts w:hint="eastAsia" w:ascii="宋体" w:hAnsi="宋体" w:cs="宋体"/>
          <w:color w:val="auto"/>
          <w:kern w:val="1"/>
          <w:szCs w:val="21"/>
          <w:u w:val="single"/>
        </w:rPr>
        <w:t>无</w:t>
      </w:r>
      <w:r>
        <w:rPr>
          <w:rFonts w:ascii="宋体" w:hAnsi="宋体" w:cs="宋体"/>
          <w:color w:val="auto"/>
          <w:kern w:val="1"/>
          <w:szCs w:val="21"/>
        </w:rPr>
        <w:t>；</w:t>
      </w:r>
    </w:p>
    <w:p w14:paraId="7BDB420F">
      <w:pPr>
        <w:spacing w:line="360" w:lineRule="exact"/>
        <w:ind w:firstLine="945"/>
        <w:rPr>
          <w:rFonts w:ascii="宋体" w:hAnsi="宋体" w:cs="宋体"/>
          <w:color w:val="auto"/>
          <w:kern w:val="1"/>
          <w:szCs w:val="21"/>
        </w:rPr>
      </w:pPr>
      <w:r>
        <w:rPr>
          <w:rFonts w:ascii="宋体" w:hAnsi="宋体" w:cs="宋体"/>
          <w:color w:val="auto"/>
          <w:kern w:val="1"/>
          <w:szCs w:val="21"/>
        </w:rPr>
        <w:t>发包人提供国外标准、规范的名称：</w:t>
      </w:r>
      <w:r>
        <w:rPr>
          <w:rFonts w:hint="eastAsia" w:ascii="宋体" w:hAnsi="宋体" w:cs="宋体"/>
          <w:color w:val="auto"/>
          <w:kern w:val="1"/>
          <w:szCs w:val="21"/>
          <w:u w:val="single"/>
        </w:rPr>
        <w:t>无</w:t>
      </w:r>
      <w:r>
        <w:rPr>
          <w:rFonts w:ascii="宋体" w:hAnsi="宋体" w:cs="宋体"/>
          <w:color w:val="auto"/>
          <w:kern w:val="1"/>
          <w:szCs w:val="21"/>
        </w:rPr>
        <w:t>。</w:t>
      </w:r>
    </w:p>
    <w:p w14:paraId="474A9DEF">
      <w:pPr>
        <w:spacing w:line="360" w:lineRule="exact"/>
        <w:ind w:firstLine="315"/>
        <w:rPr>
          <w:rFonts w:ascii="宋体" w:hAnsi="宋体" w:cs="宋体"/>
          <w:color w:val="auto"/>
          <w:kern w:val="1"/>
          <w:szCs w:val="21"/>
        </w:rPr>
      </w:pPr>
      <w:r>
        <w:rPr>
          <w:rFonts w:ascii="宋体" w:hAnsi="宋体" w:cs="宋体"/>
          <w:color w:val="auto"/>
          <w:kern w:val="1"/>
          <w:szCs w:val="21"/>
        </w:rPr>
        <w:t>1.4.3发包人对工程的技术标准和功能要求的特殊要求：</w:t>
      </w:r>
      <w:r>
        <w:rPr>
          <w:rFonts w:hint="eastAsia" w:ascii="宋体" w:hAnsi="宋体" w:cs="宋体"/>
          <w:color w:val="auto"/>
          <w:kern w:val="1"/>
          <w:szCs w:val="21"/>
          <w:u w:val="single"/>
        </w:rPr>
        <w:t>无</w:t>
      </w:r>
      <w:r>
        <w:rPr>
          <w:rFonts w:ascii="宋体" w:hAnsi="宋体" w:cs="宋体"/>
          <w:color w:val="auto"/>
          <w:kern w:val="1"/>
          <w:szCs w:val="21"/>
        </w:rPr>
        <w:t>。</w:t>
      </w:r>
    </w:p>
    <w:p w14:paraId="4285A16F">
      <w:pPr>
        <w:pStyle w:val="5"/>
        <w:keepNext w:val="0"/>
        <w:spacing w:line="360" w:lineRule="exact"/>
        <w:rPr>
          <w:rFonts w:ascii="宋体" w:hAnsi="宋体" w:cs="宋体"/>
          <w:color w:val="auto"/>
          <w:sz w:val="21"/>
          <w:szCs w:val="21"/>
          <w:lang w:val="zh-CN"/>
        </w:rPr>
      </w:pPr>
      <w:bookmarkStart w:id="656" w:name="_Toc373227696"/>
      <w:bookmarkEnd w:id="656"/>
      <w:bookmarkStart w:id="657" w:name="_Toc406054734"/>
      <w:bookmarkEnd w:id="657"/>
      <w:bookmarkStart w:id="658" w:name="_Toc373478343"/>
      <w:bookmarkEnd w:id="658"/>
      <w:bookmarkStart w:id="659" w:name="_Toc8323"/>
      <w:bookmarkStart w:id="660" w:name="_Toc14344"/>
      <w:bookmarkStart w:id="661" w:name="_Toc10335"/>
      <w:bookmarkStart w:id="662" w:name="_Toc12570"/>
      <w:bookmarkStart w:id="663" w:name="_Toc21228"/>
      <w:r>
        <w:rPr>
          <w:rFonts w:ascii="宋体" w:hAnsi="宋体" w:cs="宋体"/>
          <w:color w:val="auto"/>
          <w:sz w:val="21"/>
          <w:szCs w:val="21"/>
          <w:lang w:val="zh-CN"/>
        </w:rPr>
        <w:t>1.5 合同文件的优先顺序</w:t>
      </w:r>
      <w:bookmarkEnd w:id="659"/>
      <w:bookmarkEnd w:id="660"/>
      <w:bookmarkEnd w:id="661"/>
      <w:bookmarkEnd w:id="662"/>
      <w:bookmarkEnd w:id="663"/>
    </w:p>
    <w:p w14:paraId="180679A9">
      <w:pPr>
        <w:spacing w:line="360" w:lineRule="exact"/>
        <w:ind w:firstLine="420" w:firstLineChars="200"/>
        <w:rPr>
          <w:rFonts w:ascii="宋体" w:hAnsi="宋体"/>
          <w:color w:val="auto"/>
          <w:szCs w:val="21"/>
        </w:rPr>
      </w:pPr>
      <w:r>
        <w:rPr>
          <w:rFonts w:ascii="宋体" w:hAnsi="宋体"/>
          <w:color w:val="auto"/>
          <w:szCs w:val="21"/>
        </w:rPr>
        <w:t>（1）合同协议书；</w:t>
      </w:r>
    </w:p>
    <w:p w14:paraId="2CC0F8A0">
      <w:pPr>
        <w:spacing w:line="3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成交</w:t>
      </w:r>
      <w:r>
        <w:rPr>
          <w:rFonts w:ascii="宋体" w:hAnsi="宋体"/>
          <w:color w:val="auto"/>
          <w:szCs w:val="21"/>
        </w:rPr>
        <w:t>通知书；</w:t>
      </w:r>
    </w:p>
    <w:p w14:paraId="1514407C">
      <w:pPr>
        <w:spacing w:line="360" w:lineRule="exact"/>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竞标</w:t>
      </w:r>
      <w:r>
        <w:rPr>
          <w:rFonts w:ascii="宋体" w:hAnsi="宋体"/>
          <w:color w:val="auto"/>
          <w:szCs w:val="21"/>
        </w:rPr>
        <w:t>函及其附录；</w:t>
      </w:r>
    </w:p>
    <w:p w14:paraId="547E28F3">
      <w:pPr>
        <w:spacing w:line="360" w:lineRule="exact"/>
        <w:ind w:firstLine="420" w:firstLineChars="200"/>
        <w:rPr>
          <w:rFonts w:ascii="宋体" w:hAnsi="宋体"/>
          <w:color w:val="auto"/>
          <w:szCs w:val="21"/>
        </w:rPr>
      </w:pPr>
      <w:r>
        <w:rPr>
          <w:rFonts w:ascii="宋体" w:hAnsi="宋体"/>
          <w:color w:val="auto"/>
          <w:szCs w:val="21"/>
        </w:rPr>
        <w:t>（4）专用合同条款及其附件；</w:t>
      </w:r>
    </w:p>
    <w:p w14:paraId="0F6C6DD4">
      <w:pPr>
        <w:spacing w:line="360" w:lineRule="exact"/>
        <w:ind w:firstLine="420" w:firstLineChars="200"/>
        <w:rPr>
          <w:rFonts w:ascii="宋体" w:hAnsi="宋体"/>
          <w:color w:val="auto"/>
          <w:szCs w:val="21"/>
        </w:rPr>
      </w:pPr>
      <w:r>
        <w:rPr>
          <w:rFonts w:ascii="宋体" w:hAnsi="宋体"/>
          <w:color w:val="auto"/>
          <w:szCs w:val="21"/>
        </w:rPr>
        <w:t>（5）通用合同条款；</w:t>
      </w:r>
    </w:p>
    <w:p w14:paraId="46F22B43">
      <w:pPr>
        <w:spacing w:line="360" w:lineRule="exact"/>
        <w:ind w:firstLine="420" w:firstLineChars="200"/>
        <w:rPr>
          <w:rFonts w:ascii="宋体" w:hAnsi="宋体"/>
          <w:color w:val="auto"/>
          <w:szCs w:val="21"/>
        </w:rPr>
      </w:pPr>
      <w:r>
        <w:rPr>
          <w:rFonts w:ascii="宋体" w:hAnsi="宋体"/>
          <w:color w:val="auto"/>
          <w:szCs w:val="21"/>
        </w:rPr>
        <w:t>（6）</w:t>
      </w:r>
      <w:r>
        <w:rPr>
          <w:rFonts w:ascii="宋体" w:hAnsi="宋体"/>
          <w:color w:val="auto"/>
          <w:szCs w:val="21"/>
          <w:u w:val="single"/>
        </w:rPr>
        <w:t xml:space="preserve">图纸 </w:t>
      </w:r>
      <w:r>
        <w:rPr>
          <w:rFonts w:ascii="宋体" w:hAnsi="宋体"/>
          <w:color w:val="auto"/>
          <w:szCs w:val="21"/>
        </w:rPr>
        <w:t>；</w:t>
      </w:r>
    </w:p>
    <w:p w14:paraId="3657F8F2">
      <w:pPr>
        <w:spacing w:line="360" w:lineRule="exact"/>
        <w:ind w:firstLine="420" w:firstLineChars="200"/>
        <w:rPr>
          <w:rFonts w:ascii="宋体" w:hAnsi="宋体"/>
          <w:color w:val="auto"/>
          <w:szCs w:val="21"/>
        </w:rPr>
      </w:pPr>
      <w:r>
        <w:rPr>
          <w:rFonts w:ascii="宋体" w:hAnsi="宋体"/>
          <w:color w:val="auto"/>
          <w:szCs w:val="21"/>
        </w:rPr>
        <w:t>（7）</w:t>
      </w:r>
      <w:r>
        <w:rPr>
          <w:rFonts w:ascii="宋体" w:hAnsi="宋体"/>
          <w:color w:val="auto"/>
          <w:szCs w:val="21"/>
          <w:u w:val="single"/>
        </w:rPr>
        <w:t xml:space="preserve">技术标准和要求 </w:t>
      </w:r>
      <w:r>
        <w:rPr>
          <w:rFonts w:ascii="宋体" w:hAnsi="宋体"/>
          <w:color w:val="auto"/>
          <w:szCs w:val="21"/>
        </w:rPr>
        <w:t>；</w:t>
      </w:r>
    </w:p>
    <w:p w14:paraId="42DB4F31">
      <w:pPr>
        <w:spacing w:line="360" w:lineRule="exact"/>
        <w:ind w:firstLine="420" w:firstLineChars="200"/>
        <w:rPr>
          <w:rFonts w:ascii="宋体" w:hAnsi="宋体"/>
          <w:color w:val="auto"/>
          <w:szCs w:val="21"/>
        </w:rPr>
      </w:pPr>
      <w:r>
        <w:rPr>
          <w:rFonts w:ascii="宋体" w:hAnsi="宋体"/>
          <w:color w:val="auto"/>
          <w:szCs w:val="21"/>
        </w:rPr>
        <w:t>（8）</w:t>
      </w:r>
      <w:r>
        <w:rPr>
          <w:rFonts w:ascii="宋体" w:hAnsi="宋体"/>
          <w:color w:val="auto"/>
          <w:szCs w:val="21"/>
          <w:u w:val="single"/>
        </w:rPr>
        <w:t xml:space="preserve">已标价工程量清单 </w:t>
      </w:r>
      <w:r>
        <w:rPr>
          <w:rFonts w:ascii="宋体" w:hAnsi="宋体"/>
          <w:color w:val="auto"/>
          <w:szCs w:val="21"/>
        </w:rPr>
        <w:t>；</w:t>
      </w:r>
    </w:p>
    <w:p w14:paraId="543043CE">
      <w:pPr>
        <w:spacing w:line="360" w:lineRule="exact"/>
        <w:ind w:firstLine="420"/>
        <w:rPr>
          <w:rFonts w:ascii="宋体" w:hAnsi="宋体" w:cs="宋体"/>
          <w:color w:val="auto"/>
          <w:kern w:val="1"/>
          <w:szCs w:val="21"/>
        </w:rPr>
      </w:pPr>
      <w:r>
        <w:rPr>
          <w:rFonts w:hint="eastAsia" w:ascii="宋体" w:hAnsi="宋体" w:cs="宋体"/>
          <w:color w:val="auto"/>
          <w:kern w:val="1"/>
          <w:szCs w:val="21"/>
        </w:rPr>
        <w:t>（9）</w:t>
      </w:r>
      <w:r>
        <w:rPr>
          <w:rFonts w:hint="eastAsia" w:ascii="宋体" w:hAnsi="宋体" w:cs="宋体"/>
          <w:color w:val="auto"/>
          <w:kern w:val="1"/>
          <w:szCs w:val="21"/>
          <w:u w:val="single"/>
        </w:rPr>
        <w:t xml:space="preserve">                         </w:t>
      </w:r>
      <w:r>
        <w:rPr>
          <w:rFonts w:hint="eastAsia" w:ascii="宋体" w:hAnsi="宋体" w:cs="宋体"/>
          <w:color w:val="auto"/>
          <w:kern w:val="1"/>
          <w:szCs w:val="21"/>
        </w:rPr>
        <w:t>。</w:t>
      </w:r>
    </w:p>
    <w:p w14:paraId="6F662FF9">
      <w:pPr>
        <w:pStyle w:val="5"/>
        <w:keepNext w:val="0"/>
        <w:spacing w:line="360" w:lineRule="exact"/>
        <w:rPr>
          <w:rFonts w:ascii="宋体" w:hAnsi="宋体" w:cs="宋体"/>
          <w:color w:val="auto"/>
          <w:sz w:val="21"/>
          <w:szCs w:val="21"/>
          <w:lang w:val="zh-CN"/>
        </w:rPr>
      </w:pPr>
      <w:bookmarkStart w:id="664" w:name="_Toc373227697"/>
      <w:bookmarkEnd w:id="664"/>
      <w:bookmarkStart w:id="665" w:name="_Toc406054735"/>
      <w:bookmarkEnd w:id="665"/>
      <w:bookmarkStart w:id="666" w:name="_Toc373478344"/>
      <w:bookmarkEnd w:id="666"/>
      <w:bookmarkStart w:id="667" w:name="_Toc22262"/>
      <w:bookmarkStart w:id="668" w:name="_Toc4880"/>
      <w:bookmarkStart w:id="669" w:name="_Toc32348"/>
      <w:bookmarkStart w:id="670" w:name="_Toc31081"/>
      <w:bookmarkStart w:id="671" w:name="_Toc6476"/>
      <w:r>
        <w:rPr>
          <w:rFonts w:ascii="宋体" w:hAnsi="宋体" w:cs="宋体"/>
          <w:color w:val="auto"/>
          <w:sz w:val="21"/>
          <w:szCs w:val="21"/>
          <w:lang w:val="zh-CN"/>
        </w:rPr>
        <w:t>1.6 图纸和承包人文件</w:t>
      </w:r>
      <w:bookmarkEnd w:id="667"/>
      <w:bookmarkEnd w:id="668"/>
      <w:bookmarkEnd w:id="669"/>
      <w:bookmarkEnd w:id="670"/>
      <w:bookmarkEnd w:id="671"/>
      <w:r>
        <w:rPr>
          <w:rFonts w:ascii="宋体" w:hAnsi="宋体" w:cs="宋体"/>
          <w:color w:val="auto"/>
          <w:sz w:val="21"/>
          <w:szCs w:val="21"/>
          <w:lang w:val="zh-CN"/>
        </w:rPr>
        <w:tab/>
      </w:r>
    </w:p>
    <w:p w14:paraId="45763009">
      <w:pPr>
        <w:spacing w:line="360" w:lineRule="exact"/>
        <w:ind w:firstLine="420"/>
        <w:rPr>
          <w:rFonts w:ascii="宋体" w:hAnsi="宋体" w:cs="宋体"/>
          <w:color w:val="auto"/>
          <w:kern w:val="1"/>
          <w:szCs w:val="21"/>
        </w:rPr>
      </w:pPr>
      <w:r>
        <w:rPr>
          <w:rFonts w:ascii="宋体" w:hAnsi="宋体" w:cs="宋体"/>
          <w:color w:val="auto"/>
          <w:kern w:val="1"/>
          <w:szCs w:val="21"/>
        </w:rPr>
        <w:t>1.6.1 图纸的提供</w:t>
      </w:r>
    </w:p>
    <w:p w14:paraId="32ECB5DE">
      <w:pPr>
        <w:spacing w:line="360" w:lineRule="exact"/>
        <w:ind w:firstLine="420"/>
        <w:rPr>
          <w:rFonts w:ascii="宋体" w:hAnsi="宋体" w:cs="宋体"/>
          <w:color w:val="auto"/>
          <w:kern w:val="1"/>
          <w:szCs w:val="21"/>
        </w:rPr>
      </w:pPr>
      <w:r>
        <w:rPr>
          <w:rFonts w:ascii="宋体" w:hAnsi="宋体" w:cs="宋体"/>
          <w:color w:val="auto"/>
          <w:kern w:val="1"/>
          <w:szCs w:val="21"/>
        </w:rPr>
        <w:t>发包人向承包人提供图纸的期限：</w:t>
      </w:r>
      <w:r>
        <w:rPr>
          <w:rFonts w:hint="eastAsia" w:ascii="宋体" w:hAnsi="宋体" w:cs="宋体"/>
          <w:color w:val="auto"/>
          <w:kern w:val="1"/>
          <w:szCs w:val="21"/>
        </w:rPr>
        <w:t>双方约定的</w:t>
      </w:r>
      <w:r>
        <w:rPr>
          <w:rFonts w:ascii="宋体" w:hAnsi="宋体" w:cs="宋体"/>
          <w:color w:val="auto"/>
          <w:kern w:val="1"/>
          <w:szCs w:val="21"/>
          <w:u w:val="single"/>
        </w:rPr>
        <w:t>开工日期前</w:t>
      </w:r>
      <w:r>
        <w:rPr>
          <w:rFonts w:hint="eastAsia" w:ascii="宋体" w:hAnsi="宋体" w:cs="宋体"/>
          <w:color w:val="auto"/>
          <w:kern w:val="1"/>
          <w:szCs w:val="21"/>
          <w:u w:val="single"/>
        </w:rPr>
        <w:t>3天内</w:t>
      </w:r>
      <w:r>
        <w:rPr>
          <w:rFonts w:ascii="宋体" w:hAnsi="宋体" w:cs="宋体"/>
          <w:color w:val="auto"/>
          <w:kern w:val="1"/>
          <w:szCs w:val="21"/>
        </w:rPr>
        <w:t>；</w:t>
      </w:r>
    </w:p>
    <w:p w14:paraId="1D6C6875">
      <w:pPr>
        <w:spacing w:line="360" w:lineRule="exact"/>
        <w:ind w:firstLine="420"/>
        <w:rPr>
          <w:rFonts w:ascii="宋体" w:hAnsi="宋体" w:cs="宋体"/>
          <w:color w:val="auto"/>
          <w:kern w:val="1"/>
          <w:szCs w:val="21"/>
        </w:rPr>
      </w:pPr>
      <w:r>
        <w:rPr>
          <w:rFonts w:ascii="宋体" w:hAnsi="宋体" w:cs="宋体"/>
          <w:color w:val="auto"/>
          <w:kern w:val="1"/>
          <w:szCs w:val="21"/>
        </w:rPr>
        <w:t>发包人向承包人提供图纸的数量：</w:t>
      </w:r>
      <w:r>
        <w:rPr>
          <w:rFonts w:hint="eastAsia" w:ascii="宋体" w:hAnsi="宋体" w:cs="宋体"/>
          <w:color w:val="auto"/>
          <w:kern w:val="1"/>
          <w:szCs w:val="21"/>
          <w:u w:val="single"/>
        </w:rPr>
        <w:t>壹</w:t>
      </w:r>
      <w:r>
        <w:rPr>
          <w:rFonts w:ascii="宋体" w:hAnsi="宋体" w:cs="宋体"/>
          <w:color w:val="auto"/>
          <w:kern w:val="1"/>
          <w:szCs w:val="21"/>
          <w:u w:val="single"/>
        </w:rPr>
        <w:t>套，承包人需要增加图纸套数的，发包人应代为复制，复制费用由承包人承担</w:t>
      </w:r>
      <w:r>
        <w:rPr>
          <w:rFonts w:ascii="宋体" w:hAnsi="宋体" w:cs="宋体"/>
          <w:color w:val="auto"/>
          <w:kern w:val="1"/>
          <w:szCs w:val="21"/>
        </w:rPr>
        <w:t>；</w:t>
      </w:r>
    </w:p>
    <w:p w14:paraId="5E528DFA">
      <w:pPr>
        <w:spacing w:line="360" w:lineRule="exact"/>
        <w:ind w:firstLine="420"/>
        <w:rPr>
          <w:rFonts w:ascii="宋体" w:hAnsi="宋体" w:cs="宋体"/>
          <w:color w:val="auto"/>
          <w:kern w:val="1"/>
          <w:szCs w:val="21"/>
        </w:rPr>
      </w:pPr>
      <w:r>
        <w:rPr>
          <w:rFonts w:ascii="宋体" w:hAnsi="宋体" w:cs="宋体"/>
          <w:color w:val="auto"/>
          <w:kern w:val="1"/>
          <w:szCs w:val="21"/>
        </w:rPr>
        <w:t>发包人向承包人提供图纸的内容：</w:t>
      </w:r>
      <w:r>
        <w:rPr>
          <w:rFonts w:hint="eastAsia" w:ascii="宋体" w:hAnsi="宋体" w:cs="宋体"/>
          <w:color w:val="auto"/>
          <w:kern w:val="1"/>
          <w:szCs w:val="21"/>
          <w:u w:val="single"/>
        </w:rPr>
        <w:t>见图纸目录</w:t>
      </w:r>
      <w:r>
        <w:rPr>
          <w:rFonts w:ascii="宋体" w:hAnsi="宋体" w:cs="宋体"/>
          <w:color w:val="auto"/>
          <w:kern w:val="1"/>
          <w:szCs w:val="21"/>
        </w:rPr>
        <w:t>。</w:t>
      </w:r>
    </w:p>
    <w:p w14:paraId="217D5CF0">
      <w:pPr>
        <w:spacing w:line="360" w:lineRule="exact"/>
        <w:ind w:firstLine="420"/>
        <w:rPr>
          <w:rFonts w:ascii="宋体" w:hAnsi="宋体" w:cs="宋体"/>
          <w:color w:val="auto"/>
          <w:kern w:val="1"/>
          <w:szCs w:val="21"/>
        </w:rPr>
      </w:pPr>
      <w:r>
        <w:rPr>
          <w:rFonts w:ascii="宋体" w:hAnsi="宋体" w:cs="宋体"/>
          <w:color w:val="auto"/>
          <w:kern w:val="1"/>
          <w:szCs w:val="21"/>
        </w:rPr>
        <w:t>1.6.4 承包人文件</w:t>
      </w:r>
    </w:p>
    <w:p w14:paraId="0C27A0AA">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需要由承包人提供的文件，包括：</w:t>
      </w:r>
      <w:r>
        <w:rPr>
          <w:rFonts w:hint="eastAsia" w:ascii="宋体" w:hAnsi="宋体" w:cs="宋体"/>
          <w:color w:val="auto"/>
          <w:kern w:val="1"/>
          <w:szCs w:val="21"/>
          <w:u w:val="single"/>
        </w:rPr>
        <w:t>开工报告、施工组织设计、专项施工方案、进度计划及其他应交的施工管理文件、施工技术文件</w:t>
      </w:r>
      <w:r>
        <w:rPr>
          <w:rFonts w:ascii="宋体" w:hAnsi="宋体" w:cs="宋体"/>
          <w:color w:val="auto"/>
          <w:kern w:val="1"/>
          <w:szCs w:val="21"/>
        </w:rPr>
        <w:t>；</w:t>
      </w:r>
    </w:p>
    <w:p w14:paraId="659099A5">
      <w:pPr>
        <w:spacing w:line="360" w:lineRule="exact"/>
        <w:ind w:firstLine="420"/>
        <w:rPr>
          <w:rFonts w:ascii="宋体" w:hAnsi="宋体" w:cs="宋体"/>
          <w:color w:val="auto"/>
          <w:kern w:val="1"/>
          <w:szCs w:val="21"/>
        </w:rPr>
      </w:pPr>
      <w:r>
        <w:rPr>
          <w:rFonts w:ascii="宋体" w:hAnsi="宋体" w:cs="宋体"/>
          <w:color w:val="auto"/>
          <w:kern w:val="1"/>
          <w:szCs w:val="21"/>
        </w:rPr>
        <w:t>承包人提供的文件的期限为：</w:t>
      </w:r>
      <w:r>
        <w:rPr>
          <w:rFonts w:hint="eastAsia" w:ascii="宋体" w:hAnsi="宋体" w:cs="宋体"/>
          <w:color w:val="auto"/>
          <w:kern w:val="1"/>
          <w:szCs w:val="21"/>
          <w:u w:val="single"/>
        </w:rPr>
        <w:t>正式开工前7天</w:t>
      </w:r>
      <w:r>
        <w:rPr>
          <w:rFonts w:ascii="宋体" w:hAnsi="宋体" w:cs="宋体"/>
          <w:color w:val="auto"/>
          <w:kern w:val="1"/>
          <w:szCs w:val="21"/>
        </w:rPr>
        <w:t>；</w:t>
      </w:r>
    </w:p>
    <w:p w14:paraId="67FF9AB8">
      <w:pPr>
        <w:spacing w:line="360" w:lineRule="exact"/>
        <w:ind w:firstLine="420"/>
        <w:rPr>
          <w:rFonts w:ascii="宋体" w:hAnsi="宋体" w:cs="宋体"/>
          <w:color w:val="auto"/>
          <w:kern w:val="1"/>
          <w:szCs w:val="21"/>
        </w:rPr>
      </w:pPr>
      <w:r>
        <w:rPr>
          <w:rFonts w:ascii="宋体" w:hAnsi="宋体" w:cs="宋体"/>
          <w:color w:val="auto"/>
          <w:kern w:val="1"/>
          <w:szCs w:val="21"/>
        </w:rPr>
        <w:t>承包人提供的文件的数量为：</w:t>
      </w:r>
      <w:r>
        <w:rPr>
          <w:rFonts w:hint="eastAsia" w:ascii="宋体" w:hAnsi="宋体" w:cs="宋体"/>
          <w:color w:val="auto"/>
          <w:kern w:val="1"/>
          <w:szCs w:val="21"/>
          <w:u w:val="single"/>
        </w:rPr>
        <w:t>一式肆份</w:t>
      </w:r>
      <w:r>
        <w:rPr>
          <w:rFonts w:ascii="宋体" w:hAnsi="宋体" w:cs="宋体"/>
          <w:color w:val="auto"/>
          <w:kern w:val="1"/>
          <w:szCs w:val="21"/>
        </w:rPr>
        <w:t>；</w:t>
      </w:r>
    </w:p>
    <w:p w14:paraId="5712CA49">
      <w:pPr>
        <w:spacing w:line="360" w:lineRule="exact"/>
        <w:ind w:firstLine="420"/>
        <w:rPr>
          <w:rFonts w:ascii="宋体" w:hAnsi="宋体" w:cs="宋体"/>
          <w:color w:val="auto"/>
          <w:kern w:val="1"/>
          <w:szCs w:val="21"/>
        </w:rPr>
      </w:pPr>
      <w:r>
        <w:rPr>
          <w:rFonts w:ascii="宋体" w:hAnsi="宋体" w:cs="宋体"/>
          <w:color w:val="auto"/>
          <w:kern w:val="1"/>
          <w:szCs w:val="21"/>
        </w:rPr>
        <w:t>承包人提供的文件的形式为：</w:t>
      </w:r>
      <w:r>
        <w:rPr>
          <w:rFonts w:hint="eastAsia" w:ascii="宋体" w:hAnsi="宋体" w:cs="宋体"/>
          <w:color w:val="auto"/>
          <w:kern w:val="1"/>
          <w:szCs w:val="21"/>
          <w:u w:val="single"/>
        </w:rPr>
        <w:t>纸质文件</w:t>
      </w:r>
      <w:r>
        <w:rPr>
          <w:rFonts w:ascii="宋体" w:hAnsi="宋体" w:cs="宋体"/>
          <w:color w:val="auto"/>
          <w:kern w:val="1"/>
          <w:szCs w:val="21"/>
        </w:rPr>
        <w:t>；</w:t>
      </w:r>
    </w:p>
    <w:p w14:paraId="55E06E31">
      <w:pPr>
        <w:spacing w:line="360" w:lineRule="exact"/>
        <w:ind w:firstLine="420"/>
        <w:rPr>
          <w:rFonts w:ascii="宋体" w:hAnsi="宋体" w:cs="宋体"/>
          <w:color w:val="auto"/>
          <w:kern w:val="1"/>
          <w:szCs w:val="21"/>
        </w:rPr>
      </w:pPr>
      <w:r>
        <w:rPr>
          <w:rFonts w:ascii="宋体" w:hAnsi="宋体" w:cs="宋体"/>
          <w:color w:val="auto"/>
          <w:kern w:val="1"/>
          <w:szCs w:val="21"/>
        </w:rPr>
        <w:t>发包人审批承包人文件的期限：</w:t>
      </w:r>
      <w:r>
        <w:rPr>
          <w:rFonts w:hint="eastAsia" w:ascii="宋体" w:hAnsi="宋体" w:cs="宋体"/>
          <w:color w:val="auto"/>
          <w:kern w:val="1"/>
          <w:szCs w:val="21"/>
          <w:u w:val="single"/>
        </w:rPr>
        <w:t>收到文件后7天内</w:t>
      </w:r>
      <w:r>
        <w:rPr>
          <w:rFonts w:ascii="宋体" w:hAnsi="宋体" w:cs="宋体"/>
          <w:color w:val="auto"/>
          <w:kern w:val="1"/>
          <w:szCs w:val="21"/>
        </w:rPr>
        <w:t>。</w:t>
      </w:r>
    </w:p>
    <w:p w14:paraId="0975F1B1">
      <w:pPr>
        <w:spacing w:line="360" w:lineRule="exact"/>
        <w:ind w:firstLine="420"/>
        <w:rPr>
          <w:rFonts w:ascii="宋体" w:hAnsi="宋体" w:cs="宋体"/>
          <w:color w:val="auto"/>
          <w:kern w:val="1"/>
          <w:szCs w:val="21"/>
        </w:rPr>
      </w:pPr>
      <w:r>
        <w:rPr>
          <w:rFonts w:ascii="宋体" w:hAnsi="宋体" w:cs="宋体"/>
          <w:color w:val="auto"/>
          <w:kern w:val="1"/>
          <w:szCs w:val="21"/>
        </w:rPr>
        <w:t>1.6.5 现场图纸准备</w:t>
      </w:r>
    </w:p>
    <w:p w14:paraId="3FF12614">
      <w:pPr>
        <w:spacing w:line="360" w:lineRule="exact"/>
        <w:ind w:firstLine="420"/>
        <w:rPr>
          <w:rFonts w:ascii="宋体" w:hAnsi="宋体" w:cs="宋体"/>
          <w:color w:val="auto"/>
          <w:kern w:val="1"/>
          <w:szCs w:val="21"/>
        </w:rPr>
      </w:pPr>
      <w:r>
        <w:rPr>
          <w:rFonts w:ascii="宋体" w:hAnsi="宋体" w:cs="宋体"/>
          <w:color w:val="auto"/>
          <w:kern w:val="1"/>
          <w:szCs w:val="21"/>
        </w:rPr>
        <w:t>关于现场图纸准备的约定：</w:t>
      </w:r>
      <w:r>
        <w:rPr>
          <w:rFonts w:hint="eastAsia" w:ascii="宋体" w:hAnsi="宋体" w:cs="宋体"/>
          <w:color w:val="auto"/>
          <w:kern w:val="1"/>
          <w:szCs w:val="21"/>
          <w:u w:val="single"/>
        </w:rPr>
        <w:t>图纸会审或发包人审查后7天内</w:t>
      </w:r>
      <w:r>
        <w:rPr>
          <w:rFonts w:ascii="宋体" w:hAnsi="宋体" w:cs="宋体"/>
          <w:color w:val="auto"/>
          <w:kern w:val="1"/>
          <w:szCs w:val="21"/>
        </w:rPr>
        <w:t>。</w:t>
      </w:r>
    </w:p>
    <w:p w14:paraId="34216BE5">
      <w:pPr>
        <w:pStyle w:val="5"/>
        <w:keepNext w:val="0"/>
        <w:spacing w:line="360" w:lineRule="exact"/>
        <w:rPr>
          <w:rFonts w:ascii="宋体" w:hAnsi="宋体" w:cs="宋体"/>
          <w:color w:val="auto"/>
          <w:sz w:val="21"/>
          <w:szCs w:val="21"/>
          <w:lang w:val="zh-CN"/>
        </w:rPr>
      </w:pPr>
      <w:bookmarkStart w:id="672" w:name="_Toc373227698"/>
      <w:bookmarkEnd w:id="672"/>
      <w:bookmarkStart w:id="673" w:name="_Toc373478345"/>
      <w:bookmarkEnd w:id="673"/>
      <w:bookmarkStart w:id="674" w:name="_Toc406054736"/>
      <w:bookmarkEnd w:id="674"/>
      <w:bookmarkStart w:id="675" w:name="_Toc23815"/>
      <w:bookmarkStart w:id="676" w:name="_Toc16682"/>
      <w:bookmarkStart w:id="677" w:name="_Toc8592"/>
      <w:bookmarkStart w:id="678" w:name="_Toc20647"/>
      <w:bookmarkStart w:id="679" w:name="_Toc15943"/>
      <w:r>
        <w:rPr>
          <w:rFonts w:ascii="宋体" w:hAnsi="宋体" w:cs="宋体"/>
          <w:color w:val="auto"/>
          <w:sz w:val="21"/>
          <w:szCs w:val="21"/>
          <w:lang w:val="zh-CN"/>
        </w:rPr>
        <w:t>1.7 联络</w:t>
      </w:r>
      <w:bookmarkEnd w:id="675"/>
      <w:bookmarkEnd w:id="676"/>
      <w:bookmarkEnd w:id="677"/>
      <w:bookmarkEnd w:id="678"/>
      <w:bookmarkEnd w:id="679"/>
    </w:p>
    <w:p w14:paraId="714B3172">
      <w:pPr>
        <w:spacing w:line="360" w:lineRule="exact"/>
        <w:ind w:firstLine="420"/>
        <w:rPr>
          <w:rFonts w:ascii="宋体" w:hAnsi="宋体" w:cs="宋体"/>
          <w:color w:val="auto"/>
          <w:kern w:val="1"/>
          <w:szCs w:val="21"/>
        </w:rPr>
      </w:pPr>
      <w:r>
        <w:rPr>
          <w:rFonts w:ascii="宋体" w:hAnsi="宋体" w:cs="宋体"/>
          <w:color w:val="auto"/>
          <w:kern w:val="1"/>
          <w:szCs w:val="21"/>
        </w:rPr>
        <w:t>1.7.1发包人和承包人应当在</w:t>
      </w:r>
      <w:r>
        <w:rPr>
          <w:rFonts w:hint="eastAsia" w:ascii="宋体" w:hAnsi="宋体" w:cs="宋体"/>
          <w:color w:val="auto"/>
          <w:kern w:val="1"/>
          <w:szCs w:val="21"/>
          <w:u w:val="single"/>
        </w:rPr>
        <w:t>7</w:t>
      </w:r>
      <w:r>
        <w:rPr>
          <w:rFonts w:ascii="宋体" w:hAnsi="宋体" w:cs="宋体"/>
          <w:color w:val="auto"/>
          <w:kern w:val="1"/>
          <w:szCs w:val="21"/>
        </w:rPr>
        <w:t>天内将与合同有关的通知、批准、证明、证书、指示、指令、要求、请求、同意、意见、确定和决定等书面函件送达对方当事人。</w:t>
      </w:r>
    </w:p>
    <w:p w14:paraId="04A6C4BA">
      <w:pPr>
        <w:spacing w:line="360" w:lineRule="exact"/>
        <w:ind w:firstLine="420"/>
        <w:rPr>
          <w:rFonts w:ascii="宋体" w:hAnsi="宋体" w:cs="宋体"/>
          <w:color w:val="auto"/>
          <w:kern w:val="1"/>
          <w:szCs w:val="21"/>
        </w:rPr>
      </w:pPr>
      <w:r>
        <w:rPr>
          <w:rFonts w:ascii="宋体" w:hAnsi="宋体" w:cs="宋体"/>
          <w:color w:val="auto"/>
          <w:kern w:val="1"/>
          <w:szCs w:val="21"/>
        </w:rPr>
        <w:t>1.7.2 发包人接收文件的地点：</w:t>
      </w:r>
      <w:r>
        <w:rPr>
          <w:rFonts w:hint="eastAsia" w:ascii="宋体" w:hAnsi="宋体" w:cs="宋体"/>
          <w:color w:val="auto"/>
          <w:kern w:val="1"/>
          <w:szCs w:val="21"/>
          <w:u w:val="single"/>
        </w:rPr>
        <w:t>发包人办公室</w:t>
      </w:r>
      <w:r>
        <w:rPr>
          <w:rFonts w:ascii="宋体" w:hAnsi="宋体" w:cs="宋体"/>
          <w:color w:val="auto"/>
          <w:kern w:val="1"/>
          <w:szCs w:val="21"/>
        </w:rPr>
        <w:t>；</w:t>
      </w:r>
    </w:p>
    <w:p w14:paraId="06F24B31">
      <w:pPr>
        <w:spacing w:line="360" w:lineRule="exact"/>
        <w:ind w:firstLine="420"/>
        <w:rPr>
          <w:rFonts w:ascii="宋体" w:hAnsi="宋体" w:cs="宋体"/>
          <w:color w:val="auto"/>
          <w:kern w:val="1"/>
          <w:szCs w:val="21"/>
        </w:rPr>
      </w:pPr>
      <w:r>
        <w:rPr>
          <w:rFonts w:ascii="宋体" w:hAnsi="宋体" w:cs="宋体"/>
          <w:color w:val="auto"/>
          <w:kern w:val="1"/>
          <w:szCs w:val="21"/>
        </w:rPr>
        <w:t>发包人指定的接收人为：</w:t>
      </w:r>
      <w:r>
        <w:rPr>
          <w:rFonts w:hint="eastAsia" w:ascii="宋体" w:hAnsi="宋体" w:cs="宋体"/>
          <w:color w:val="auto"/>
          <w:kern w:val="1"/>
          <w:szCs w:val="21"/>
          <w:u w:val="single"/>
        </w:rPr>
        <w:t xml:space="preserve">    工地代表（可委托）</w:t>
      </w:r>
      <w:r>
        <w:rPr>
          <w:rFonts w:ascii="宋体" w:hAnsi="宋体" w:cs="宋体"/>
          <w:color w:val="auto"/>
          <w:kern w:val="1"/>
          <w:szCs w:val="21"/>
        </w:rPr>
        <w:t>。</w:t>
      </w:r>
    </w:p>
    <w:p w14:paraId="57F342B6">
      <w:pPr>
        <w:spacing w:line="360" w:lineRule="exact"/>
        <w:ind w:firstLine="420"/>
        <w:rPr>
          <w:rFonts w:ascii="宋体" w:hAnsi="宋体" w:cs="宋体"/>
          <w:color w:val="auto"/>
          <w:kern w:val="1"/>
          <w:szCs w:val="21"/>
        </w:rPr>
      </w:pPr>
      <w:r>
        <w:rPr>
          <w:rFonts w:ascii="宋体" w:hAnsi="宋体" w:cs="宋体"/>
          <w:color w:val="auto"/>
          <w:kern w:val="1"/>
          <w:szCs w:val="21"/>
        </w:rPr>
        <w:t>承包人接收文件的地点：</w:t>
      </w:r>
      <w:r>
        <w:rPr>
          <w:rFonts w:hint="eastAsia" w:ascii="宋体" w:hAnsi="宋体" w:cs="宋体"/>
          <w:color w:val="auto"/>
          <w:kern w:val="1"/>
          <w:szCs w:val="21"/>
          <w:u w:val="single"/>
        </w:rPr>
        <w:t xml:space="preserve">    承包人项目部办公室</w:t>
      </w:r>
      <w:r>
        <w:rPr>
          <w:rFonts w:ascii="宋体" w:hAnsi="宋体" w:cs="宋体"/>
          <w:color w:val="auto"/>
          <w:kern w:val="1"/>
          <w:szCs w:val="21"/>
        </w:rPr>
        <w:t>；</w:t>
      </w:r>
    </w:p>
    <w:p w14:paraId="055BE74E">
      <w:pPr>
        <w:spacing w:line="360" w:lineRule="exact"/>
        <w:ind w:firstLine="420"/>
        <w:rPr>
          <w:rFonts w:ascii="宋体" w:hAnsi="宋体" w:cs="宋体"/>
          <w:color w:val="auto"/>
          <w:kern w:val="1"/>
          <w:szCs w:val="21"/>
        </w:rPr>
      </w:pPr>
      <w:r>
        <w:rPr>
          <w:rFonts w:ascii="宋体" w:hAnsi="宋体" w:cs="宋体"/>
          <w:color w:val="auto"/>
          <w:kern w:val="1"/>
          <w:szCs w:val="21"/>
        </w:rPr>
        <w:t>承包人指定的接收人为：</w:t>
      </w:r>
      <w:r>
        <w:rPr>
          <w:rFonts w:hint="eastAsia" w:ascii="宋体" w:hAnsi="宋体" w:cs="宋体"/>
          <w:color w:val="auto"/>
          <w:kern w:val="1"/>
          <w:szCs w:val="21"/>
          <w:u w:val="single"/>
        </w:rPr>
        <w:t xml:space="preserve">    项目经理（可委托）</w:t>
      </w:r>
      <w:r>
        <w:rPr>
          <w:rFonts w:ascii="宋体" w:hAnsi="宋体" w:cs="宋体"/>
          <w:color w:val="auto"/>
          <w:kern w:val="1"/>
          <w:szCs w:val="21"/>
        </w:rPr>
        <w:t>。</w:t>
      </w:r>
    </w:p>
    <w:p w14:paraId="045C9193">
      <w:pPr>
        <w:spacing w:line="360" w:lineRule="exact"/>
        <w:ind w:firstLine="420"/>
        <w:rPr>
          <w:rFonts w:ascii="宋体" w:hAnsi="宋体" w:cs="宋体"/>
          <w:color w:val="auto"/>
          <w:kern w:val="1"/>
          <w:szCs w:val="21"/>
        </w:rPr>
      </w:pPr>
      <w:r>
        <w:rPr>
          <w:rFonts w:ascii="宋体" w:hAnsi="宋体" w:cs="宋体"/>
          <w:color w:val="auto"/>
          <w:kern w:val="1"/>
          <w:szCs w:val="21"/>
        </w:rPr>
        <w:t>监理人接收文件的地点：</w:t>
      </w:r>
      <w:r>
        <w:rPr>
          <w:rFonts w:hint="eastAsia" w:ascii="宋体" w:hAnsi="宋体" w:cs="宋体"/>
          <w:color w:val="auto"/>
          <w:kern w:val="1"/>
          <w:szCs w:val="21"/>
          <w:u w:val="single"/>
        </w:rPr>
        <w:t xml:space="preserve">    项目监理部</w:t>
      </w:r>
      <w:r>
        <w:rPr>
          <w:rFonts w:ascii="宋体" w:hAnsi="宋体" w:cs="宋体"/>
          <w:color w:val="auto"/>
          <w:kern w:val="1"/>
          <w:szCs w:val="21"/>
        </w:rPr>
        <w:t>；</w:t>
      </w:r>
    </w:p>
    <w:p w14:paraId="62F6DA33">
      <w:pPr>
        <w:spacing w:line="360" w:lineRule="exact"/>
        <w:ind w:firstLine="420"/>
        <w:rPr>
          <w:color w:val="auto"/>
          <w:szCs w:val="21"/>
        </w:rPr>
      </w:pPr>
      <w:r>
        <w:rPr>
          <w:rFonts w:ascii="宋体" w:hAnsi="宋体" w:cs="宋体"/>
          <w:color w:val="auto"/>
          <w:kern w:val="1"/>
          <w:szCs w:val="21"/>
        </w:rPr>
        <w:t>监理人指定的接收人为：</w:t>
      </w:r>
      <w:r>
        <w:rPr>
          <w:rFonts w:hint="eastAsia" w:ascii="宋体" w:hAnsi="宋体" w:cs="宋体"/>
          <w:color w:val="auto"/>
          <w:kern w:val="1"/>
          <w:szCs w:val="21"/>
          <w:u w:val="single"/>
        </w:rPr>
        <w:t xml:space="preserve">    总监理工程（可委托）</w:t>
      </w:r>
      <w:r>
        <w:rPr>
          <w:rFonts w:ascii="宋体" w:hAnsi="宋体" w:cs="宋体"/>
          <w:color w:val="auto"/>
          <w:kern w:val="1"/>
          <w:szCs w:val="21"/>
        </w:rPr>
        <w:t>。</w:t>
      </w:r>
    </w:p>
    <w:p w14:paraId="0684331E">
      <w:pPr>
        <w:pStyle w:val="5"/>
        <w:keepNext w:val="0"/>
        <w:spacing w:line="360" w:lineRule="exact"/>
        <w:rPr>
          <w:rFonts w:ascii="宋体" w:hAnsi="宋体" w:cs="宋体"/>
          <w:color w:val="auto"/>
          <w:sz w:val="21"/>
          <w:szCs w:val="21"/>
          <w:lang w:val="zh-CN"/>
        </w:rPr>
      </w:pPr>
      <w:bookmarkStart w:id="680" w:name="_Toc373478346"/>
      <w:bookmarkEnd w:id="680"/>
      <w:bookmarkStart w:id="681" w:name="_Toc373227699"/>
      <w:bookmarkEnd w:id="681"/>
      <w:bookmarkStart w:id="682" w:name="_Toc406054737"/>
      <w:bookmarkEnd w:id="682"/>
      <w:bookmarkStart w:id="683" w:name="_Toc550"/>
      <w:bookmarkStart w:id="684" w:name="_Toc18627"/>
      <w:bookmarkStart w:id="685" w:name="_Toc24462"/>
      <w:bookmarkStart w:id="686" w:name="_Toc22907"/>
      <w:bookmarkStart w:id="687" w:name="_Toc14010"/>
      <w:r>
        <w:rPr>
          <w:rFonts w:ascii="宋体" w:hAnsi="宋体" w:cs="宋体"/>
          <w:color w:val="auto"/>
          <w:sz w:val="21"/>
          <w:szCs w:val="21"/>
          <w:lang w:val="zh-CN"/>
        </w:rPr>
        <w:t>1.10 交通运输</w:t>
      </w:r>
      <w:bookmarkEnd w:id="683"/>
      <w:bookmarkEnd w:id="684"/>
      <w:bookmarkEnd w:id="685"/>
      <w:bookmarkEnd w:id="686"/>
      <w:bookmarkEnd w:id="687"/>
    </w:p>
    <w:p w14:paraId="2889CB91">
      <w:pPr>
        <w:spacing w:line="360" w:lineRule="exact"/>
        <w:ind w:firstLine="420"/>
        <w:rPr>
          <w:rFonts w:ascii="宋体" w:hAnsi="宋体" w:cs="宋体"/>
          <w:color w:val="auto"/>
          <w:kern w:val="1"/>
          <w:szCs w:val="21"/>
        </w:rPr>
      </w:pPr>
      <w:r>
        <w:rPr>
          <w:rFonts w:ascii="宋体" w:hAnsi="宋体" w:cs="宋体"/>
          <w:color w:val="auto"/>
          <w:kern w:val="1"/>
          <w:szCs w:val="21"/>
        </w:rPr>
        <w:t>1.10.1 出入现场的权利</w:t>
      </w:r>
    </w:p>
    <w:p w14:paraId="680058D9">
      <w:pPr>
        <w:spacing w:line="360" w:lineRule="exact"/>
        <w:ind w:firstLine="420"/>
        <w:rPr>
          <w:rFonts w:ascii="宋体" w:hAnsi="宋体" w:cs="宋体"/>
          <w:color w:val="auto"/>
          <w:kern w:val="1"/>
          <w:szCs w:val="21"/>
          <w:u w:val="single"/>
        </w:rPr>
      </w:pPr>
      <w:r>
        <w:rPr>
          <w:rFonts w:ascii="宋体" w:hAnsi="宋体" w:cs="宋体"/>
          <w:color w:val="auto"/>
          <w:kern w:val="1"/>
          <w:szCs w:val="21"/>
        </w:rPr>
        <w:t>关于出入现场的权利的约定：</w:t>
      </w:r>
      <w:r>
        <w:rPr>
          <w:rFonts w:hint="eastAsia" w:ascii="宋体" w:hAnsi="宋体" w:cs="宋体"/>
          <w:color w:val="auto"/>
          <w:kern w:val="1"/>
          <w:szCs w:val="21"/>
          <w:u w:val="single"/>
        </w:rPr>
        <w:t>发包方管理人员、监理方管理人员佩戴工作证件及安全帽方可自由出入，但不得影响承包方的正常施工。</w:t>
      </w:r>
    </w:p>
    <w:p w14:paraId="4E26C0FF">
      <w:pPr>
        <w:spacing w:line="360" w:lineRule="exact"/>
        <w:ind w:firstLine="420"/>
        <w:jc w:val="left"/>
        <w:rPr>
          <w:rFonts w:ascii="宋体" w:hAnsi="宋体" w:cs="宋体"/>
          <w:color w:val="auto"/>
          <w:kern w:val="1"/>
          <w:szCs w:val="21"/>
        </w:rPr>
      </w:pPr>
      <w:r>
        <w:rPr>
          <w:rFonts w:ascii="宋体" w:hAnsi="宋体" w:cs="宋体"/>
          <w:color w:val="auto"/>
          <w:kern w:val="1"/>
          <w:szCs w:val="21"/>
        </w:rPr>
        <w:t>1.10.3 场内交通</w:t>
      </w:r>
    </w:p>
    <w:p w14:paraId="11271B3B">
      <w:pPr>
        <w:spacing w:line="360" w:lineRule="exact"/>
        <w:ind w:firstLine="420"/>
        <w:jc w:val="left"/>
        <w:rPr>
          <w:rFonts w:ascii="宋体" w:hAnsi="宋体" w:cs="宋体"/>
          <w:color w:val="auto"/>
          <w:kern w:val="1"/>
          <w:szCs w:val="21"/>
        </w:rPr>
      </w:pPr>
      <w:r>
        <w:rPr>
          <w:rFonts w:ascii="宋体" w:hAnsi="宋体" w:cs="宋体"/>
          <w:color w:val="auto"/>
          <w:kern w:val="1"/>
          <w:szCs w:val="21"/>
        </w:rPr>
        <w:t>关于场外交通和场内交通的边界的约定：</w:t>
      </w:r>
      <w:r>
        <w:rPr>
          <w:rFonts w:hint="eastAsia" w:ascii="宋体" w:hAnsi="宋体" w:cs="宋体"/>
          <w:color w:val="auto"/>
          <w:kern w:val="1"/>
          <w:szCs w:val="21"/>
          <w:u w:val="single"/>
        </w:rPr>
        <w:t>发包方、承包方和监理方可现场协商，再以书面形式进行确认</w:t>
      </w:r>
      <w:r>
        <w:rPr>
          <w:rFonts w:hint="eastAsia" w:ascii="宋体" w:hAnsi="宋体" w:cs="宋体"/>
          <w:color w:val="auto"/>
          <w:kern w:val="1"/>
          <w:szCs w:val="21"/>
        </w:rPr>
        <w:t>。</w:t>
      </w:r>
    </w:p>
    <w:p w14:paraId="13BB02EC">
      <w:pPr>
        <w:spacing w:line="360" w:lineRule="exact"/>
        <w:ind w:firstLine="420"/>
        <w:jc w:val="left"/>
        <w:rPr>
          <w:rFonts w:ascii="宋体" w:hAnsi="宋体" w:cs="宋体"/>
          <w:color w:val="auto"/>
          <w:kern w:val="1"/>
          <w:szCs w:val="21"/>
        </w:rPr>
      </w:pPr>
      <w:r>
        <w:rPr>
          <w:rFonts w:ascii="宋体" w:hAnsi="宋体" w:cs="宋体"/>
          <w:color w:val="auto"/>
          <w:kern w:val="1"/>
          <w:szCs w:val="21"/>
        </w:rPr>
        <w:t>关于发包人向承包人免费提供满足工程施工需要的场内道路和交通设施的约定：</w:t>
      </w:r>
      <w:r>
        <w:rPr>
          <w:rFonts w:hint="eastAsia" w:ascii="宋体" w:hAnsi="宋体" w:cs="宋体"/>
          <w:color w:val="auto"/>
          <w:kern w:val="1"/>
          <w:szCs w:val="21"/>
          <w:u w:val="single"/>
        </w:rPr>
        <w:t>发包方、承包方和监理方可现场协商，再以书面形式进行确认</w:t>
      </w:r>
      <w:r>
        <w:rPr>
          <w:rFonts w:ascii="宋体" w:hAnsi="宋体" w:cs="宋体"/>
          <w:color w:val="auto"/>
          <w:kern w:val="1"/>
          <w:szCs w:val="21"/>
        </w:rPr>
        <w:t xml:space="preserve">。  </w:t>
      </w:r>
    </w:p>
    <w:p w14:paraId="76AA222A">
      <w:pPr>
        <w:spacing w:line="360" w:lineRule="exact"/>
        <w:ind w:firstLine="420"/>
        <w:jc w:val="left"/>
        <w:rPr>
          <w:rFonts w:ascii="宋体" w:hAnsi="宋体" w:cs="宋体"/>
          <w:color w:val="auto"/>
          <w:kern w:val="1"/>
          <w:szCs w:val="21"/>
        </w:rPr>
      </w:pPr>
      <w:r>
        <w:rPr>
          <w:rFonts w:ascii="宋体" w:hAnsi="宋体" w:cs="宋体"/>
          <w:color w:val="auto"/>
          <w:kern w:val="1"/>
          <w:szCs w:val="21"/>
        </w:rPr>
        <w:t>1.10.4超大件和超重件的运输</w:t>
      </w:r>
    </w:p>
    <w:p w14:paraId="4C3F26D5">
      <w:pPr>
        <w:spacing w:line="360" w:lineRule="exact"/>
        <w:ind w:firstLine="420"/>
        <w:jc w:val="left"/>
        <w:rPr>
          <w:rFonts w:hint="eastAsia" w:ascii="宋体" w:hAnsi="宋体" w:cs="宋体"/>
          <w:color w:val="auto"/>
          <w:kern w:val="1"/>
          <w:szCs w:val="21"/>
        </w:rPr>
      </w:pPr>
      <w:r>
        <w:rPr>
          <w:rFonts w:ascii="宋体" w:hAnsi="宋体" w:cs="宋体"/>
          <w:color w:val="auto"/>
          <w:kern w:val="1"/>
          <w:szCs w:val="21"/>
        </w:rPr>
        <w:t>运输超大件或超重件所需的道路和桥梁临时加固改造费用和其他有关费用由</w:t>
      </w:r>
      <w:r>
        <w:rPr>
          <w:rFonts w:hint="eastAsia" w:ascii="宋体" w:hAnsi="宋体" w:cs="宋体"/>
          <w:color w:val="auto"/>
          <w:kern w:val="1"/>
          <w:szCs w:val="21"/>
          <w:u w:val="single"/>
        </w:rPr>
        <w:t>承包方</w:t>
      </w:r>
      <w:r>
        <w:rPr>
          <w:rFonts w:ascii="宋体" w:hAnsi="宋体" w:cs="宋体"/>
          <w:color w:val="auto"/>
          <w:kern w:val="1"/>
          <w:szCs w:val="21"/>
        </w:rPr>
        <w:t>承担。</w:t>
      </w:r>
    </w:p>
    <w:p w14:paraId="53FAF3AA">
      <w:pPr>
        <w:spacing w:line="360" w:lineRule="exact"/>
        <w:ind w:firstLine="420"/>
        <w:jc w:val="left"/>
        <w:rPr>
          <w:rFonts w:ascii="宋体" w:hAnsi="宋体" w:cs="宋体"/>
          <w:color w:val="auto"/>
          <w:kern w:val="1"/>
          <w:szCs w:val="21"/>
        </w:rPr>
      </w:pPr>
      <w:r>
        <w:rPr>
          <w:rFonts w:ascii="宋体" w:hAnsi="宋体" w:cs="宋体"/>
          <w:color w:val="auto"/>
          <w:kern w:val="1"/>
          <w:szCs w:val="21"/>
        </w:rPr>
        <w:t>1.10.5特别约定</w:t>
      </w:r>
      <w:r>
        <w:rPr>
          <w:rFonts w:hint="eastAsia" w:ascii="宋体" w:hAnsi="宋体" w:cs="宋体"/>
          <w:color w:val="auto"/>
          <w:kern w:val="1"/>
          <w:szCs w:val="21"/>
        </w:rPr>
        <w:t>：</w:t>
      </w:r>
      <w:r>
        <w:rPr>
          <w:rFonts w:hint="eastAsia" w:ascii="宋体" w:hAnsi="宋体" w:cs="宋体"/>
          <w:color w:val="auto"/>
          <w:kern w:val="1"/>
          <w:szCs w:val="21"/>
          <w:u w:val="single"/>
        </w:rPr>
        <w:t xml:space="preserve">                              。</w:t>
      </w:r>
    </w:p>
    <w:p w14:paraId="14766B19">
      <w:pPr>
        <w:pStyle w:val="5"/>
        <w:keepNext w:val="0"/>
        <w:spacing w:line="360" w:lineRule="exact"/>
        <w:rPr>
          <w:rFonts w:ascii="宋体" w:hAnsi="宋体" w:cs="宋体"/>
          <w:color w:val="auto"/>
          <w:sz w:val="21"/>
          <w:szCs w:val="21"/>
          <w:lang w:val="zh-CN"/>
        </w:rPr>
      </w:pPr>
      <w:bookmarkStart w:id="688" w:name="_Toc406054738"/>
      <w:bookmarkEnd w:id="688"/>
      <w:bookmarkStart w:id="689" w:name="_Toc373478347"/>
      <w:bookmarkEnd w:id="689"/>
      <w:bookmarkStart w:id="690" w:name="_Toc373227700"/>
      <w:bookmarkEnd w:id="690"/>
      <w:bookmarkStart w:id="691" w:name="_Toc9937"/>
      <w:bookmarkStart w:id="692" w:name="_Toc23284"/>
      <w:bookmarkStart w:id="693" w:name="_Toc12613"/>
      <w:bookmarkStart w:id="694" w:name="_Toc18330"/>
      <w:bookmarkStart w:id="695" w:name="_Toc27884"/>
      <w:r>
        <w:rPr>
          <w:rFonts w:ascii="宋体" w:hAnsi="宋体" w:cs="宋体"/>
          <w:color w:val="auto"/>
          <w:sz w:val="21"/>
          <w:szCs w:val="21"/>
          <w:lang w:val="zh-CN"/>
        </w:rPr>
        <w:t>1.11 知识产权</w:t>
      </w:r>
      <w:bookmarkEnd w:id="691"/>
      <w:bookmarkEnd w:id="692"/>
      <w:bookmarkEnd w:id="693"/>
      <w:bookmarkEnd w:id="694"/>
      <w:bookmarkEnd w:id="695"/>
    </w:p>
    <w:p w14:paraId="17D97271">
      <w:pPr>
        <w:spacing w:line="360" w:lineRule="exact"/>
        <w:ind w:firstLine="420"/>
        <w:rPr>
          <w:rFonts w:ascii="宋体" w:hAnsi="宋体" w:cs="宋体"/>
          <w:color w:val="auto"/>
          <w:kern w:val="1"/>
          <w:szCs w:val="21"/>
        </w:rPr>
      </w:pPr>
      <w:r>
        <w:rPr>
          <w:rFonts w:ascii="宋体" w:hAnsi="宋体" w:cs="宋体"/>
          <w:color w:val="auto"/>
          <w:kern w:val="1"/>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kern w:val="1"/>
          <w:szCs w:val="21"/>
          <w:u w:val="single"/>
        </w:rPr>
        <w:t>归发包人</w:t>
      </w:r>
      <w:r>
        <w:rPr>
          <w:rFonts w:ascii="宋体" w:hAnsi="宋体" w:cs="宋体"/>
          <w:color w:val="auto"/>
          <w:kern w:val="1"/>
          <w:szCs w:val="21"/>
        </w:rPr>
        <w:t>。</w:t>
      </w:r>
    </w:p>
    <w:p w14:paraId="38CD9F63">
      <w:pPr>
        <w:spacing w:line="360" w:lineRule="exact"/>
        <w:ind w:firstLine="420"/>
        <w:rPr>
          <w:rFonts w:ascii="宋体" w:hAnsi="宋体" w:cs="宋体"/>
          <w:color w:val="auto"/>
          <w:kern w:val="1"/>
          <w:szCs w:val="21"/>
        </w:rPr>
      </w:pPr>
      <w:r>
        <w:rPr>
          <w:rFonts w:ascii="宋体" w:hAnsi="宋体" w:cs="宋体"/>
          <w:color w:val="auto"/>
          <w:kern w:val="1"/>
          <w:szCs w:val="21"/>
        </w:rPr>
        <w:t>关于发包人提供的上述文件的使用限制的要求：</w:t>
      </w:r>
      <w:r>
        <w:rPr>
          <w:rFonts w:hint="eastAsia" w:ascii="宋体" w:hAnsi="宋体" w:cs="宋体"/>
          <w:color w:val="auto"/>
          <w:kern w:val="1"/>
          <w:szCs w:val="21"/>
          <w:u w:val="single"/>
        </w:rPr>
        <w:t>未经发包人同意，承包人不得用于本工程以外的其他工程</w:t>
      </w:r>
      <w:r>
        <w:rPr>
          <w:rFonts w:ascii="宋体" w:hAnsi="宋体" w:cs="宋体"/>
          <w:color w:val="auto"/>
          <w:kern w:val="1"/>
          <w:szCs w:val="21"/>
        </w:rPr>
        <w:t>。</w:t>
      </w:r>
    </w:p>
    <w:p w14:paraId="078599B5">
      <w:pPr>
        <w:spacing w:line="360" w:lineRule="exact"/>
        <w:ind w:firstLine="420"/>
        <w:rPr>
          <w:rFonts w:ascii="宋体" w:hAnsi="宋体" w:cs="宋体"/>
          <w:color w:val="auto"/>
          <w:kern w:val="1"/>
          <w:szCs w:val="21"/>
        </w:rPr>
      </w:pPr>
      <w:r>
        <w:rPr>
          <w:rFonts w:ascii="宋体" w:hAnsi="宋体" w:cs="宋体"/>
          <w:color w:val="auto"/>
          <w:kern w:val="1"/>
          <w:szCs w:val="21"/>
        </w:rPr>
        <w:t>1.11.2 关于承包人为实施工程所编制文件的著作权的归属：</w:t>
      </w:r>
      <w:r>
        <w:rPr>
          <w:rFonts w:hint="eastAsia" w:ascii="宋体" w:hAnsi="宋体" w:cs="宋体"/>
          <w:color w:val="auto"/>
          <w:kern w:val="1"/>
          <w:szCs w:val="21"/>
          <w:u w:val="single"/>
        </w:rPr>
        <w:t>归属承包人</w:t>
      </w:r>
      <w:r>
        <w:rPr>
          <w:rFonts w:ascii="宋体" w:hAnsi="宋体" w:cs="宋体"/>
          <w:color w:val="auto"/>
          <w:kern w:val="1"/>
          <w:szCs w:val="21"/>
        </w:rPr>
        <w:t>。</w:t>
      </w:r>
    </w:p>
    <w:p w14:paraId="580F75E0">
      <w:pPr>
        <w:spacing w:line="360" w:lineRule="exact"/>
        <w:ind w:firstLine="420"/>
        <w:rPr>
          <w:rFonts w:ascii="宋体" w:hAnsi="宋体" w:cs="宋体"/>
          <w:color w:val="auto"/>
          <w:kern w:val="1"/>
          <w:szCs w:val="21"/>
          <w:u w:val="single"/>
        </w:rPr>
      </w:pPr>
      <w:r>
        <w:rPr>
          <w:rFonts w:ascii="宋体" w:hAnsi="宋体" w:cs="宋体"/>
          <w:color w:val="auto"/>
          <w:kern w:val="1"/>
          <w:szCs w:val="21"/>
        </w:rPr>
        <w:t>关于承包人提供的上述文件的使用限制的要求：</w:t>
      </w:r>
      <w:r>
        <w:rPr>
          <w:rFonts w:hint="eastAsia" w:ascii="宋体" w:hAnsi="宋体" w:cs="宋体"/>
          <w:color w:val="auto"/>
          <w:kern w:val="1"/>
          <w:szCs w:val="21"/>
          <w:u w:val="single"/>
        </w:rPr>
        <w:t>未经承包人同意，不得用于除本工程以外的其他工程</w:t>
      </w:r>
      <w:r>
        <w:rPr>
          <w:rFonts w:ascii="宋体" w:hAnsi="宋体" w:cs="宋体"/>
          <w:color w:val="auto"/>
          <w:kern w:val="1"/>
          <w:szCs w:val="21"/>
        </w:rPr>
        <w:t>。</w:t>
      </w:r>
    </w:p>
    <w:p w14:paraId="03FF7479">
      <w:pPr>
        <w:spacing w:line="360" w:lineRule="exact"/>
        <w:ind w:firstLine="420"/>
        <w:rPr>
          <w:rFonts w:ascii="宋体" w:hAnsi="宋体" w:cs="宋体"/>
          <w:color w:val="auto"/>
          <w:kern w:val="1"/>
          <w:szCs w:val="21"/>
        </w:rPr>
      </w:pPr>
      <w:r>
        <w:rPr>
          <w:rFonts w:ascii="宋体" w:hAnsi="宋体" w:cs="宋体"/>
          <w:color w:val="auto"/>
          <w:kern w:val="1"/>
          <w:szCs w:val="21"/>
        </w:rPr>
        <w:t>1.11.4 承包人在施工过程中所采用的专利、专有技术、技术秘密的使用费的承担方式：</w:t>
      </w:r>
      <w:r>
        <w:rPr>
          <w:rFonts w:hint="eastAsia" w:ascii="宋体" w:hAnsi="宋体" w:cs="宋体"/>
          <w:color w:val="auto"/>
          <w:kern w:val="1"/>
          <w:szCs w:val="21"/>
          <w:u w:val="single"/>
        </w:rPr>
        <w:t>由承包方承担</w:t>
      </w:r>
      <w:r>
        <w:rPr>
          <w:rFonts w:ascii="宋体" w:hAnsi="宋体" w:cs="宋体"/>
          <w:color w:val="auto"/>
          <w:kern w:val="1"/>
          <w:szCs w:val="21"/>
        </w:rPr>
        <w:t>。</w:t>
      </w:r>
    </w:p>
    <w:p w14:paraId="501CD241">
      <w:pPr>
        <w:pStyle w:val="5"/>
        <w:keepNext w:val="0"/>
        <w:spacing w:line="360" w:lineRule="exact"/>
        <w:rPr>
          <w:rFonts w:ascii="宋体" w:hAnsi="宋体" w:cs="宋体"/>
          <w:color w:val="auto"/>
          <w:sz w:val="21"/>
          <w:szCs w:val="21"/>
          <w:lang w:val="zh-CN"/>
        </w:rPr>
      </w:pPr>
      <w:bookmarkStart w:id="696" w:name="_Toc406054739"/>
      <w:bookmarkEnd w:id="696"/>
      <w:bookmarkStart w:id="697" w:name="_Toc373478348"/>
      <w:bookmarkEnd w:id="697"/>
      <w:bookmarkStart w:id="698" w:name="_Toc373227701"/>
      <w:bookmarkEnd w:id="698"/>
      <w:bookmarkStart w:id="699" w:name="_Toc9519"/>
      <w:bookmarkStart w:id="700" w:name="_Toc14667"/>
      <w:bookmarkStart w:id="701" w:name="_Toc30118"/>
      <w:bookmarkStart w:id="702" w:name="_Toc561"/>
      <w:bookmarkStart w:id="703" w:name="_Toc2166"/>
      <w:r>
        <w:rPr>
          <w:rFonts w:ascii="宋体" w:hAnsi="宋体" w:cs="宋体"/>
          <w:color w:val="auto"/>
          <w:sz w:val="21"/>
          <w:szCs w:val="21"/>
          <w:lang w:val="zh-CN"/>
        </w:rPr>
        <w:t>1.13工程量清单错误的修正</w:t>
      </w:r>
      <w:bookmarkEnd w:id="699"/>
      <w:bookmarkEnd w:id="700"/>
      <w:bookmarkEnd w:id="701"/>
      <w:bookmarkEnd w:id="702"/>
      <w:bookmarkEnd w:id="703"/>
    </w:p>
    <w:p w14:paraId="1FE18065">
      <w:pPr>
        <w:spacing w:line="360" w:lineRule="exact"/>
        <w:ind w:firstLine="420"/>
        <w:jc w:val="left"/>
        <w:rPr>
          <w:rFonts w:ascii="宋体" w:hAnsi="宋体" w:cs="宋体"/>
          <w:color w:val="auto"/>
          <w:kern w:val="1"/>
          <w:szCs w:val="21"/>
        </w:rPr>
      </w:pPr>
      <w:r>
        <w:rPr>
          <w:rFonts w:ascii="宋体" w:hAnsi="宋体" w:cs="宋体"/>
          <w:color w:val="auto"/>
          <w:kern w:val="1"/>
          <w:szCs w:val="21"/>
        </w:rPr>
        <w:t>出现工程量清单工程量偏差时，是否调整合同价格：</w:t>
      </w:r>
      <w:r>
        <w:rPr>
          <w:rFonts w:hint="eastAsia" w:ascii="宋体" w:hAnsi="宋体" w:cs="宋体"/>
          <w:b/>
          <w:color w:val="auto"/>
          <w:kern w:val="1"/>
          <w:szCs w:val="21"/>
          <w:u w:val="single"/>
        </w:rPr>
        <w:t>按`</w:t>
      </w:r>
      <w:r>
        <w:rPr>
          <w:rFonts w:ascii="宋体" w:hAnsi="宋体" w:cs="宋体"/>
          <w:b/>
          <w:color w:val="auto"/>
          <w:kern w:val="1"/>
          <w:szCs w:val="21"/>
          <w:u w:val="single"/>
        </w:rPr>
        <w:t>10.4.1 变更估价原则</w:t>
      </w:r>
      <w:r>
        <w:rPr>
          <w:rFonts w:hint="eastAsia" w:ascii="宋体" w:hAnsi="宋体" w:cs="宋体"/>
          <w:b/>
          <w:color w:val="auto"/>
          <w:kern w:val="1"/>
          <w:szCs w:val="21"/>
          <w:u w:val="single"/>
        </w:rPr>
        <w:t>。</w:t>
      </w:r>
    </w:p>
    <w:p w14:paraId="37DBC6F0">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允许调整合同价格的工程量偏差范围及其调整办法：</w:t>
      </w:r>
      <w:r>
        <w:rPr>
          <w:rFonts w:hint="eastAsia" w:ascii="宋体" w:hAnsi="宋体" w:cs="宋体"/>
          <w:b/>
          <w:color w:val="auto"/>
          <w:kern w:val="1"/>
          <w:szCs w:val="21"/>
          <w:u w:val="single"/>
        </w:rPr>
        <w:t>按`</w:t>
      </w:r>
      <w:r>
        <w:rPr>
          <w:rFonts w:ascii="宋体" w:hAnsi="宋体" w:cs="宋体"/>
          <w:b/>
          <w:color w:val="auto"/>
          <w:kern w:val="1"/>
          <w:szCs w:val="21"/>
          <w:u w:val="single"/>
        </w:rPr>
        <w:t>10.4.1 变更估价原则</w:t>
      </w:r>
      <w:r>
        <w:rPr>
          <w:rFonts w:ascii="宋体" w:hAnsi="宋体" w:cs="宋体"/>
          <w:color w:val="auto"/>
          <w:kern w:val="1"/>
          <w:szCs w:val="21"/>
        </w:rPr>
        <w:t>。</w:t>
      </w:r>
    </w:p>
    <w:p w14:paraId="7F385C0C">
      <w:pPr>
        <w:pStyle w:val="5"/>
        <w:keepNext w:val="0"/>
        <w:spacing w:line="360" w:lineRule="exact"/>
        <w:rPr>
          <w:rFonts w:ascii="宋体" w:hAnsi="宋体" w:cs="宋体"/>
          <w:color w:val="auto"/>
          <w:sz w:val="21"/>
          <w:szCs w:val="21"/>
          <w:lang w:val="zh-CN"/>
        </w:rPr>
      </w:pPr>
      <w:bookmarkStart w:id="704" w:name="_Toc373227702"/>
      <w:bookmarkEnd w:id="704"/>
      <w:bookmarkStart w:id="705" w:name="_Toc373478349"/>
      <w:bookmarkEnd w:id="705"/>
      <w:bookmarkStart w:id="706" w:name="_Toc406054740"/>
      <w:bookmarkEnd w:id="706"/>
      <w:bookmarkStart w:id="707" w:name="_Toc16178"/>
      <w:bookmarkStart w:id="708" w:name="_Toc11154"/>
      <w:bookmarkStart w:id="709" w:name="_Toc121"/>
      <w:bookmarkStart w:id="710" w:name="_Toc4096"/>
      <w:bookmarkStart w:id="711" w:name="_Toc21225"/>
      <w:r>
        <w:rPr>
          <w:rFonts w:ascii="宋体" w:hAnsi="宋体" w:cs="宋体"/>
          <w:color w:val="auto"/>
          <w:sz w:val="21"/>
          <w:szCs w:val="21"/>
          <w:lang w:val="zh-CN"/>
        </w:rPr>
        <w:t>2. 发包人</w:t>
      </w:r>
      <w:bookmarkEnd w:id="707"/>
      <w:bookmarkEnd w:id="708"/>
      <w:bookmarkEnd w:id="709"/>
      <w:bookmarkEnd w:id="710"/>
      <w:bookmarkEnd w:id="711"/>
    </w:p>
    <w:p w14:paraId="0F95779B">
      <w:pPr>
        <w:pStyle w:val="5"/>
        <w:keepNext w:val="0"/>
        <w:spacing w:line="360" w:lineRule="exact"/>
        <w:rPr>
          <w:rFonts w:ascii="宋体" w:hAnsi="宋体" w:cs="宋体"/>
          <w:color w:val="auto"/>
          <w:sz w:val="21"/>
          <w:szCs w:val="21"/>
          <w:lang w:val="zh-CN"/>
        </w:rPr>
      </w:pPr>
      <w:bookmarkStart w:id="712" w:name="_Toc373478350"/>
      <w:bookmarkEnd w:id="712"/>
      <w:bookmarkStart w:id="713" w:name="_Toc406054741"/>
      <w:bookmarkEnd w:id="713"/>
      <w:bookmarkStart w:id="714" w:name="_Toc373227703"/>
      <w:bookmarkEnd w:id="714"/>
      <w:bookmarkStart w:id="715" w:name="_Toc9433"/>
      <w:bookmarkStart w:id="716" w:name="_Toc24106"/>
      <w:bookmarkStart w:id="717" w:name="_Toc11606"/>
      <w:bookmarkStart w:id="718" w:name="_Toc19051"/>
      <w:bookmarkStart w:id="719" w:name="_Toc23078"/>
      <w:r>
        <w:rPr>
          <w:rFonts w:ascii="宋体" w:hAnsi="宋体" w:cs="宋体"/>
          <w:color w:val="auto"/>
          <w:sz w:val="21"/>
          <w:szCs w:val="21"/>
          <w:lang w:val="zh-CN"/>
        </w:rPr>
        <w:t>2.2 发包人代表</w:t>
      </w:r>
      <w:bookmarkEnd w:id="715"/>
      <w:bookmarkEnd w:id="716"/>
      <w:bookmarkEnd w:id="717"/>
      <w:bookmarkEnd w:id="718"/>
      <w:bookmarkEnd w:id="719"/>
    </w:p>
    <w:p w14:paraId="7DE5F0B5">
      <w:pPr>
        <w:spacing w:line="360" w:lineRule="exact"/>
        <w:ind w:firstLine="420"/>
        <w:rPr>
          <w:rFonts w:hint="eastAsia" w:ascii="宋体" w:hAnsi="宋体" w:cs="宋体"/>
          <w:color w:val="auto"/>
          <w:kern w:val="1"/>
          <w:szCs w:val="21"/>
        </w:rPr>
      </w:pPr>
      <w:r>
        <w:rPr>
          <w:rFonts w:hint="eastAsia" w:ascii="宋体" w:hAnsi="宋体" w:cs="宋体"/>
          <w:color w:val="auto"/>
          <w:kern w:val="1"/>
          <w:szCs w:val="21"/>
        </w:rPr>
        <w:t>发包人代表：</w:t>
      </w:r>
    </w:p>
    <w:p w14:paraId="02EE60B1">
      <w:pPr>
        <w:spacing w:line="360" w:lineRule="exact"/>
        <w:ind w:firstLine="420"/>
        <w:rPr>
          <w:rFonts w:hint="eastAsia" w:ascii="宋体" w:hAnsi="宋体" w:cs="宋体"/>
          <w:color w:val="auto"/>
          <w:kern w:val="1"/>
          <w:szCs w:val="21"/>
        </w:rPr>
      </w:pPr>
      <w:r>
        <w:rPr>
          <w:rFonts w:hint="eastAsia" w:ascii="宋体" w:hAnsi="宋体" w:cs="宋体"/>
          <w:color w:val="auto"/>
          <w:kern w:val="1"/>
          <w:szCs w:val="21"/>
        </w:rPr>
        <w:t>姓    名：</w:t>
      </w:r>
      <w:r>
        <w:rPr>
          <w:rFonts w:hint="eastAsia" w:ascii="宋体" w:hAnsi="宋体" w:cs="宋体"/>
          <w:color w:val="auto"/>
          <w:kern w:val="1"/>
          <w:szCs w:val="21"/>
          <w:u w:val="single"/>
        </w:rPr>
        <w:t>             </w:t>
      </w:r>
      <w:r>
        <w:rPr>
          <w:rFonts w:hint="eastAsia" w:ascii="宋体" w:hAnsi="宋体" w:cs="宋体"/>
          <w:color w:val="auto"/>
          <w:kern w:val="1"/>
          <w:szCs w:val="21"/>
        </w:rPr>
        <w:t>；</w:t>
      </w:r>
    </w:p>
    <w:p w14:paraId="595135A1">
      <w:pPr>
        <w:spacing w:line="360" w:lineRule="exact"/>
        <w:ind w:firstLine="420"/>
        <w:rPr>
          <w:rFonts w:hint="eastAsia" w:ascii="宋体" w:hAnsi="宋体" w:cs="宋体"/>
          <w:color w:val="auto"/>
          <w:kern w:val="1"/>
          <w:szCs w:val="21"/>
        </w:rPr>
      </w:pPr>
      <w:r>
        <w:rPr>
          <w:rFonts w:hint="eastAsia" w:ascii="宋体" w:hAnsi="宋体" w:cs="宋体"/>
          <w:color w:val="auto"/>
          <w:kern w:val="1"/>
          <w:szCs w:val="21"/>
        </w:rPr>
        <w:t>身份证号：</w:t>
      </w:r>
      <w:r>
        <w:rPr>
          <w:rFonts w:hint="eastAsia" w:ascii="宋体" w:hAnsi="宋体" w:cs="宋体"/>
          <w:color w:val="auto"/>
          <w:kern w:val="1"/>
          <w:szCs w:val="21"/>
          <w:u w:val="single"/>
        </w:rPr>
        <w:t xml:space="preserve">               </w:t>
      </w:r>
      <w:r>
        <w:rPr>
          <w:rFonts w:hint="eastAsia" w:ascii="宋体" w:hAnsi="宋体" w:cs="宋体"/>
          <w:color w:val="auto"/>
          <w:kern w:val="1"/>
          <w:szCs w:val="21"/>
        </w:rPr>
        <w:t>；</w:t>
      </w:r>
    </w:p>
    <w:p w14:paraId="435C2106">
      <w:pPr>
        <w:spacing w:line="360" w:lineRule="exact"/>
        <w:ind w:firstLine="420"/>
        <w:rPr>
          <w:rFonts w:hint="eastAsia" w:ascii="宋体" w:hAnsi="宋体" w:cs="宋体"/>
          <w:color w:val="auto"/>
          <w:kern w:val="1"/>
          <w:szCs w:val="21"/>
        </w:rPr>
      </w:pPr>
      <w:r>
        <w:rPr>
          <w:rFonts w:hint="eastAsia" w:ascii="宋体" w:hAnsi="宋体" w:cs="宋体"/>
          <w:color w:val="auto"/>
          <w:kern w:val="1"/>
          <w:szCs w:val="21"/>
        </w:rPr>
        <w:t>职    务：</w:t>
      </w:r>
      <w:r>
        <w:rPr>
          <w:rFonts w:hint="eastAsia" w:ascii="宋体" w:hAnsi="宋体" w:cs="宋体"/>
          <w:color w:val="auto"/>
          <w:kern w:val="1"/>
          <w:szCs w:val="21"/>
          <w:u w:val="single"/>
        </w:rPr>
        <w:t>            </w:t>
      </w:r>
      <w:r>
        <w:rPr>
          <w:rFonts w:hint="eastAsia" w:ascii="宋体" w:hAnsi="宋体" w:cs="宋体"/>
          <w:color w:val="auto"/>
          <w:kern w:val="1"/>
          <w:szCs w:val="21"/>
        </w:rPr>
        <w:t>；</w:t>
      </w:r>
    </w:p>
    <w:p w14:paraId="280D9B06">
      <w:pPr>
        <w:spacing w:line="360" w:lineRule="exact"/>
        <w:ind w:firstLine="420"/>
        <w:rPr>
          <w:rFonts w:hint="eastAsia" w:ascii="宋体" w:hAnsi="宋体" w:cs="宋体"/>
          <w:color w:val="auto"/>
          <w:kern w:val="1"/>
          <w:szCs w:val="21"/>
        </w:rPr>
      </w:pPr>
      <w:r>
        <w:rPr>
          <w:rFonts w:hint="eastAsia" w:ascii="宋体" w:hAnsi="宋体" w:cs="宋体"/>
          <w:color w:val="auto"/>
          <w:kern w:val="1"/>
          <w:szCs w:val="21"/>
        </w:rPr>
        <w:t>联系电话：</w:t>
      </w:r>
      <w:r>
        <w:rPr>
          <w:rFonts w:hint="eastAsia" w:ascii="宋体" w:hAnsi="宋体" w:cs="宋体"/>
          <w:color w:val="auto"/>
          <w:kern w:val="1"/>
          <w:szCs w:val="21"/>
          <w:u w:val="single"/>
        </w:rPr>
        <w:t>             </w:t>
      </w:r>
      <w:r>
        <w:rPr>
          <w:rFonts w:hint="eastAsia" w:ascii="宋体" w:hAnsi="宋体" w:cs="宋体"/>
          <w:color w:val="auto"/>
          <w:kern w:val="1"/>
          <w:szCs w:val="21"/>
        </w:rPr>
        <w:t>；</w:t>
      </w:r>
    </w:p>
    <w:p w14:paraId="39B6F7BB">
      <w:pPr>
        <w:spacing w:line="360" w:lineRule="exact"/>
        <w:ind w:firstLine="420"/>
        <w:rPr>
          <w:rFonts w:hint="eastAsia" w:ascii="宋体" w:hAnsi="宋体" w:cs="宋体"/>
          <w:color w:val="auto"/>
          <w:kern w:val="1"/>
          <w:szCs w:val="21"/>
        </w:rPr>
      </w:pPr>
      <w:r>
        <w:rPr>
          <w:rFonts w:hint="eastAsia" w:ascii="宋体" w:hAnsi="宋体" w:cs="宋体"/>
          <w:color w:val="auto"/>
          <w:kern w:val="1"/>
          <w:szCs w:val="21"/>
        </w:rPr>
        <w:t>电子信箱：</w:t>
      </w:r>
      <w:r>
        <w:rPr>
          <w:rFonts w:hint="eastAsia" w:ascii="宋体" w:hAnsi="宋体" w:cs="宋体"/>
          <w:color w:val="auto"/>
          <w:kern w:val="1"/>
          <w:szCs w:val="21"/>
          <w:u w:val="single"/>
        </w:rPr>
        <w:t>              </w:t>
      </w:r>
      <w:r>
        <w:rPr>
          <w:rFonts w:hint="eastAsia" w:ascii="宋体" w:hAnsi="宋体" w:cs="宋体"/>
          <w:color w:val="auto"/>
          <w:kern w:val="1"/>
          <w:szCs w:val="21"/>
        </w:rPr>
        <w:t>；</w:t>
      </w:r>
    </w:p>
    <w:p w14:paraId="038EA86E">
      <w:pPr>
        <w:spacing w:line="360" w:lineRule="exact"/>
        <w:ind w:firstLine="420"/>
        <w:rPr>
          <w:rFonts w:hint="eastAsia" w:ascii="宋体" w:hAnsi="宋体" w:cs="宋体"/>
          <w:color w:val="auto"/>
          <w:kern w:val="1"/>
          <w:szCs w:val="21"/>
        </w:rPr>
      </w:pPr>
      <w:r>
        <w:rPr>
          <w:rFonts w:hint="eastAsia" w:ascii="宋体" w:hAnsi="宋体" w:cs="宋体"/>
          <w:color w:val="auto"/>
          <w:kern w:val="1"/>
          <w:szCs w:val="21"/>
        </w:rPr>
        <w:t>通信地址：</w:t>
      </w:r>
      <w:r>
        <w:rPr>
          <w:rFonts w:hint="eastAsia" w:ascii="宋体" w:hAnsi="宋体" w:cs="宋体"/>
          <w:color w:val="auto"/>
          <w:kern w:val="1"/>
          <w:szCs w:val="21"/>
          <w:u w:val="single"/>
        </w:rPr>
        <w:t>                </w:t>
      </w:r>
      <w:r>
        <w:rPr>
          <w:rFonts w:hint="eastAsia" w:ascii="宋体" w:hAnsi="宋体" w:cs="宋体"/>
          <w:color w:val="auto"/>
          <w:kern w:val="1"/>
          <w:szCs w:val="21"/>
        </w:rPr>
        <w:t>。</w:t>
      </w:r>
    </w:p>
    <w:p w14:paraId="50AAB31F">
      <w:pPr>
        <w:spacing w:line="360" w:lineRule="exact"/>
        <w:ind w:firstLine="420"/>
        <w:rPr>
          <w:rFonts w:ascii="宋体" w:hAnsi="宋体" w:cs="宋体"/>
          <w:color w:val="auto"/>
          <w:kern w:val="1"/>
          <w:szCs w:val="21"/>
          <w:u w:val="single"/>
        </w:rPr>
      </w:pPr>
      <w:r>
        <w:rPr>
          <w:rFonts w:hint="eastAsia" w:ascii="宋体" w:hAnsi="宋体" w:cs="宋体"/>
          <w:color w:val="auto"/>
          <w:kern w:val="1"/>
          <w:szCs w:val="21"/>
        </w:rPr>
        <w:t>发包人对发包人代表的授权范围如下：</w:t>
      </w:r>
      <w:r>
        <w:rPr>
          <w:rFonts w:hint="eastAsia" w:ascii="宋体" w:hAnsi="宋体" w:cs="宋体"/>
          <w:color w:val="auto"/>
          <w:kern w:val="1"/>
          <w:szCs w:val="21"/>
          <w:u w:val="single"/>
        </w:rPr>
        <w:t>合同约定范围内的权利、义务（可授权代理人履行）</w:t>
      </w:r>
      <w:r>
        <w:rPr>
          <w:rFonts w:hint="eastAsia" w:ascii="宋体" w:hAnsi="宋体" w:cs="宋体"/>
          <w:color w:val="auto"/>
          <w:kern w:val="1"/>
          <w:szCs w:val="21"/>
        </w:rPr>
        <w:t>。</w:t>
      </w:r>
    </w:p>
    <w:p w14:paraId="3747A008">
      <w:pPr>
        <w:pStyle w:val="5"/>
        <w:keepNext w:val="0"/>
        <w:spacing w:line="360" w:lineRule="exact"/>
        <w:rPr>
          <w:rFonts w:ascii="宋体" w:hAnsi="宋体" w:cs="宋体"/>
          <w:color w:val="auto"/>
          <w:sz w:val="21"/>
          <w:szCs w:val="21"/>
          <w:lang w:val="zh-CN"/>
        </w:rPr>
      </w:pPr>
      <w:bookmarkStart w:id="720" w:name="_Toc373227704"/>
      <w:bookmarkEnd w:id="720"/>
      <w:bookmarkStart w:id="721" w:name="_Toc373478351"/>
      <w:bookmarkEnd w:id="721"/>
      <w:bookmarkStart w:id="722" w:name="_Toc406054742"/>
      <w:bookmarkEnd w:id="722"/>
      <w:bookmarkStart w:id="723" w:name="_Toc11157"/>
      <w:bookmarkStart w:id="724" w:name="_Toc17134"/>
      <w:bookmarkStart w:id="725" w:name="_Toc9604"/>
      <w:bookmarkStart w:id="726" w:name="_Toc31616"/>
      <w:bookmarkStart w:id="727" w:name="_Toc30371"/>
      <w:r>
        <w:rPr>
          <w:rFonts w:ascii="宋体" w:hAnsi="宋体" w:cs="宋体"/>
          <w:color w:val="auto"/>
          <w:sz w:val="21"/>
          <w:szCs w:val="21"/>
          <w:lang w:val="zh-CN"/>
        </w:rPr>
        <w:t>2.4 施工现场、施工条件和基础资料的提供</w:t>
      </w:r>
      <w:bookmarkEnd w:id="723"/>
      <w:bookmarkEnd w:id="724"/>
      <w:bookmarkEnd w:id="725"/>
      <w:bookmarkEnd w:id="726"/>
      <w:bookmarkEnd w:id="727"/>
    </w:p>
    <w:p w14:paraId="173D9CCD">
      <w:pPr>
        <w:spacing w:line="360" w:lineRule="exact"/>
        <w:ind w:firstLine="420"/>
        <w:rPr>
          <w:rFonts w:ascii="宋体" w:hAnsi="宋体" w:cs="宋体"/>
          <w:color w:val="auto"/>
          <w:kern w:val="1"/>
          <w:szCs w:val="21"/>
        </w:rPr>
      </w:pPr>
      <w:r>
        <w:rPr>
          <w:rFonts w:ascii="宋体" w:hAnsi="宋体" w:cs="宋体"/>
          <w:color w:val="auto"/>
          <w:kern w:val="1"/>
          <w:szCs w:val="21"/>
        </w:rPr>
        <w:t>2.4.1 提供施工现场</w:t>
      </w:r>
    </w:p>
    <w:p w14:paraId="6DDC10FA">
      <w:pPr>
        <w:spacing w:line="360" w:lineRule="exact"/>
        <w:ind w:firstLine="420"/>
        <w:jc w:val="left"/>
        <w:rPr>
          <w:rFonts w:ascii="宋体" w:hAnsi="宋体" w:cs="宋体"/>
          <w:color w:val="auto"/>
          <w:kern w:val="1"/>
          <w:szCs w:val="21"/>
        </w:rPr>
      </w:pPr>
      <w:r>
        <w:rPr>
          <w:rFonts w:ascii="宋体" w:hAnsi="宋体" w:cs="宋体"/>
          <w:color w:val="auto"/>
          <w:kern w:val="1"/>
          <w:szCs w:val="21"/>
        </w:rPr>
        <w:t>关于发包人移交施工现场的期限要求：</w:t>
      </w:r>
      <w:r>
        <w:rPr>
          <w:rFonts w:hint="eastAsia" w:ascii="宋体" w:hAnsi="宋体" w:cs="宋体"/>
          <w:color w:val="auto"/>
          <w:kern w:val="1"/>
          <w:szCs w:val="21"/>
        </w:rPr>
        <w:t>双方确认</w:t>
      </w:r>
      <w:r>
        <w:rPr>
          <w:rFonts w:hint="eastAsia" w:ascii="宋体" w:hAnsi="宋体" w:cs="宋体"/>
          <w:color w:val="auto"/>
          <w:kern w:val="1"/>
          <w:szCs w:val="21"/>
          <w:u w:val="single"/>
        </w:rPr>
        <w:t>开工日期前七天</w:t>
      </w:r>
      <w:r>
        <w:rPr>
          <w:rFonts w:ascii="宋体" w:hAnsi="宋体" w:cs="宋体"/>
          <w:color w:val="auto"/>
          <w:kern w:val="1"/>
          <w:szCs w:val="21"/>
        </w:rPr>
        <w:t>。</w:t>
      </w:r>
    </w:p>
    <w:p w14:paraId="3B2E2277">
      <w:pPr>
        <w:spacing w:line="360" w:lineRule="exact"/>
        <w:ind w:firstLine="420"/>
        <w:rPr>
          <w:rFonts w:ascii="宋体" w:hAnsi="宋体" w:cs="宋体"/>
          <w:color w:val="auto"/>
          <w:kern w:val="1"/>
          <w:szCs w:val="21"/>
        </w:rPr>
      </w:pPr>
      <w:r>
        <w:rPr>
          <w:rFonts w:ascii="宋体" w:hAnsi="宋体" w:cs="宋体"/>
          <w:color w:val="auto"/>
          <w:kern w:val="1"/>
          <w:szCs w:val="21"/>
        </w:rPr>
        <w:t>2.4.2 提供施工条件</w:t>
      </w:r>
    </w:p>
    <w:p w14:paraId="6185409F">
      <w:pPr>
        <w:spacing w:line="360" w:lineRule="exact"/>
        <w:ind w:firstLine="420"/>
        <w:rPr>
          <w:rFonts w:ascii="宋体" w:hAnsi="宋体" w:cs="宋体"/>
          <w:color w:val="auto"/>
          <w:kern w:val="1"/>
          <w:szCs w:val="21"/>
          <w:u w:val="single"/>
        </w:rPr>
      </w:pPr>
      <w:r>
        <w:rPr>
          <w:rFonts w:ascii="宋体" w:hAnsi="宋体" w:cs="宋体"/>
          <w:color w:val="auto"/>
          <w:kern w:val="1"/>
          <w:szCs w:val="21"/>
        </w:rPr>
        <w:t>关于发包人应负责提供施工所需要的条件，包括：</w:t>
      </w:r>
      <w:r>
        <w:rPr>
          <w:rFonts w:hint="eastAsia" w:ascii="宋体" w:hAnsi="宋体" w:cs="宋体"/>
          <w:color w:val="auto"/>
          <w:kern w:val="1"/>
          <w:szCs w:val="21"/>
          <w:u w:val="single"/>
        </w:rPr>
        <w:t>水通、电通、道路通，但费用由承包人承担，施工用水、用电开户由承包方自行解决，发包人可协助办理相关手续</w:t>
      </w:r>
      <w:r>
        <w:rPr>
          <w:rFonts w:ascii="宋体" w:hAnsi="宋体" w:cs="宋体"/>
          <w:color w:val="auto"/>
          <w:kern w:val="1"/>
          <w:szCs w:val="21"/>
        </w:rPr>
        <w:t>。</w:t>
      </w:r>
    </w:p>
    <w:p w14:paraId="5525AF5A">
      <w:pPr>
        <w:pStyle w:val="5"/>
        <w:keepNext w:val="0"/>
        <w:spacing w:line="360" w:lineRule="exact"/>
        <w:rPr>
          <w:rFonts w:ascii="宋体" w:hAnsi="宋体" w:cs="宋体"/>
          <w:color w:val="auto"/>
          <w:sz w:val="21"/>
          <w:szCs w:val="21"/>
          <w:lang w:val="zh-CN"/>
        </w:rPr>
      </w:pPr>
      <w:bookmarkStart w:id="728" w:name="_Toc373478352"/>
      <w:bookmarkEnd w:id="728"/>
      <w:bookmarkStart w:id="729" w:name="_Toc373227705"/>
      <w:bookmarkEnd w:id="729"/>
      <w:bookmarkStart w:id="730" w:name="_Toc406054743"/>
      <w:bookmarkEnd w:id="730"/>
      <w:bookmarkStart w:id="731" w:name="_Toc7234"/>
      <w:bookmarkStart w:id="732" w:name="_Toc32653"/>
      <w:bookmarkStart w:id="733" w:name="_Toc7286"/>
      <w:bookmarkStart w:id="734" w:name="_Toc8239"/>
      <w:bookmarkStart w:id="735" w:name="_Toc15570"/>
      <w:r>
        <w:rPr>
          <w:rFonts w:ascii="宋体" w:hAnsi="宋体" w:cs="宋体"/>
          <w:color w:val="auto"/>
          <w:sz w:val="21"/>
          <w:szCs w:val="21"/>
          <w:lang w:val="zh-CN"/>
        </w:rPr>
        <w:t>2.5 资金来源证明及支付担保</w:t>
      </w:r>
      <w:bookmarkEnd w:id="731"/>
      <w:bookmarkEnd w:id="732"/>
      <w:bookmarkEnd w:id="733"/>
      <w:bookmarkEnd w:id="734"/>
      <w:bookmarkEnd w:id="735"/>
    </w:p>
    <w:p w14:paraId="56896C17">
      <w:pPr>
        <w:spacing w:line="360" w:lineRule="exact"/>
        <w:ind w:firstLine="420"/>
        <w:rPr>
          <w:rFonts w:ascii="宋体" w:hAnsi="宋体" w:cs="宋体"/>
          <w:color w:val="auto"/>
          <w:kern w:val="1"/>
          <w:szCs w:val="21"/>
        </w:rPr>
      </w:pPr>
      <w:r>
        <w:rPr>
          <w:rFonts w:ascii="宋体" w:hAnsi="宋体" w:cs="宋体"/>
          <w:color w:val="auto"/>
          <w:kern w:val="1"/>
          <w:szCs w:val="21"/>
        </w:rPr>
        <w:t>发包人提供资金来源证明的期限要求：</w:t>
      </w:r>
      <w:r>
        <w:rPr>
          <w:rFonts w:hint="eastAsia" w:ascii="宋体" w:hAnsi="宋体" w:cs="宋体"/>
          <w:color w:val="auto"/>
          <w:kern w:val="1"/>
          <w:szCs w:val="21"/>
        </w:rPr>
        <w:t>双方确认</w:t>
      </w:r>
      <w:r>
        <w:rPr>
          <w:rFonts w:hint="eastAsia" w:ascii="宋体" w:hAnsi="宋体" w:cs="宋体"/>
          <w:color w:val="auto"/>
          <w:kern w:val="1"/>
          <w:szCs w:val="21"/>
          <w:u w:val="single"/>
        </w:rPr>
        <w:t>开工日期前七天</w:t>
      </w:r>
      <w:r>
        <w:rPr>
          <w:rFonts w:ascii="宋体" w:hAnsi="宋体" w:cs="宋体"/>
          <w:color w:val="auto"/>
          <w:kern w:val="1"/>
          <w:szCs w:val="21"/>
        </w:rPr>
        <w:t>。</w:t>
      </w:r>
    </w:p>
    <w:p w14:paraId="7BEB55B3">
      <w:pPr>
        <w:spacing w:line="360" w:lineRule="exact"/>
        <w:ind w:firstLine="420"/>
        <w:rPr>
          <w:rFonts w:ascii="宋体" w:hAnsi="宋体" w:cs="宋体"/>
          <w:color w:val="auto"/>
          <w:kern w:val="1"/>
          <w:szCs w:val="21"/>
        </w:rPr>
      </w:pPr>
      <w:r>
        <w:rPr>
          <w:rFonts w:ascii="宋体" w:hAnsi="宋体" w:cs="宋体"/>
          <w:color w:val="auto"/>
          <w:kern w:val="1"/>
          <w:szCs w:val="21"/>
        </w:rPr>
        <w:t>发包人是否提供支付担保：</w:t>
      </w:r>
      <w:r>
        <w:rPr>
          <w:rFonts w:hint="eastAsia" w:ascii="宋体" w:hAnsi="宋体" w:cs="宋体"/>
          <w:color w:val="auto"/>
          <w:kern w:val="1"/>
          <w:szCs w:val="21"/>
          <w:u w:val="single"/>
        </w:rPr>
        <w:t>否</w:t>
      </w:r>
      <w:r>
        <w:rPr>
          <w:rFonts w:ascii="宋体" w:hAnsi="宋体" w:cs="宋体"/>
          <w:color w:val="auto"/>
          <w:kern w:val="1"/>
          <w:szCs w:val="21"/>
        </w:rPr>
        <w:t>。</w:t>
      </w:r>
    </w:p>
    <w:p w14:paraId="3084CA4F">
      <w:pPr>
        <w:spacing w:line="360" w:lineRule="exact"/>
        <w:ind w:firstLine="420"/>
        <w:rPr>
          <w:rFonts w:ascii="宋体" w:hAnsi="宋体" w:cs="宋体"/>
          <w:color w:val="auto"/>
          <w:kern w:val="1"/>
          <w:szCs w:val="21"/>
          <w:u w:val="single"/>
        </w:rPr>
      </w:pPr>
      <w:r>
        <w:rPr>
          <w:rFonts w:ascii="宋体" w:hAnsi="宋体" w:cs="宋体"/>
          <w:color w:val="auto"/>
          <w:kern w:val="1"/>
          <w:szCs w:val="21"/>
        </w:rPr>
        <w:t>发包人提供支付担保的形式：</w:t>
      </w:r>
      <w:r>
        <w:rPr>
          <w:rFonts w:hint="eastAsia" w:ascii="宋体" w:hAnsi="宋体" w:cs="宋体"/>
          <w:color w:val="auto"/>
          <w:kern w:val="1"/>
          <w:szCs w:val="21"/>
          <w:u w:val="single"/>
        </w:rPr>
        <w:t>否</w:t>
      </w:r>
      <w:r>
        <w:rPr>
          <w:rFonts w:ascii="宋体" w:hAnsi="宋体" w:cs="宋体"/>
          <w:color w:val="auto"/>
          <w:kern w:val="1"/>
          <w:szCs w:val="21"/>
        </w:rPr>
        <w:t>。</w:t>
      </w:r>
    </w:p>
    <w:p w14:paraId="377932C6">
      <w:pPr>
        <w:pStyle w:val="5"/>
        <w:keepNext w:val="0"/>
        <w:spacing w:line="360" w:lineRule="exact"/>
        <w:rPr>
          <w:rFonts w:ascii="宋体" w:hAnsi="宋体" w:cs="宋体"/>
          <w:color w:val="auto"/>
          <w:sz w:val="21"/>
          <w:szCs w:val="21"/>
          <w:lang w:val="zh-CN"/>
        </w:rPr>
      </w:pPr>
      <w:bookmarkStart w:id="736" w:name="_Toc373478353"/>
      <w:bookmarkEnd w:id="736"/>
      <w:bookmarkStart w:id="737" w:name="_Toc406054744"/>
      <w:bookmarkEnd w:id="737"/>
      <w:bookmarkStart w:id="738" w:name="_Toc373227706"/>
      <w:bookmarkEnd w:id="738"/>
      <w:bookmarkStart w:id="739" w:name="_Toc22435"/>
      <w:bookmarkStart w:id="740" w:name="_Toc25389"/>
      <w:bookmarkStart w:id="741" w:name="_Toc29896"/>
      <w:bookmarkStart w:id="742" w:name="_Toc32630"/>
      <w:bookmarkStart w:id="743" w:name="_Toc13814"/>
      <w:r>
        <w:rPr>
          <w:rFonts w:ascii="宋体" w:hAnsi="宋体" w:cs="宋体"/>
          <w:color w:val="auto"/>
          <w:sz w:val="21"/>
          <w:szCs w:val="21"/>
          <w:lang w:val="zh-CN"/>
        </w:rPr>
        <w:t>3. 承包人</w:t>
      </w:r>
      <w:bookmarkEnd w:id="739"/>
      <w:bookmarkEnd w:id="740"/>
      <w:bookmarkEnd w:id="741"/>
      <w:bookmarkEnd w:id="742"/>
      <w:bookmarkEnd w:id="743"/>
    </w:p>
    <w:p w14:paraId="64490986">
      <w:pPr>
        <w:pStyle w:val="5"/>
        <w:keepNext w:val="0"/>
        <w:spacing w:line="360" w:lineRule="exact"/>
        <w:rPr>
          <w:rFonts w:ascii="宋体" w:hAnsi="宋体" w:cs="宋体"/>
          <w:color w:val="auto"/>
          <w:sz w:val="21"/>
          <w:szCs w:val="21"/>
          <w:lang w:val="zh-CN"/>
        </w:rPr>
      </w:pPr>
      <w:bookmarkStart w:id="744" w:name="_Toc406054745"/>
      <w:bookmarkEnd w:id="744"/>
      <w:bookmarkStart w:id="745" w:name="_Toc373478354"/>
      <w:bookmarkEnd w:id="745"/>
      <w:bookmarkStart w:id="746" w:name="_Toc373227707"/>
      <w:bookmarkEnd w:id="746"/>
      <w:bookmarkStart w:id="747" w:name="_Toc7455"/>
      <w:bookmarkStart w:id="748" w:name="_Toc11315"/>
      <w:bookmarkStart w:id="749" w:name="_Toc30331"/>
      <w:bookmarkStart w:id="750" w:name="_Toc19102"/>
      <w:bookmarkStart w:id="751" w:name="_Toc781"/>
      <w:r>
        <w:rPr>
          <w:rFonts w:ascii="宋体" w:hAnsi="宋体" w:cs="宋体"/>
          <w:color w:val="auto"/>
          <w:sz w:val="21"/>
          <w:szCs w:val="21"/>
          <w:lang w:val="zh-CN"/>
        </w:rPr>
        <w:t>3.1 承包人的一般义务</w:t>
      </w:r>
      <w:bookmarkEnd w:id="747"/>
      <w:bookmarkEnd w:id="748"/>
      <w:bookmarkEnd w:id="749"/>
      <w:bookmarkEnd w:id="750"/>
      <w:bookmarkEnd w:id="751"/>
    </w:p>
    <w:p w14:paraId="14F71C9B">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（5）承包人提交的竣工资料的内容：</w:t>
      </w:r>
      <w:r>
        <w:rPr>
          <w:rFonts w:hint="eastAsia" w:ascii="宋体" w:hAnsi="宋体" w:cs="宋体"/>
          <w:color w:val="auto"/>
          <w:kern w:val="1"/>
          <w:szCs w:val="21"/>
          <w:u w:val="single"/>
        </w:rPr>
        <w:t>符合竣工验收要求的竣工图、施工管理资料、施工技术资料及国家、地方规定的其他资料</w:t>
      </w:r>
      <w:r>
        <w:rPr>
          <w:rFonts w:ascii="宋体" w:hAnsi="宋体" w:cs="宋体"/>
          <w:color w:val="auto"/>
          <w:kern w:val="1"/>
          <w:szCs w:val="21"/>
        </w:rPr>
        <w:t xml:space="preserve">。 </w:t>
      </w:r>
    </w:p>
    <w:p w14:paraId="2550DA42">
      <w:pPr>
        <w:spacing w:line="360" w:lineRule="exact"/>
        <w:ind w:firstLine="420"/>
        <w:jc w:val="left"/>
        <w:rPr>
          <w:rFonts w:ascii="宋体" w:hAnsi="宋体" w:cs="宋体"/>
          <w:color w:val="auto"/>
          <w:kern w:val="1"/>
          <w:szCs w:val="21"/>
        </w:rPr>
      </w:pPr>
      <w:r>
        <w:rPr>
          <w:rFonts w:ascii="宋体" w:hAnsi="宋体" w:cs="宋体"/>
          <w:color w:val="auto"/>
          <w:kern w:val="1"/>
          <w:szCs w:val="21"/>
        </w:rPr>
        <w:t>承包人需要提交的竣工资料套数：</w:t>
      </w:r>
      <w:r>
        <w:rPr>
          <w:rFonts w:hint="eastAsia" w:ascii="宋体" w:hAnsi="宋体" w:cs="宋体"/>
          <w:color w:val="auto"/>
          <w:kern w:val="1"/>
          <w:szCs w:val="21"/>
          <w:u w:val="single"/>
        </w:rPr>
        <w:t>一式肆份</w:t>
      </w:r>
      <w:r>
        <w:rPr>
          <w:rFonts w:ascii="宋体" w:hAnsi="宋体" w:cs="宋体"/>
          <w:color w:val="auto"/>
          <w:kern w:val="1"/>
          <w:szCs w:val="21"/>
        </w:rPr>
        <w:t>。</w:t>
      </w:r>
    </w:p>
    <w:p w14:paraId="0BB62517">
      <w:pPr>
        <w:spacing w:line="360" w:lineRule="exact"/>
        <w:ind w:firstLine="420" w:firstLineChars="200"/>
        <w:jc w:val="left"/>
        <w:rPr>
          <w:rFonts w:ascii="宋体" w:hAnsi="宋体" w:cs="宋体"/>
          <w:color w:val="auto"/>
          <w:kern w:val="1"/>
          <w:szCs w:val="21"/>
        </w:rPr>
      </w:pPr>
      <w:r>
        <w:rPr>
          <w:rFonts w:ascii="宋体" w:hAnsi="宋体" w:cs="宋体"/>
          <w:color w:val="auto"/>
          <w:kern w:val="1"/>
          <w:szCs w:val="21"/>
        </w:rPr>
        <w:t>承包人提交的竣工资料的费用承担：</w:t>
      </w:r>
      <w:r>
        <w:rPr>
          <w:rFonts w:hint="eastAsia" w:ascii="宋体" w:hAnsi="宋体" w:cs="宋体"/>
          <w:color w:val="auto"/>
          <w:kern w:val="1"/>
          <w:szCs w:val="21"/>
          <w:u w:val="single"/>
        </w:rPr>
        <w:t>承包人承担</w:t>
      </w:r>
      <w:r>
        <w:rPr>
          <w:rFonts w:ascii="宋体" w:hAnsi="宋体" w:cs="宋体"/>
          <w:color w:val="auto"/>
          <w:kern w:val="1"/>
          <w:szCs w:val="21"/>
        </w:rPr>
        <w:t>。</w:t>
      </w:r>
    </w:p>
    <w:p w14:paraId="3FFAE34E">
      <w:pPr>
        <w:spacing w:line="360" w:lineRule="exact"/>
        <w:ind w:firstLine="420" w:firstLineChars="200"/>
        <w:jc w:val="left"/>
        <w:rPr>
          <w:rFonts w:ascii="宋体" w:hAnsi="宋体" w:cs="宋体"/>
          <w:color w:val="auto"/>
          <w:kern w:val="1"/>
          <w:szCs w:val="21"/>
        </w:rPr>
      </w:pPr>
      <w:r>
        <w:rPr>
          <w:rFonts w:ascii="宋体" w:hAnsi="宋体" w:cs="宋体"/>
          <w:color w:val="auto"/>
          <w:kern w:val="1"/>
          <w:szCs w:val="21"/>
        </w:rPr>
        <w:t>承包人提交的竣工资料移交时间：</w:t>
      </w:r>
      <w:r>
        <w:rPr>
          <w:rFonts w:hint="eastAsia" w:ascii="宋体" w:hAnsi="宋体" w:cs="宋体"/>
          <w:color w:val="auto"/>
          <w:kern w:val="1"/>
          <w:szCs w:val="21"/>
          <w:u w:val="single"/>
        </w:rPr>
        <w:t>竣工验收通过后7天内</w:t>
      </w:r>
      <w:r>
        <w:rPr>
          <w:rFonts w:ascii="宋体" w:hAnsi="宋体" w:cs="宋体"/>
          <w:color w:val="auto"/>
          <w:kern w:val="1"/>
          <w:szCs w:val="21"/>
        </w:rPr>
        <w:t>。</w:t>
      </w:r>
    </w:p>
    <w:p w14:paraId="50158D6A">
      <w:pPr>
        <w:spacing w:line="360" w:lineRule="exact"/>
        <w:ind w:firstLine="420"/>
        <w:jc w:val="left"/>
        <w:rPr>
          <w:rFonts w:ascii="宋体" w:hAnsi="宋体" w:cs="宋体"/>
          <w:color w:val="auto"/>
          <w:kern w:val="1"/>
          <w:szCs w:val="21"/>
        </w:rPr>
      </w:pPr>
      <w:r>
        <w:rPr>
          <w:rFonts w:ascii="宋体" w:hAnsi="宋体" w:cs="宋体"/>
          <w:color w:val="auto"/>
          <w:kern w:val="1"/>
          <w:szCs w:val="21"/>
        </w:rPr>
        <w:t>承包人提交的竣工资料形式要求：</w:t>
      </w:r>
      <w:r>
        <w:rPr>
          <w:rFonts w:hint="eastAsia" w:ascii="宋体" w:hAnsi="宋体" w:cs="宋体"/>
          <w:color w:val="auto"/>
          <w:kern w:val="1"/>
          <w:szCs w:val="21"/>
          <w:u w:val="single"/>
        </w:rPr>
        <w:t>纸质资料，同时竣工图提供电子版</w:t>
      </w:r>
      <w:r>
        <w:rPr>
          <w:rFonts w:ascii="宋体" w:hAnsi="宋体" w:cs="宋体"/>
          <w:color w:val="auto"/>
          <w:kern w:val="1"/>
          <w:szCs w:val="21"/>
        </w:rPr>
        <w:t>。</w:t>
      </w:r>
    </w:p>
    <w:p w14:paraId="02AC6C85">
      <w:pPr>
        <w:spacing w:line="360" w:lineRule="exact"/>
        <w:ind w:firstLine="420"/>
        <w:rPr>
          <w:rFonts w:ascii="宋体" w:hAnsi="宋体" w:cs="宋体"/>
          <w:color w:val="auto"/>
          <w:kern w:val="1"/>
          <w:szCs w:val="21"/>
        </w:rPr>
      </w:pPr>
      <w:r>
        <w:rPr>
          <w:rFonts w:ascii="宋体" w:hAnsi="宋体" w:cs="宋体"/>
          <w:color w:val="auto"/>
          <w:kern w:val="1"/>
          <w:szCs w:val="21"/>
        </w:rPr>
        <w:t>（6）承包人应履行的其他义务：</w:t>
      </w:r>
    </w:p>
    <w:p w14:paraId="4A027F2A">
      <w:pPr>
        <w:pStyle w:val="5"/>
        <w:keepNext w:val="0"/>
        <w:keepLines w:val="0"/>
        <w:spacing w:line="360" w:lineRule="exact"/>
        <w:ind w:firstLine="420" w:firstLineChars="200"/>
        <w:rPr>
          <w:rFonts w:hint="eastAsia" w:ascii="宋体" w:hAnsi="宋体" w:cs="宋体"/>
          <w:b w:val="0"/>
          <w:color w:val="auto"/>
          <w:kern w:val="1"/>
          <w:sz w:val="21"/>
          <w:szCs w:val="21"/>
          <w:u w:val="single"/>
        </w:rPr>
      </w:pPr>
      <w:bookmarkStart w:id="752" w:name="_Toc373478355"/>
      <w:bookmarkEnd w:id="752"/>
      <w:bookmarkStart w:id="753" w:name="_Toc373227708"/>
      <w:bookmarkEnd w:id="753"/>
      <w:bookmarkStart w:id="754" w:name="_Toc406054746"/>
      <w:bookmarkEnd w:id="754"/>
      <w:bookmarkStart w:id="755" w:name="_Toc18459"/>
      <w:bookmarkStart w:id="756" w:name="_Toc13424"/>
      <w:bookmarkStart w:id="757" w:name="_Toc20478"/>
      <w:bookmarkStart w:id="758" w:name="_Toc30340"/>
      <w:bookmarkStart w:id="759" w:name="_Toc7486"/>
      <w:r>
        <w:rPr>
          <w:rFonts w:hint="eastAsia" w:ascii="宋体" w:hAnsi="宋体" w:cs="宋体"/>
          <w:b w:val="0"/>
          <w:color w:val="auto"/>
          <w:kern w:val="1"/>
          <w:sz w:val="21"/>
          <w:szCs w:val="21"/>
          <w:u w:val="single"/>
        </w:rPr>
        <w:t>1、协助发包人做好施工所需的条件、报监报建手续及其他政府部门需要的报批手续，告知义务。2、按时足额将农民工工资保障金存入建设行政主管部门指定的账户，对农民工工资保障金的使用做出承诺。</w:t>
      </w:r>
      <w:r>
        <w:rPr>
          <w:rFonts w:hint="eastAsia" w:ascii="宋体" w:hAnsi="宋体" w:cs="宋体"/>
          <w:color w:val="auto"/>
          <w:kern w:val="1"/>
          <w:sz w:val="21"/>
          <w:szCs w:val="21"/>
          <w:u w:val="single"/>
        </w:rPr>
        <w:t>3、承包人应按发包人的指令，完成发包人要求的对工程内容的任何增加和减少；4、承包人进入现场施工，要做好现场安全文明施工工作。现场运输材料、堆放材料等造成路面的污染，承包人应该有专人负责跟踪打扫；现场施工及生活垃圾产生的垃圾应该有人清理；5、承包人应负责提供完成合同所需的劳务、材料、施工设备、工程设备和其他物品。</w:t>
      </w:r>
      <w:r>
        <w:rPr>
          <w:rFonts w:hint="eastAsia" w:ascii="宋体" w:hAnsi="宋体" w:cs="宋体"/>
          <w:b w:val="0"/>
          <w:color w:val="auto"/>
          <w:kern w:val="1"/>
          <w:sz w:val="21"/>
          <w:szCs w:val="21"/>
          <w:u w:val="single"/>
        </w:rPr>
        <w:t>不尽事宜由双方另行协商确定。</w:t>
      </w:r>
      <w:bookmarkEnd w:id="755"/>
      <w:bookmarkEnd w:id="756"/>
      <w:bookmarkEnd w:id="757"/>
      <w:bookmarkEnd w:id="758"/>
    </w:p>
    <w:p w14:paraId="09FE1089">
      <w:pPr>
        <w:pStyle w:val="5"/>
        <w:keepNext w:val="0"/>
        <w:keepLines w:val="0"/>
        <w:spacing w:line="360" w:lineRule="exact"/>
        <w:ind w:firstLine="420" w:firstLineChars="200"/>
        <w:rPr>
          <w:rFonts w:hint="eastAsia" w:ascii="宋体" w:hAnsi="宋体" w:cs="宋体"/>
          <w:b w:val="0"/>
          <w:color w:val="auto"/>
          <w:kern w:val="1"/>
          <w:sz w:val="21"/>
          <w:szCs w:val="21"/>
          <w:u w:val="single"/>
          <w:lang w:val="zh-CN"/>
        </w:rPr>
      </w:pPr>
      <w:bookmarkStart w:id="760" w:name="_Toc19073"/>
      <w:bookmarkStart w:id="761" w:name="_Toc26230"/>
      <w:bookmarkStart w:id="762" w:name="_Toc16518"/>
      <w:bookmarkStart w:id="763" w:name="_Toc29590"/>
      <w:r>
        <w:rPr>
          <w:rFonts w:hint="eastAsia" w:ascii="宋体" w:hAnsi="宋体" w:cs="宋体"/>
          <w:b w:val="0"/>
          <w:color w:val="auto"/>
          <w:kern w:val="1"/>
          <w:sz w:val="21"/>
          <w:szCs w:val="21"/>
          <w:u w:val="single"/>
          <w:lang w:val="zh-CN"/>
        </w:rPr>
        <w:t xml:space="preserve">3.2 </w:t>
      </w:r>
      <w:r>
        <w:rPr>
          <w:rFonts w:hint="eastAsia" w:ascii="宋体" w:hAnsi="宋体" w:cs="宋体"/>
          <w:b w:val="0"/>
          <w:color w:val="auto"/>
          <w:kern w:val="1"/>
          <w:sz w:val="21"/>
          <w:szCs w:val="21"/>
          <w:u w:val="single"/>
        </w:rPr>
        <w:t>承包人</w:t>
      </w:r>
      <w:r>
        <w:rPr>
          <w:rFonts w:hint="eastAsia" w:ascii="宋体" w:hAnsi="宋体" w:cs="宋体"/>
          <w:b w:val="0"/>
          <w:color w:val="auto"/>
          <w:kern w:val="1"/>
          <w:sz w:val="21"/>
          <w:szCs w:val="21"/>
          <w:u w:val="single"/>
          <w:lang w:val="zh-CN"/>
        </w:rPr>
        <w:t>项目经理</w:t>
      </w:r>
      <w:bookmarkEnd w:id="759"/>
      <w:bookmarkEnd w:id="760"/>
      <w:bookmarkEnd w:id="761"/>
      <w:bookmarkEnd w:id="762"/>
      <w:bookmarkEnd w:id="763"/>
    </w:p>
    <w:p w14:paraId="2CC61CC0">
      <w:pPr>
        <w:spacing w:line="360" w:lineRule="exact"/>
        <w:ind w:firstLine="420"/>
        <w:rPr>
          <w:rFonts w:ascii="宋体" w:hAnsi="宋体" w:cs="宋体"/>
          <w:color w:val="auto"/>
          <w:kern w:val="1"/>
          <w:szCs w:val="21"/>
        </w:rPr>
      </w:pPr>
      <w:r>
        <w:rPr>
          <w:rFonts w:ascii="宋体" w:hAnsi="宋体" w:cs="宋体"/>
          <w:color w:val="auto"/>
          <w:kern w:val="1"/>
          <w:szCs w:val="21"/>
        </w:rPr>
        <w:t>3.2.1 项目经理：</w:t>
      </w:r>
    </w:p>
    <w:p w14:paraId="553B5C02">
      <w:pPr>
        <w:spacing w:line="360" w:lineRule="exact"/>
        <w:ind w:firstLine="420"/>
        <w:rPr>
          <w:rFonts w:ascii="宋体" w:hAnsi="宋体" w:cs="宋体"/>
          <w:color w:val="auto"/>
          <w:kern w:val="1"/>
          <w:szCs w:val="21"/>
        </w:rPr>
      </w:pPr>
      <w:r>
        <w:rPr>
          <w:rFonts w:ascii="宋体" w:hAnsi="宋体" w:cs="宋体"/>
          <w:color w:val="auto"/>
          <w:kern w:val="1"/>
          <w:szCs w:val="21"/>
        </w:rPr>
        <w:t>姓    名：</w:t>
      </w:r>
      <w:r>
        <w:rPr>
          <w:rFonts w:hint="eastAsia" w:ascii="宋体" w:hAnsi="宋体" w:cs="宋体"/>
          <w:color w:val="auto"/>
          <w:kern w:val="1"/>
          <w:szCs w:val="21"/>
          <w:u w:val="single"/>
        </w:rPr>
        <w:t xml:space="preserve">              </w:t>
      </w:r>
      <w:r>
        <w:rPr>
          <w:rFonts w:ascii="宋体" w:hAnsi="宋体" w:cs="宋体"/>
          <w:color w:val="auto"/>
          <w:kern w:val="1"/>
          <w:szCs w:val="21"/>
        </w:rPr>
        <w:t>；</w:t>
      </w:r>
    </w:p>
    <w:p w14:paraId="123A2E45">
      <w:pPr>
        <w:spacing w:line="360" w:lineRule="exact"/>
        <w:ind w:firstLine="420"/>
        <w:rPr>
          <w:rFonts w:ascii="宋体" w:hAnsi="宋体" w:cs="宋体"/>
          <w:color w:val="auto"/>
          <w:kern w:val="1"/>
          <w:szCs w:val="21"/>
        </w:rPr>
      </w:pPr>
      <w:r>
        <w:rPr>
          <w:rFonts w:ascii="宋体" w:hAnsi="宋体" w:cs="宋体"/>
          <w:color w:val="auto"/>
          <w:kern w:val="1"/>
          <w:szCs w:val="21"/>
        </w:rPr>
        <w:t>身份证号：</w:t>
      </w:r>
      <w:r>
        <w:rPr>
          <w:rFonts w:hint="eastAsia" w:ascii="宋体" w:hAnsi="宋体" w:cs="宋体"/>
          <w:color w:val="auto"/>
          <w:kern w:val="1"/>
          <w:szCs w:val="21"/>
          <w:u w:val="single"/>
        </w:rPr>
        <w:t xml:space="preserve">                  </w:t>
      </w:r>
      <w:r>
        <w:rPr>
          <w:rFonts w:ascii="宋体" w:hAnsi="宋体" w:cs="宋体"/>
          <w:color w:val="auto"/>
          <w:kern w:val="1"/>
          <w:szCs w:val="21"/>
        </w:rPr>
        <w:t>；</w:t>
      </w:r>
    </w:p>
    <w:p w14:paraId="3EDF037C">
      <w:pPr>
        <w:spacing w:line="360" w:lineRule="exact"/>
        <w:ind w:firstLine="420"/>
        <w:rPr>
          <w:rFonts w:ascii="宋体" w:hAnsi="宋体" w:cs="宋体"/>
          <w:color w:val="auto"/>
          <w:kern w:val="1"/>
          <w:szCs w:val="21"/>
        </w:rPr>
      </w:pPr>
      <w:r>
        <w:rPr>
          <w:rFonts w:ascii="宋体" w:hAnsi="宋体" w:cs="宋体"/>
          <w:color w:val="auto"/>
          <w:kern w:val="1"/>
          <w:szCs w:val="21"/>
        </w:rPr>
        <w:t>建造师执业资格等级：</w:t>
      </w:r>
      <w:r>
        <w:rPr>
          <w:rFonts w:hint="eastAsia" w:ascii="宋体" w:hAnsi="宋体" w:cs="宋体"/>
          <w:color w:val="auto"/>
          <w:kern w:val="1"/>
          <w:szCs w:val="21"/>
          <w:u w:val="single"/>
        </w:rPr>
        <w:t xml:space="preserve">             </w:t>
      </w:r>
      <w:r>
        <w:rPr>
          <w:rFonts w:ascii="宋体" w:hAnsi="宋体" w:cs="宋体"/>
          <w:color w:val="auto"/>
          <w:kern w:val="1"/>
          <w:szCs w:val="21"/>
        </w:rPr>
        <w:t>；</w:t>
      </w:r>
    </w:p>
    <w:p w14:paraId="6E33B167">
      <w:pPr>
        <w:spacing w:line="360" w:lineRule="exact"/>
        <w:ind w:firstLine="420"/>
        <w:rPr>
          <w:rFonts w:ascii="宋体" w:hAnsi="宋体" w:cs="宋体"/>
          <w:color w:val="auto"/>
          <w:kern w:val="1"/>
          <w:szCs w:val="21"/>
        </w:rPr>
      </w:pPr>
      <w:r>
        <w:rPr>
          <w:rFonts w:ascii="宋体" w:hAnsi="宋体" w:cs="宋体"/>
          <w:color w:val="auto"/>
          <w:kern w:val="1"/>
          <w:szCs w:val="21"/>
        </w:rPr>
        <w:t>建造师注册证书号：</w:t>
      </w:r>
      <w:r>
        <w:rPr>
          <w:rFonts w:hint="eastAsia" w:ascii="宋体" w:hAnsi="宋体"/>
          <w:color w:val="auto"/>
          <w:szCs w:val="21"/>
          <w:u w:val="single"/>
        </w:rPr>
        <w:t xml:space="preserve">              </w:t>
      </w:r>
      <w:r>
        <w:rPr>
          <w:rFonts w:ascii="宋体" w:hAnsi="宋体" w:cs="宋体"/>
          <w:color w:val="auto"/>
          <w:kern w:val="1"/>
          <w:szCs w:val="21"/>
        </w:rPr>
        <w:t>；</w:t>
      </w:r>
    </w:p>
    <w:p w14:paraId="1B954713">
      <w:pPr>
        <w:spacing w:line="360" w:lineRule="exact"/>
        <w:ind w:firstLine="420"/>
        <w:rPr>
          <w:rFonts w:ascii="宋体" w:hAnsi="宋体" w:cs="宋体"/>
          <w:color w:val="auto"/>
          <w:kern w:val="1"/>
          <w:szCs w:val="21"/>
        </w:rPr>
      </w:pPr>
      <w:r>
        <w:rPr>
          <w:rFonts w:ascii="宋体" w:hAnsi="宋体" w:cs="宋体"/>
          <w:color w:val="auto"/>
          <w:kern w:val="1"/>
          <w:szCs w:val="21"/>
        </w:rPr>
        <w:t>建造师执业印章号：</w:t>
      </w:r>
      <w:r>
        <w:rPr>
          <w:rFonts w:hint="eastAsia" w:ascii="宋体" w:hAnsi="宋体"/>
          <w:color w:val="auto"/>
          <w:szCs w:val="21"/>
          <w:u w:val="single"/>
        </w:rPr>
        <w:t xml:space="preserve">                </w:t>
      </w:r>
      <w:r>
        <w:rPr>
          <w:rFonts w:ascii="宋体" w:hAnsi="宋体" w:cs="宋体"/>
          <w:color w:val="auto"/>
          <w:kern w:val="1"/>
          <w:szCs w:val="21"/>
        </w:rPr>
        <w:t>；</w:t>
      </w:r>
    </w:p>
    <w:p w14:paraId="72384FF8">
      <w:pPr>
        <w:spacing w:line="360" w:lineRule="exact"/>
        <w:ind w:firstLine="420"/>
        <w:rPr>
          <w:rFonts w:ascii="宋体" w:hAnsi="宋体" w:cs="宋体"/>
          <w:color w:val="auto"/>
          <w:kern w:val="1"/>
          <w:szCs w:val="21"/>
        </w:rPr>
      </w:pPr>
      <w:r>
        <w:rPr>
          <w:rFonts w:ascii="宋体" w:hAnsi="宋体" w:cs="宋体"/>
          <w:color w:val="auto"/>
          <w:kern w:val="1"/>
          <w:szCs w:val="21"/>
        </w:rPr>
        <w:t>安全生产考核合格证书号：</w:t>
      </w:r>
      <w:r>
        <w:rPr>
          <w:rFonts w:hint="eastAsia" w:ascii="宋体" w:hAnsi="宋体" w:cs="宋体"/>
          <w:color w:val="auto"/>
          <w:kern w:val="1"/>
          <w:szCs w:val="21"/>
          <w:u w:val="single"/>
        </w:rPr>
        <w:t xml:space="preserve">              </w:t>
      </w:r>
      <w:r>
        <w:rPr>
          <w:rFonts w:ascii="宋体" w:hAnsi="宋体" w:cs="宋体"/>
          <w:color w:val="auto"/>
          <w:kern w:val="1"/>
          <w:szCs w:val="21"/>
        </w:rPr>
        <w:t>；</w:t>
      </w:r>
    </w:p>
    <w:p w14:paraId="3103DBC6">
      <w:pPr>
        <w:spacing w:line="360" w:lineRule="exact"/>
        <w:ind w:firstLine="420"/>
        <w:rPr>
          <w:rFonts w:ascii="宋体" w:hAnsi="宋体" w:cs="宋体"/>
          <w:color w:val="auto"/>
          <w:kern w:val="1"/>
          <w:szCs w:val="21"/>
        </w:rPr>
      </w:pPr>
      <w:r>
        <w:rPr>
          <w:rFonts w:ascii="宋体" w:hAnsi="宋体" w:cs="宋体"/>
          <w:color w:val="auto"/>
          <w:kern w:val="1"/>
          <w:szCs w:val="21"/>
        </w:rPr>
        <w:t>联系电话：</w:t>
      </w:r>
      <w:r>
        <w:rPr>
          <w:rFonts w:hint="eastAsia" w:ascii="宋体" w:hAnsi="宋体" w:cs="宋体"/>
          <w:color w:val="auto"/>
          <w:kern w:val="1"/>
          <w:szCs w:val="21"/>
          <w:u w:val="single"/>
        </w:rPr>
        <w:t xml:space="preserve">                   </w:t>
      </w:r>
      <w:r>
        <w:rPr>
          <w:rFonts w:ascii="宋体" w:hAnsi="宋体" w:cs="宋体"/>
          <w:color w:val="auto"/>
          <w:kern w:val="1"/>
          <w:szCs w:val="21"/>
        </w:rPr>
        <w:t>；</w:t>
      </w:r>
    </w:p>
    <w:p w14:paraId="52203DA8">
      <w:pPr>
        <w:spacing w:line="360" w:lineRule="exact"/>
        <w:ind w:firstLine="420"/>
        <w:rPr>
          <w:rFonts w:ascii="宋体" w:hAnsi="宋体" w:cs="宋体"/>
          <w:color w:val="auto"/>
          <w:kern w:val="1"/>
          <w:szCs w:val="21"/>
        </w:rPr>
      </w:pPr>
      <w:r>
        <w:rPr>
          <w:rFonts w:ascii="宋体" w:hAnsi="宋体" w:cs="宋体"/>
          <w:color w:val="auto"/>
          <w:kern w:val="1"/>
          <w:szCs w:val="21"/>
        </w:rPr>
        <w:t>电子信箱：</w:t>
      </w:r>
      <w:r>
        <w:rPr>
          <w:rFonts w:hint="eastAsia" w:ascii="宋体" w:hAnsi="宋体" w:cs="宋体"/>
          <w:color w:val="auto"/>
          <w:kern w:val="1"/>
          <w:szCs w:val="21"/>
          <w:u w:val="single"/>
        </w:rPr>
        <w:t xml:space="preserve">                    </w:t>
      </w:r>
      <w:r>
        <w:rPr>
          <w:rFonts w:ascii="宋体" w:hAnsi="宋体" w:cs="宋体"/>
          <w:color w:val="auto"/>
          <w:kern w:val="1"/>
          <w:szCs w:val="21"/>
        </w:rPr>
        <w:t>；</w:t>
      </w:r>
    </w:p>
    <w:p w14:paraId="0C7C40E0">
      <w:pPr>
        <w:spacing w:line="360" w:lineRule="exact"/>
        <w:ind w:firstLine="420"/>
        <w:rPr>
          <w:rFonts w:ascii="宋体" w:hAnsi="宋体" w:cs="宋体"/>
          <w:color w:val="auto"/>
          <w:kern w:val="1"/>
          <w:szCs w:val="21"/>
        </w:rPr>
      </w:pPr>
      <w:r>
        <w:rPr>
          <w:rFonts w:ascii="宋体" w:hAnsi="宋体" w:cs="宋体"/>
          <w:color w:val="auto"/>
          <w:kern w:val="1"/>
          <w:szCs w:val="21"/>
        </w:rPr>
        <w:t>通信地址：</w:t>
      </w:r>
      <w:r>
        <w:rPr>
          <w:rFonts w:hint="eastAsia" w:ascii="宋体" w:hAnsi="宋体" w:cs="宋体"/>
          <w:color w:val="auto"/>
          <w:kern w:val="1"/>
          <w:szCs w:val="21"/>
          <w:u w:val="single"/>
        </w:rPr>
        <w:t xml:space="preserve">                      </w:t>
      </w:r>
      <w:r>
        <w:rPr>
          <w:rFonts w:ascii="宋体" w:hAnsi="宋体" w:cs="宋体"/>
          <w:color w:val="auto"/>
          <w:kern w:val="1"/>
          <w:szCs w:val="21"/>
        </w:rPr>
        <w:t>；</w:t>
      </w:r>
    </w:p>
    <w:p w14:paraId="11F8BB33">
      <w:pPr>
        <w:spacing w:line="360" w:lineRule="exact"/>
        <w:ind w:firstLine="420"/>
        <w:rPr>
          <w:rFonts w:ascii="宋体" w:hAnsi="宋体" w:cs="宋体"/>
          <w:color w:val="auto"/>
          <w:kern w:val="1"/>
          <w:szCs w:val="21"/>
        </w:rPr>
      </w:pPr>
      <w:r>
        <w:rPr>
          <w:rFonts w:ascii="宋体" w:hAnsi="宋体" w:cs="宋体"/>
          <w:color w:val="auto"/>
          <w:kern w:val="1"/>
          <w:szCs w:val="21"/>
        </w:rPr>
        <w:t>承包人对项目经理的授权范围如下：</w:t>
      </w:r>
      <w:r>
        <w:rPr>
          <w:rFonts w:hint="eastAsia" w:ascii="宋体" w:hAnsi="宋体" w:cs="宋体"/>
          <w:color w:val="auto"/>
          <w:kern w:val="1"/>
          <w:szCs w:val="21"/>
          <w:u w:val="single"/>
        </w:rPr>
        <w:t>合同约定范围的权利、义务</w:t>
      </w:r>
      <w:r>
        <w:rPr>
          <w:rFonts w:ascii="宋体" w:hAnsi="宋体" w:cs="宋体"/>
          <w:color w:val="auto"/>
          <w:kern w:val="1"/>
          <w:szCs w:val="21"/>
        </w:rPr>
        <w:t>。</w:t>
      </w:r>
    </w:p>
    <w:p w14:paraId="58690005">
      <w:pPr>
        <w:spacing w:line="360" w:lineRule="exact"/>
        <w:ind w:firstLine="420"/>
        <w:jc w:val="left"/>
        <w:rPr>
          <w:rFonts w:ascii="宋体" w:hAnsi="宋体" w:cs="宋体"/>
          <w:color w:val="auto"/>
          <w:kern w:val="1"/>
          <w:szCs w:val="21"/>
        </w:rPr>
      </w:pPr>
      <w:r>
        <w:rPr>
          <w:rFonts w:ascii="宋体" w:hAnsi="宋体" w:cs="宋体"/>
          <w:color w:val="auto"/>
          <w:kern w:val="1"/>
          <w:szCs w:val="21"/>
        </w:rPr>
        <w:t>关于项目经理每月在施工现场的时间要求：</w:t>
      </w:r>
      <w:r>
        <w:rPr>
          <w:rFonts w:ascii="宋体" w:hAnsi="宋体" w:cs="宋体"/>
          <w:color w:val="auto"/>
          <w:kern w:val="1"/>
          <w:szCs w:val="21"/>
          <w:u w:val="single"/>
        </w:rPr>
        <w:t>项目经理</w:t>
      </w:r>
      <w:r>
        <w:rPr>
          <w:rFonts w:hint="eastAsia" w:ascii="宋体" w:hAnsi="宋体" w:cs="宋体"/>
          <w:color w:val="auto"/>
          <w:kern w:val="1"/>
          <w:szCs w:val="21"/>
          <w:u w:val="single"/>
        </w:rPr>
        <w:t>在岗带班时间不得少于当月施工时间的80%，且关键部位施工必须在现场以及分部分项验收、隐蔽工程验收必须在现场</w:t>
      </w:r>
      <w:r>
        <w:rPr>
          <w:rFonts w:ascii="宋体" w:hAnsi="宋体" w:cs="宋体"/>
          <w:color w:val="auto"/>
          <w:kern w:val="1"/>
          <w:szCs w:val="21"/>
        </w:rPr>
        <w:t>。</w:t>
      </w:r>
    </w:p>
    <w:p w14:paraId="66DA1732">
      <w:pPr>
        <w:spacing w:line="360" w:lineRule="exact"/>
        <w:ind w:firstLine="420"/>
        <w:rPr>
          <w:rFonts w:ascii="宋体" w:hAnsi="宋体" w:cs="宋体"/>
          <w:color w:val="auto"/>
          <w:kern w:val="1"/>
          <w:szCs w:val="21"/>
        </w:rPr>
      </w:pPr>
      <w:r>
        <w:rPr>
          <w:rFonts w:ascii="宋体" w:hAnsi="宋体" w:cs="宋体"/>
          <w:color w:val="auto"/>
          <w:kern w:val="1"/>
          <w:szCs w:val="21"/>
        </w:rPr>
        <w:t>承包人未提交劳动合同，以及没有为项目经理缴纳社会保险证明的违约责任：</w:t>
      </w:r>
      <w:r>
        <w:rPr>
          <w:rFonts w:hint="eastAsia" w:ascii="宋体" w:hAnsi="宋体" w:cs="宋体"/>
          <w:color w:val="auto"/>
          <w:kern w:val="1"/>
          <w:szCs w:val="21"/>
          <w:u w:val="single"/>
        </w:rPr>
        <w:t>由此而影响到项目报建报监手续办理、被主管部门处罚停工、民工上访等造成的经济损失，由承包人赔偿</w:t>
      </w:r>
      <w:r>
        <w:rPr>
          <w:rFonts w:ascii="宋体" w:hAnsi="宋体" w:cs="宋体"/>
          <w:color w:val="auto"/>
          <w:kern w:val="1"/>
          <w:szCs w:val="21"/>
        </w:rPr>
        <w:t>。</w:t>
      </w:r>
    </w:p>
    <w:p w14:paraId="5BDE10B3">
      <w:pPr>
        <w:spacing w:line="360" w:lineRule="exact"/>
        <w:ind w:firstLine="420"/>
        <w:rPr>
          <w:rFonts w:ascii="宋体" w:hAnsi="宋体" w:cs="宋体"/>
          <w:color w:val="auto"/>
          <w:kern w:val="1"/>
          <w:szCs w:val="21"/>
          <w:u w:val="single"/>
        </w:rPr>
      </w:pPr>
      <w:r>
        <w:rPr>
          <w:rFonts w:ascii="宋体" w:hAnsi="宋体" w:cs="宋体"/>
          <w:color w:val="auto"/>
          <w:kern w:val="1"/>
          <w:szCs w:val="21"/>
        </w:rPr>
        <w:t>项目经理未经批准，擅自离开施工现场的违约责任：</w:t>
      </w:r>
      <w:r>
        <w:rPr>
          <w:rFonts w:ascii="宋体" w:hAnsi="宋体" w:cs="宋体"/>
          <w:color w:val="auto"/>
          <w:kern w:val="1"/>
          <w:szCs w:val="21"/>
          <w:u w:val="single"/>
        </w:rPr>
        <w:t>未经发包人同意或正当理由，项目经理擅自离岗的，视为承包人违约，</w:t>
      </w:r>
      <w:r>
        <w:rPr>
          <w:rFonts w:hint="eastAsia" w:ascii="宋体" w:hAnsi="宋体" w:cs="宋体"/>
          <w:color w:val="auto"/>
          <w:kern w:val="1"/>
          <w:szCs w:val="21"/>
          <w:u w:val="single"/>
        </w:rPr>
        <w:t>承包人应向</w:t>
      </w:r>
      <w:r>
        <w:rPr>
          <w:rFonts w:ascii="宋体" w:hAnsi="宋体" w:cs="宋体"/>
          <w:color w:val="auto"/>
          <w:kern w:val="1"/>
          <w:szCs w:val="21"/>
          <w:u w:val="single"/>
        </w:rPr>
        <w:t>发包人</w:t>
      </w:r>
      <w:r>
        <w:rPr>
          <w:rFonts w:hint="eastAsia" w:ascii="宋体" w:hAnsi="宋体" w:cs="宋体"/>
          <w:color w:val="auto"/>
          <w:kern w:val="1"/>
          <w:szCs w:val="21"/>
          <w:u w:val="single"/>
        </w:rPr>
        <w:t>支付</w:t>
      </w:r>
      <w:r>
        <w:rPr>
          <w:rFonts w:ascii="宋体" w:hAnsi="宋体" w:cs="宋体"/>
          <w:color w:val="auto"/>
          <w:kern w:val="1"/>
          <w:szCs w:val="21"/>
          <w:u w:val="single"/>
        </w:rPr>
        <w:t>违约金</w:t>
      </w:r>
      <w:r>
        <w:rPr>
          <w:rFonts w:hint="eastAsia" w:ascii="宋体" w:hAnsi="宋体" w:cs="宋体"/>
          <w:color w:val="auto"/>
          <w:kern w:val="1"/>
          <w:szCs w:val="21"/>
          <w:u w:val="single"/>
        </w:rPr>
        <w:t>4000元/人•次</w:t>
      </w:r>
      <w:r>
        <w:rPr>
          <w:rFonts w:ascii="宋体" w:hAnsi="宋体" w:cs="宋体"/>
          <w:color w:val="auto"/>
          <w:kern w:val="1"/>
          <w:szCs w:val="21"/>
        </w:rPr>
        <w:t>。</w:t>
      </w:r>
    </w:p>
    <w:p w14:paraId="2C727B53">
      <w:pPr>
        <w:spacing w:line="360" w:lineRule="exact"/>
        <w:ind w:firstLine="420"/>
        <w:rPr>
          <w:rFonts w:ascii="宋体" w:hAnsi="宋体" w:cs="宋体"/>
          <w:color w:val="auto"/>
          <w:kern w:val="1"/>
          <w:szCs w:val="21"/>
        </w:rPr>
      </w:pPr>
      <w:r>
        <w:rPr>
          <w:rFonts w:ascii="宋体" w:hAnsi="宋体" w:cs="宋体"/>
          <w:color w:val="auto"/>
          <w:kern w:val="1"/>
          <w:szCs w:val="21"/>
        </w:rPr>
        <w:t>3.2.3 承包人擅自更换项目经理的违约责任：</w:t>
      </w:r>
      <w:r>
        <w:rPr>
          <w:rFonts w:ascii="宋体" w:hAnsi="宋体" w:cs="宋体"/>
          <w:color w:val="auto"/>
          <w:kern w:val="1"/>
          <w:szCs w:val="21"/>
          <w:u w:val="single"/>
        </w:rPr>
        <w:t>承包人项目经理必须与承包人</w:t>
      </w:r>
      <w:r>
        <w:rPr>
          <w:rFonts w:hint="eastAsia" w:ascii="宋体" w:hAnsi="宋体" w:cs="宋体"/>
          <w:color w:val="auto"/>
          <w:kern w:val="1"/>
          <w:szCs w:val="21"/>
          <w:u w:val="single"/>
        </w:rPr>
        <w:t>竞标</w:t>
      </w:r>
      <w:r>
        <w:rPr>
          <w:rFonts w:ascii="宋体" w:hAnsi="宋体" w:cs="宋体"/>
          <w:color w:val="auto"/>
          <w:kern w:val="1"/>
          <w:szCs w:val="21"/>
          <w:u w:val="single"/>
        </w:rPr>
        <w:t>时所承诺的人员一致，并在（开工日期）前到任。在监理人向承包人颁发（竣工证明材料名称）前，项目经理不得同时兼任其他任何项目的项目经理（符合桂建管﹝2013﹞17号和桂建管﹝2014﹞25号文除外）。未经发包人书面同意，</w:t>
      </w:r>
      <w:r>
        <w:rPr>
          <w:rFonts w:hint="eastAsia" w:ascii="宋体" w:hAnsi="宋体" w:cs="宋体"/>
          <w:color w:val="auto"/>
          <w:kern w:val="1"/>
          <w:szCs w:val="21"/>
          <w:u w:val="single"/>
        </w:rPr>
        <w:t>承包人擅自更换项目经理的视为违约，发包人有权要求承包人按6000元/人·次支付违约金，由此产生的一切损失及后果由承包人承担</w:t>
      </w:r>
      <w:r>
        <w:rPr>
          <w:rFonts w:ascii="宋体" w:hAnsi="宋体" w:cs="宋体"/>
          <w:color w:val="auto"/>
          <w:kern w:val="1"/>
          <w:szCs w:val="21"/>
        </w:rPr>
        <w:t>。</w:t>
      </w:r>
    </w:p>
    <w:p w14:paraId="283E6B0A">
      <w:pPr>
        <w:spacing w:line="360" w:lineRule="exact"/>
        <w:ind w:firstLine="420"/>
        <w:rPr>
          <w:rFonts w:hint="eastAsia" w:ascii="宋体" w:hAnsi="宋体" w:cs="宋体"/>
          <w:color w:val="auto"/>
          <w:kern w:val="1"/>
          <w:szCs w:val="21"/>
        </w:rPr>
      </w:pPr>
      <w:r>
        <w:rPr>
          <w:rFonts w:ascii="宋体" w:hAnsi="宋体" w:cs="宋体"/>
          <w:color w:val="auto"/>
          <w:kern w:val="1"/>
          <w:szCs w:val="21"/>
        </w:rPr>
        <w:t>3.2.4 承包人无正当理由拒绝更换项目经理的违约责任：</w:t>
      </w:r>
      <w:r>
        <w:rPr>
          <w:rFonts w:hint="eastAsia" w:ascii="宋体" w:hAnsi="宋体" w:cs="宋体"/>
          <w:color w:val="auto"/>
          <w:kern w:val="1"/>
          <w:szCs w:val="21"/>
          <w:u w:val="single"/>
        </w:rPr>
        <w:t>承包人项目经理因不称职，发包人要求调换在规定的时间内未及时调换的，视为承包人违约，发包人有权要求承包人按2000元/人·次支付违约金，由此产生的一切损失及后果由承包人承担</w:t>
      </w:r>
      <w:r>
        <w:rPr>
          <w:rFonts w:hint="eastAsia" w:ascii="宋体" w:hAnsi="宋体" w:cs="宋体"/>
          <w:color w:val="auto"/>
          <w:kern w:val="1"/>
          <w:szCs w:val="21"/>
        </w:rPr>
        <w:t>。</w:t>
      </w:r>
    </w:p>
    <w:p w14:paraId="17891907">
      <w:pPr>
        <w:pStyle w:val="5"/>
        <w:keepNext w:val="0"/>
        <w:spacing w:line="360" w:lineRule="exact"/>
        <w:rPr>
          <w:rFonts w:ascii="宋体" w:hAnsi="宋体" w:cs="宋体"/>
          <w:color w:val="auto"/>
          <w:sz w:val="21"/>
          <w:szCs w:val="21"/>
          <w:lang w:val="zh-CN"/>
        </w:rPr>
      </w:pPr>
      <w:bookmarkStart w:id="764" w:name="_Toc373227709"/>
      <w:bookmarkEnd w:id="764"/>
      <w:bookmarkStart w:id="765" w:name="_Toc406054747"/>
      <w:bookmarkEnd w:id="765"/>
      <w:bookmarkStart w:id="766" w:name="_Toc373478356"/>
      <w:bookmarkEnd w:id="766"/>
      <w:bookmarkStart w:id="767" w:name="_Toc11669"/>
      <w:bookmarkStart w:id="768" w:name="_Toc9380"/>
      <w:bookmarkStart w:id="769" w:name="_Toc17362"/>
      <w:bookmarkStart w:id="770" w:name="_Toc7543"/>
      <w:bookmarkStart w:id="771" w:name="_Toc26640"/>
      <w:r>
        <w:rPr>
          <w:rFonts w:ascii="宋体" w:hAnsi="宋体" w:cs="宋体"/>
          <w:color w:val="auto"/>
          <w:sz w:val="21"/>
          <w:szCs w:val="21"/>
          <w:lang w:val="zh-CN"/>
        </w:rPr>
        <w:t>3.3 承包人人员</w:t>
      </w:r>
      <w:bookmarkEnd w:id="767"/>
      <w:bookmarkEnd w:id="768"/>
      <w:bookmarkEnd w:id="769"/>
      <w:bookmarkEnd w:id="770"/>
      <w:bookmarkEnd w:id="771"/>
    </w:p>
    <w:p w14:paraId="31049936">
      <w:pPr>
        <w:spacing w:line="360" w:lineRule="exact"/>
        <w:ind w:firstLine="420"/>
        <w:rPr>
          <w:rFonts w:ascii="宋体" w:hAnsi="宋体" w:cs="宋体"/>
          <w:color w:val="auto"/>
          <w:kern w:val="1"/>
          <w:szCs w:val="21"/>
        </w:rPr>
      </w:pPr>
      <w:r>
        <w:rPr>
          <w:rFonts w:ascii="宋体" w:hAnsi="宋体" w:cs="宋体"/>
          <w:color w:val="auto"/>
          <w:kern w:val="1"/>
          <w:szCs w:val="21"/>
        </w:rPr>
        <w:t>3.3.1 承包人提交项目管理机构及施工现场管理人员安排报告的期限：</w:t>
      </w:r>
      <w:r>
        <w:rPr>
          <w:rFonts w:hint="eastAsia" w:ascii="宋体" w:hAnsi="宋体" w:cs="宋体"/>
          <w:color w:val="auto"/>
          <w:kern w:val="1"/>
          <w:szCs w:val="21"/>
          <w:u w:val="single"/>
        </w:rPr>
        <w:t>开工前7天内</w:t>
      </w:r>
      <w:r>
        <w:rPr>
          <w:rFonts w:ascii="宋体" w:hAnsi="宋体" w:cs="宋体"/>
          <w:color w:val="auto"/>
          <w:kern w:val="1"/>
          <w:szCs w:val="21"/>
        </w:rPr>
        <w:t>。</w:t>
      </w:r>
    </w:p>
    <w:p w14:paraId="3B99D5F8">
      <w:pPr>
        <w:spacing w:line="360" w:lineRule="exact"/>
        <w:ind w:firstLine="420"/>
        <w:rPr>
          <w:rFonts w:hint="eastAsia" w:ascii="宋体" w:hAnsi="宋体" w:cs="宋体"/>
          <w:color w:val="auto"/>
          <w:kern w:val="1"/>
          <w:szCs w:val="21"/>
        </w:rPr>
      </w:pPr>
      <w:r>
        <w:rPr>
          <w:rFonts w:ascii="宋体" w:hAnsi="宋体" w:cs="宋体"/>
          <w:color w:val="auto"/>
          <w:kern w:val="1"/>
          <w:szCs w:val="21"/>
        </w:rPr>
        <w:t>3.3.3 承包人无正当理由拒绝撤换主要施工管理人员的违约责任：</w:t>
      </w:r>
      <w:r>
        <w:rPr>
          <w:rFonts w:hint="eastAsia" w:ascii="宋体" w:hAnsi="宋体" w:cs="宋体"/>
          <w:color w:val="auto"/>
          <w:kern w:val="1"/>
          <w:szCs w:val="21"/>
          <w:u w:val="single"/>
        </w:rPr>
        <w:t>承包人主要施工管理人员因不称职，发包人要求调换而承包人在发包人规定的期限内无正当理由拒绝撤换或未及时调换的，视为承包人违约，发包人有权要求承包人按照技术负责人1000元/人•次(人民币)；专业工程师2000元/人•次(人民币)的标准承担违约金，由此产生的一切损失及后果由承包人承担</w:t>
      </w:r>
      <w:r>
        <w:rPr>
          <w:rFonts w:hint="eastAsia" w:ascii="宋体" w:hAnsi="宋体" w:cs="宋体"/>
          <w:color w:val="auto"/>
          <w:kern w:val="1"/>
          <w:szCs w:val="21"/>
        </w:rPr>
        <w:t>。</w:t>
      </w:r>
    </w:p>
    <w:p w14:paraId="0D417D52">
      <w:pPr>
        <w:spacing w:line="360" w:lineRule="exact"/>
        <w:ind w:firstLine="420"/>
        <w:rPr>
          <w:rFonts w:ascii="宋体" w:hAnsi="宋体" w:cs="宋体"/>
          <w:color w:val="auto"/>
          <w:kern w:val="1"/>
          <w:szCs w:val="21"/>
          <w:u w:val="single"/>
        </w:rPr>
      </w:pPr>
      <w:r>
        <w:rPr>
          <w:rFonts w:ascii="宋体" w:hAnsi="宋体" w:cs="宋体"/>
          <w:color w:val="auto"/>
          <w:kern w:val="1"/>
          <w:szCs w:val="21"/>
        </w:rPr>
        <w:t>3.3.4 承包人主要施工管理人员离开施工现场的批准要求：</w:t>
      </w:r>
      <w:r>
        <w:rPr>
          <w:rFonts w:hint="eastAsia" w:ascii="宋体" w:hAnsi="宋体" w:cs="宋体"/>
          <w:color w:val="auto"/>
          <w:kern w:val="1"/>
          <w:szCs w:val="21"/>
          <w:u w:val="single"/>
        </w:rPr>
        <w:t>每人每天罚款1000元，此款从应得工程款扣除</w:t>
      </w:r>
      <w:r>
        <w:rPr>
          <w:rFonts w:ascii="宋体" w:hAnsi="宋体" w:cs="宋体"/>
          <w:color w:val="auto"/>
          <w:kern w:val="1"/>
          <w:szCs w:val="21"/>
        </w:rPr>
        <w:t>。</w:t>
      </w:r>
    </w:p>
    <w:p w14:paraId="2384FF71">
      <w:pPr>
        <w:spacing w:line="360" w:lineRule="exact"/>
        <w:ind w:firstLine="420"/>
        <w:rPr>
          <w:rFonts w:ascii="宋体" w:hAnsi="宋体" w:cs="宋体"/>
          <w:color w:val="auto"/>
          <w:kern w:val="1"/>
          <w:szCs w:val="21"/>
        </w:rPr>
      </w:pPr>
      <w:r>
        <w:rPr>
          <w:rFonts w:ascii="宋体" w:hAnsi="宋体" w:cs="宋体"/>
          <w:color w:val="auto"/>
          <w:kern w:val="1"/>
          <w:szCs w:val="21"/>
        </w:rPr>
        <w:t>3.3.5承包人擅自更换主要施工管理人员的违约责任：</w:t>
      </w:r>
      <w:r>
        <w:rPr>
          <w:rFonts w:hint="eastAsia" w:ascii="宋体" w:hAnsi="宋体" w:cs="宋体"/>
          <w:color w:val="auto"/>
          <w:kern w:val="1"/>
          <w:szCs w:val="21"/>
          <w:u w:val="single"/>
        </w:rPr>
        <w:t>技术负责人、专业工程师未经发包人书面同意不准擅自更换，承包方擅自更换的，发包方有权要求承包人按照技术负责人处1000元/人•次(人民币)、专业工程师处6000元/人•次(人民币)的标准承担违约金，由此产生的一切损失及后果由承包人承担</w:t>
      </w:r>
      <w:r>
        <w:rPr>
          <w:rFonts w:ascii="宋体" w:hAnsi="宋体" w:cs="宋体"/>
          <w:color w:val="auto"/>
          <w:kern w:val="1"/>
          <w:szCs w:val="21"/>
        </w:rPr>
        <w:t>。</w:t>
      </w:r>
    </w:p>
    <w:p w14:paraId="31C2AD3E">
      <w:pPr>
        <w:spacing w:line="360" w:lineRule="exact"/>
        <w:ind w:firstLine="420"/>
        <w:rPr>
          <w:rFonts w:ascii="宋体" w:hAnsi="宋体" w:cs="宋体"/>
          <w:color w:val="auto"/>
          <w:kern w:val="1"/>
          <w:szCs w:val="21"/>
        </w:rPr>
      </w:pPr>
      <w:r>
        <w:rPr>
          <w:rFonts w:ascii="宋体" w:hAnsi="宋体" w:cs="宋体"/>
          <w:color w:val="auto"/>
          <w:kern w:val="1"/>
          <w:szCs w:val="21"/>
        </w:rPr>
        <w:t>承包人主要施工管理人员擅自离开施工现场的违约责任：</w:t>
      </w:r>
      <w:r>
        <w:rPr>
          <w:rFonts w:ascii="宋体" w:hAnsi="宋体" w:cs="宋体"/>
          <w:color w:val="auto"/>
          <w:kern w:val="1"/>
          <w:szCs w:val="21"/>
          <w:u w:val="single"/>
        </w:rPr>
        <w:t>未经发包人同意，技术负责人擅自离岗的，视为承包人违约，</w:t>
      </w:r>
      <w:r>
        <w:rPr>
          <w:rFonts w:hint="eastAsia" w:ascii="宋体" w:hAnsi="宋体" w:cs="宋体"/>
          <w:color w:val="auto"/>
          <w:kern w:val="1"/>
          <w:szCs w:val="21"/>
          <w:u w:val="single"/>
        </w:rPr>
        <w:t>发包人有权要求承包人按照2000元/人•次(人民币)的标准承担违约金；未经发包人同意，专业工程师擅自离岗的，视为承包人违约，发包人有权要求承包人按照违约金1000元/人•次(人民币)的标准承担违约金，由此产生的一切损失及后果由承包人承担</w:t>
      </w:r>
      <w:r>
        <w:rPr>
          <w:rFonts w:hint="eastAsia" w:ascii="宋体" w:hAnsi="宋体" w:cs="宋体"/>
          <w:color w:val="auto"/>
          <w:kern w:val="1"/>
          <w:szCs w:val="21"/>
        </w:rPr>
        <w:t>。</w:t>
      </w:r>
    </w:p>
    <w:p w14:paraId="02D0ECBE">
      <w:pPr>
        <w:pStyle w:val="5"/>
        <w:keepNext w:val="0"/>
        <w:spacing w:line="360" w:lineRule="exact"/>
        <w:rPr>
          <w:rFonts w:ascii="宋体" w:hAnsi="宋体" w:cs="宋体"/>
          <w:color w:val="auto"/>
          <w:sz w:val="21"/>
          <w:szCs w:val="21"/>
          <w:lang w:val="zh-CN"/>
        </w:rPr>
      </w:pPr>
      <w:bookmarkStart w:id="772" w:name="_Toc406054748"/>
      <w:bookmarkEnd w:id="772"/>
      <w:bookmarkStart w:id="773" w:name="_Toc373478357"/>
      <w:bookmarkEnd w:id="773"/>
      <w:bookmarkStart w:id="774" w:name="_Toc373227710"/>
      <w:bookmarkEnd w:id="774"/>
      <w:bookmarkStart w:id="775" w:name="_Toc23947"/>
      <w:bookmarkStart w:id="776" w:name="_Toc21700"/>
      <w:bookmarkStart w:id="777" w:name="_Toc7912"/>
      <w:bookmarkStart w:id="778" w:name="_Toc26804"/>
      <w:bookmarkStart w:id="779" w:name="_Toc4917"/>
      <w:r>
        <w:rPr>
          <w:rFonts w:ascii="宋体" w:hAnsi="宋体" w:cs="宋体"/>
          <w:color w:val="auto"/>
          <w:sz w:val="21"/>
          <w:szCs w:val="21"/>
          <w:lang w:val="zh-CN"/>
        </w:rPr>
        <w:t>3.5 分包</w:t>
      </w:r>
      <w:bookmarkEnd w:id="775"/>
      <w:bookmarkEnd w:id="776"/>
      <w:bookmarkEnd w:id="777"/>
      <w:bookmarkEnd w:id="778"/>
      <w:bookmarkEnd w:id="779"/>
    </w:p>
    <w:p w14:paraId="53517C10">
      <w:pPr>
        <w:spacing w:line="360" w:lineRule="exact"/>
        <w:ind w:firstLine="420"/>
        <w:rPr>
          <w:rFonts w:ascii="宋体" w:hAnsi="宋体" w:cs="宋体"/>
          <w:color w:val="auto"/>
          <w:kern w:val="1"/>
          <w:szCs w:val="21"/>
          <w:u w:val="single"/>
        </w:rPr>
      </w:pPr>
      <w:r>
        <w:rPr>
          <w:rFonts w:hint="eastAsia" w:ascii="宋体" w:hAnsi="宋体" w:cs="宋体"/>
          <w:color w:val="auto"/>
          <w:kern w:val="1"/>
          <w:szCs w:val="21"/>
          <w:u w:val="single"/>
        </w:rPr>
        <w:t>本</w:t>
      </w:r>
      <w:r>
        <w:rPr>
          <w:rFonts w:ascii="宋体" w:hAnsi="宋体" w:cs="宋体"/>
          <w:color w:val="auto"/>
          <w:kern w:val="1"/>
          <w:szCs w:val="21"/>
          <w:u w:val="single"/>
        </w:rPr>
        <w:t>工程</w:t>
      </w:r>
      <w:r>
        <w:rPr>
          <w:rFonts w:hint="eastAsia" w:ascii="宋体" w:hAnsi="宋体" w:cs="宋体"/>
          <w:color w:val="auto"/>
          <w:kern w:val="1"/>
          <w:szCs w:val="21"/>
          <w:u w:val="single"/>
        </w:rPr>
        <w:t>不允许分包</w:t>
      </w:r>
      <w:r>
        <w:rPr>
          <w:rFonts w:ascii="宋体" w:hAnsi="宋体" w:cs="宋体"/>
          <w:color w:val="auto"/>
          <w:kern w:val="1"/>
          <w:szCs w:val="21"/>
        </w:rPr>
        <w:t>。</w:t>
      </w:r>
    </w:p>
    <w:p w14:paraId="49BE1B2B">
      <w:pPr>
        <w:pStyle w:val="5"/>
        <w:keepNext w:val="0"/>
        <w:spacing w:line="360" w:lineRule="exact"/>
        <w:rPr>
          <w:rFonts w:ascii="宋体" w:hAnsi="宋体" w:cs="宋体"/>
          <w:color w:val="auto"/>
          <w:sz w:val="21"/>
          <w:szCs w:val="21"/>
          <w:lang w:val="zh-CN"/>
        </w:rPr>
      </w:pPr>
      <w:bookmarkStart w:id="780" w:name="_Toc373478358"/>
      <w:bookmarkEnd w:id="780"/>
      <w:bookmarkStart w:id="781" w:name="_Toc373227711"/>
      <w:bookmarkEnd w:id="781"/>
      <w:bookmarkStart w:id="782" w:name="_Toc406054749"/>
      <w:bookmarkEnd w:id="782"/>
      <w:bookmarkStart w:id="783" w:name="_Toc27008"/>
      <w:bookmarkStart w:id="784" w:name="_Toc9772"/>
      <w:bookmarkStart w:id="785" w:name="_Toc24952"/>
      <w:bookmarkStart w:id="786" w:name="_Toc19896"/>
      <w:bookmarkStart w:id="787" w:name="_Toc25503"/>
      <w:r>
        <w:rPr>
          <w:rFonts w:ascii="宋体" w:hAnsi="宋体" w:cs="宋体"/>
          <w:color w:val="auto"/>
          <w:sz w:val="21"/>
          <w:szCs w:val="21"/>
          <w:lang w:val="zh-CN"/>
        </w:rPr>
        <w:t>3.6 工程照管与成品、半成品保护</w:t>
      </w:r>
      <w:bookmarkEnd w:id="783"/>
      <w:bookmarkEnd w:id="784"/>
      <w:bookmarkEnd w:id="785"/>
      <w:bookmarkEnd w:id="786"/>
      <w:bookmarkEnd w:id="787"/>
    </w:p>
    <w:p w14:paraId="61F77BFC">
      <w:pPr>
        <w:spacing w:line="360" w:lineRule="exact"/>
        <w:ind w:firstLine="420"/>
        <w:rPr>
          <w:rFonts w:ascii="宋体" w:hAnsi="宋体" w:cs="宋体"/>
          <w:color w:val="auto"/>
          <w:kern w:val="1"/>
          <w:szCs w:val="21"/>
          <w:u w:val="single"/>
        </w:rPr>
      </w:pPr>
      <w:r>
        <w:rPr>
          <w:rFonts w:ascii="宋体" w:hAnsi="宋体" w:cs="宋体"/>
          <w:color w:val="auto"/>
          <w:kern w:val="1"/>
          <w:szCs w:val="21"/>
        </w:rPr>
        <w:t>承包人负责照管工程及工程相关的材料、工程设备的起始时间：</w:t>
      </w:r>
      <w:r>
        <w:rPr>
          <w:rFonts w:hint="eastAsia" w:ascii="宋体" w:hAnsi="宋体" w:cs="宋体"/>
          <w:color w:val="auto"/>
          <w:kern w:val="1"/>
          <w:szCs w:val="21"/>
          <w:u w:val="single"/>
        </w:rPr>
        <w:t>从合同签订之日起至竣工验收合格之日</w:t>
      </w:r>
      <w:r>
        <w:rPr>
          <w:rFonts w:ascii="宋体" w:hAnsi="宋体" w:cs="宋体"/>
          <w:color w:val="auto"/>
          <w:kern w:val="1"/>
          <w:szCs w:val="21"/>
        </w:rPr>
        <w:t>。</w:t>
      </w:r>
    </w:p>
    <w:p w14:paraId="1235E9A5">
      <w:pPr>
        <w:pStyle w:val="5"/>
        <w:keepNext w:val="0"/>
        <w:spacing w:line="360" w:lineRule="exact"/>
        <w:rPr>
          <w:rFonts w:ascii="宋体" w:hAnsi="宋体" w:cs="宋体"/>
          <w:color w:val="auto"/>
          <w:sz w:val="21"/>
          <w:szCs w:val="21"/>
          <w:lang w:val="zh-CN"/>
        </w:rPr>
      </w:pPr>
      <w:bookmarkStart w:id="788" w:name="_Toc373227712"/>
      <w:bookmarkEnd w:id="788"/>
      <w:bookmarkStart w:id="789" w:name="_Toc373478359"/>
      <w:bookmarkEnd w:id="789"/>
      <w:bookmarkStart w:id="790" w:name="_Toc406054750"/>
      <w:bookmarkEnd w:id="790"/>
      <w:bookmarkStart w:id="791" w:name="_Toc12491"/>
      <w:bookmarkStart w:id="792" w:name="_Toc30170"/>
      <w:bookmarkStart w:id="793" w:name="_Toc20789"/>
      <w:bookmarkStart w:id="794" w:name="_Toc2913"/>
      <w:bookmarkStart w:id="795" w:name="_Toc31576"/>
      <w:r>
        <w:rPr>
          <w:rFonts w:ascii="宋体" w:hAnsi="宋体" w:cs="宋体"/>
          <w:color w:val="auto"/>
          <w:sz w:val="21"/>
          <w:szCs w:val="21"/>
          <w:lang w:val="zh-CN"/>
        </w:rPr>
        <w:t>3.7 履约担保</w:t>
      </w:r>
      <w:bookmarkEnd w:id="791"/>
      <w:bookmarkEnd w:id="792"/>
      <w:bookmarkEnd w:id="793"/>
      <w:bookmarkEnd w:id="794"/>
      <w:bookmarkEnd w:id="795"/>
    </w:p>
    <w:p w14:paraId="6C18DA9A">
      <w:pPr>
        <w:spacing w:line="360" w:lineRule="exact"/>
        <w:ind w:firstLine="420"/>
        <w:jc w:val="left"/>
        <w:rPr>
          <w:rFonts w:ascii="宋体" w:hAnsi="宋体" w:cs="宋体"/>
          <w:color w:val="auto"/>
          <w:kern w:val="1"/>
          <w:szCs w:val="21"/>
        </w:rPr>
      </w:pPr>
      <w:r>
        <w:rPr>
          <w:rFonts w:ascii="宋体" w:hAnsi="宋体" w:cs="宋体"/>
          <w:color w:val="auto"/>
          <w:kern w:val="1"/>
          <w:szCs w:val="21"/>
        </w:rPr>
        <w:t>承包人是否提供履约担保：</w:t>
      </w:r>
      <w:r>
        <w:rPr>
          <w:rFonts w:hint="eastAsia" w:ascii="宋体" w:hAnsi="宋体" w:cs="宋体"/>
          <w:color w:val="auto"/>
          <w:kern w:val="1"/>
          <w:szCs w:val="21"/>
        </w:rPr>
        <w:t>不</w:t>
      </w:r>
      <w:r>
        <w:rPr>
          <w:rFonts w:hint="eastAsia" w:ascii="宋体" w:hAnsi="宋体" w:cs="宋体"/>
          <w:color w:val="auto"/>
          <w:kern w:val="1"/>
          <w:szCs w:val="21"/>
          <w:u w:val="single"/>
        </w:rPr>
        <w:t>提供</w:t>
      </w:r>
      <w:r>
        <w:rPr>
          <w:rFonts w:ascii="宋体" w:hAnsi="宋体" w:cs="宋体"/>
          <w:color w:val="auto"/>
          <w:kern w:val="1"/>
          <w:szCs w:val="21"/>
        </w:rPr>
        <w:t>。</w:t>
      </w:r>
    </w:p>
    <w:p w14:paraId="297F9DAF">
      <w:pPr>
        <w:pStyle w:val="5"/>
        <w:keepNext w:val="0"/>
        <w:spacing w:line="360" w:lineRule="exact"/>
        <w:rPr>
          <w:rFonts w:ascii="宋体" w:hAnsi="宋体" w:cs="宋体"/>
          <w:color w:val="auto"/>
          <w:sz w:val="21"/>
          <w:szCs w:val="21"/>
          <w:lang w:val="zh-CN"/>
        </w:rPr>
      </w:pPr>
      <w:bookmarkStart w:id="796" w:name="_Toc373227713"/>
      <w:bookmarkEnd w:id="796"/>
      <w:bookmarkStart w:id="797" w:name="_Toc406054751"/>
      <w:bookmarkEnd w:id="797"/>
      <w:bookmarkStart w:id="798" w:name="_Toc373478360"/>
      <w:bookmarkEnd w:id="798"/>
      <w:bookmarkStart w:id="799" w:name="_Toc908"/>
      <w:bookmarkStart w:id="800" w:name="_Toc3598"/>
      <w:bookmarkStart w:id="801" w:name="_Toc23998"/>
      <w:bookmarkStart w:id="802" w:name="_Toc9758"/>
      <w:bookmarkStart w:id="803" w:name="_Toc12732"/>
      <w:r>
        <w:rPr>
          <w:rFonts w:ascii="宋体" w:hAnsi="宋体" w:cs="宋体"/>
          <w:color w:val="auto"/>
          <w:sz w:val="21"/>
          <w:szCs w:val="21"/>
          <w:lang w:val="zh-CN"/>
        </w:rPr>
        <w:t>4. 监理人</w:t>
      </w:r>
      <w:bookmarkEnd w:id="799"/>
      <w:bookmarkEnd w:id="800"/>
      <w:bookmarkEnd w:id="801"/>
      <w:bookmarkEnd w:id="802"/>
      <w:bookmarkEnd w:id="803"/>
    </w:p>
    <w:p w14:paraId="4E833B4A">
      <w:pPr>
        <w:pStyle w:val="5"/>
        <w:keepNext w:val="0"/>
        <w:spacing w:line="360" w:lineRule="exact"/>
        <w:rPr>
          <w:rFonts w:ascii="宋体" w:hAnsi="宋体" w:cs="宋体"/>
          <w:color w:val="auto"/>
          <w:sz w:val="21"/>
          <w:szCs w:val="21"/>
          <w:lang w:val="zh-CN"/>
        </w:rPr>
      </w:pPr>
      <w:bookmarkStart w:id="804" w:name="_Toc373478361"/>
      <w:bookmarkEnd w:id="804"/>
      <w:bookmarkStart w:id="805" w:name="_Toc373227714"/>
      <w:bookmarkEnd w:id="805"/>
      <w:bookmarkStart w:id="806" w:name="_Toc406054752"/>
      <w:bookmarkEnd w:id="806"/>
      <w:bookmarkStart w:id="807" w:name="_Toc14305"/>
      <w:bookmarkStart w:id="808" w:name="_Toc27604"/>
      <w:bookmarkStart w:id="809" w:name="_Toc5773"/>
      <w:bookmarkStart w:id="810" w:name="_Toc25414"/>
      <w:bookmarkStart w:id="811" w:name="_Toc9413"/>
      <w:r>
        <w:rPr>
          <w:rFonts w:ascii="宋体" w:hAnsi="宋体" w:cs="宋体"/>
          <w:color w:val="auto"/>
          <w:sz w:val="21"/>
          <w:szCs w:val="21"/>
          <w:lang w:val="zh-CN"/>
        </w:rPr>
        <w:t>4.1监理人的一般规定</w:t>
      </w:r>
      <w:bookmarkEnd w:id="807"/>
      <w:bookmarkEnd w:id="808"/>
      <w:bookmarkEnd w:id="809"/>
      <w:bookmarkEnd w:id="810"/>
      <w:bookmarkEnd w:id="811"/>
    </w:p>
    <w:p w14:paraId="77A2E1C9">
      <w:pPr>
        <w:spacing w:line="360" w:lineRule="exact"/>
        <w:ind w:firstLine="420"/>
        <w:jc w:val="left"/>
        <w:rPr>
          <w:rFonts w:ascii="宋体" w:hAnsi="宋体" w:cs="宋体"/>
          <w:color w:val="auto"/>
          <w:kern w:val="1"/>
          <w:szCs w:val="21"/>
        </w:rPr>
      </w:pPr>
      <w:r>
        <w:rPr>
          <w:rFonts w:ascii="宋体" w:hAnsi="宋体" w:cs="宋体"/>
          <w:color w:val="auto"/>
          <w:kern w:val="1"/>
          <w:szCs w:val="21"/>
        </w:rPr>
        <w:t>关于监理人的监理内容：</w:t>
      </w:r>
      <w:r>
        <w:rPr>
          <w:rFonts w:hint="eastAsia" w:ascii="宋体" w:hAnsi="宋体" w:cs="宋体"/>
          <w:color w:val="auto"/>
          <w:kern w:val="1"/>
          <w:szCs w:val="21"/>
          <w:u w:val="single"/>
        </w:rPr>
        <w:t>图纸及工程量清单范围内的内容</w:t>
      </w:r>
      <w:r>
        <w:rPr>
          <w:rFonts w:ascii="宋体" w:hAnsi="宋体" w:cs="宋体"/>
          <w:color w:val="auto"/>
          <w:kern w:val="1"/>
          <w:szCs w:val="21"/>
        </w:rPr>
        <w:t>。</w:t>
      </w:r>
    </w:p>
    <w:p w14:paraId="786BFF4D">
      <w:pPr>
        <w:spacing w:line="360" w:lineRule="exact"/>
        <w:ind w:firstLine="420"/>
        <w:jc w:val="left"/>
        <w:rPr>
          <w:rFonts w:ascii="宋体" w:hAnsi="宋体" w:cs="宋体"/>
          <w:color w:val="auto"/>
          <w:kern w:val="1"/>
          <w:szCs w:val="21"/>
        </w:rPr>
      </w:pPr>
      <w:r>
        <w:rPr>
          <w:rFonts w:ascii="宋体" w:hAnsi="宋体" w:cs="宋体"/>
          <w:color w:val="auto"/>
          <w:kern w:val="1"/>
          <w:szCs w:val="21"/>
        </w:rPr>
        <w:t>关于监理人的监理权限：</w:t>
      </w:r>
      <w:r>
        <w:rPr>
          <w:rFonts w:hint="eastAsia" w:ascii="宋体" w:hAnsi="宋体" w:cs="宋体"/>
          <w:color w:val="auto"/>
          <w:kern w:val="1"/>
          <w:szCs w:val="21"/>
          <w:u w:val="single"/>
        </w:rPr>
        <w:t>按监理合同约定</w:t>
      </w:r>
      <w:r>
        <w:rPr>
          <w:rFonts w:ascii="宋体" w:hAnsi="宋体" w:cs="宋体"/>
          <w:color w:val="auto"/>
          <w:kern w:val="1"/>
          <w:szCs w:val="21"/>
        </w:rPr>
        <w:t xml:space="preserve">。 </w:t>
      </w:r>
    </w:p>
    <w:p w14:paraId="562F4E41">
      <w:pPr>
        <w:spacing w:line="360" w:lineRule="exact"/>
        <w:ind w:firstLine="420" w:firstLineChars="200"/>
        <w:rPr>
          <w:rFonts w:ascii="宋体" w:hAnsi="宋体" w:cs="宋体"/>
          <w:color w:val="auto"/>
          <w:kern w:val="1"/>
          <w:szCs w:val="21"/>
        </w:rPr>
      </w:pPr>
      <w:r>
        <w:rPr>
          <w:rFonts w:ascii="宋体" w:hAnsi="宋体" w:cs="宋体"/>
          <w:color w:val="auto"/>
          <w:kern w:val="1"/>
          <w:szCs w:val="21"/>
        </w:rPr>
        <w:t>关于监理人在施工现场的办公场所、生活场所的提供和费用承担的约定：</w:t>
      </w:r>
      <w:r>
        <w:rPr>
          <w:rFonts w:hint="eastAsia" w:ascii="宋体" w:hAnsi="宋体" w:cs="宋体"/>
          <w:color w:val="auto"/>
          <w:kern w:val="1"/>
          <w:szCs w:val="21"/>
          <w:u w:val="single"/>
        </w:rPr>
        <w:t>由承包人承担，承包人竞标报价时综合考虑此项费用</w:t>
      </w:r>
      <w:r>
        <w:rPr>
          <w:rFonts w:ascii="宋体" w:hAnsi="宋体" w:cs="宋体"/>
          <w:color w:val="auto"/>
          <w:kern w:val="1"/>
          <w:szCs w:val="21"/>
        </w:rPr>
        <w:t>。</w:t>
      </w:r>
    </w:p>
    <w:p w14:paraId="4B0FFB3A">
      <w:pPr>
        <w:pStyle w:val="5"/>
        <w:keepNext w:val="0"/>
        <w:spacing w:line="360" w:lineRule="exact"/>
        <w:rPr>
          <w:rFonts w:ascii="宋体" w:hAnsi="宋体" w:cs="宋体"/>
          <w:color w:val="auto"/>
          <w:sz w:val="21"/>
          <w:szCs w:val="21"/>
          <w:lang w:val="zh-CN"/>
        </w:rPr>
      </w:pPr>
      <w:bookmarkStart w:id="812" w:name="_Toc406054753"/>
      <w:bookmarkEnd w:id="812"/>
      <w:bookmarkStart w:id="813" w:name="_Toc373478362"/>
      <w:bookmarkEnd w:id="813"/>
      <w:bookmarkStart w:id="814" w:name="_Toc373227715"/>
      <w:bookmarkEnd w:id="814"/>
      <w:bookmarkStart w:id="815" w:name="_Toc20296"/>
      <w:bookmarkStart w:id="816" w:name="_Toc30219"/>
      <w:bookmarkStart w:id="817" w:name="_Toc10688"/>
      <w:bookmarkStart w:id="818" w:name="_Toc32343"/>
      <w:bookmarkStart w:id="819" w:name="_Toc24978"/>
      <w:r>
        <w:rPr>
          <w:rFonts w:ascii="宋体" w:hAnsi="宋体" w:cs="宋体"/>
          <w:color w:val="auto"/>
          <w:sz w:val="21"/>
          <w:szCs w:val="21"/>
          <w:lang w:val="zh-CN"/>
        </w:rPr>
        <w:t>4.2 监理人员</w:t>
      </w:r>
      <w:bookmarkEnd w:id="815"/>
      <w:bookmarkEnd w:id="816"/>
      <w:bookmarkEnd w:id="817"/>
      <w:bookmarkEnd w:id="818"/>
      <w:bookmarkEnd w:id="819"/>
    </w:p>
    <w:p w14:paraId="7D624DEE">
      <w:pPr>
        <w:spacing w:line="360" w:lineRule="exact"/>
        <w:ind w:firstLine="420"/>
        <w:jc w:val="left"/>
        <w:rPr>
          <w:rFonts w:ascii="宋体" w:hAnsi="宋体" w:cs="宋体"/>
          <w:color w:val="auto"/>
          <w:kern w:val="1"/>
          <w:szCs w:val="21"/>
        </w:rPr>
      </w:pPr>
      <w:r>
        <w:rPr>
          <w:rFonts w:ascii="宋体" w:hAnsi="宋体" w:cs="宋体"/>
          <w:color w:val="auto"/>
          <w:kern w:val="1"/>
          <w:szCs w:val="21"/>
        </w:rPr>
        <w:t>总监理工程师：</w:t>
      </w:r>
    </w:p>
    <w:p w14:paraId="159E1EB8">
      <w:pPr>
        <w:spacing w:line="360" w:lineRule="exact"/>
        <w:ind w:firstLine="420"/>
        <w:jc w:val="left"/>
        <w:rPr>
          <w:rFonts w:ascii="宋体" w:hAnsi="宋体" w:cs="宋体"/>
          <w:color w:val="auto"/>
          <w:kern w:val="1"/>
          <w:szCs w:val="21"/>
          <w:u w:val="single"/>
        </w:rPr>
      </w:pPr>
      <w:r>
        <w:rPr>
          <w:rFonts w:hint="eastAsia" w:ascii="宋体" w:hAnsi="宋体" w:cs="宋体"/>
          <w:color w:val="auto"/>
          <w:kern w:val="1"/>
          <w:szCs w:val="21"/>
        </w:rPr>
        <w:t>姓名：</w:t>
      </w:r>
      <w:r>
        <w:rPr>
          <w:rFonts w:hint="eastAsia" w:ascii="宋体" w:hAnsi="宋体" w:cs="宋体"/>
          <w:color w:val="auto"/>
          <w:kern w:val="1"/>
          <w:szCs w:val="21"/>
          <w:u w:val="single"/>
        </w:rPr>
        <w:t xml:space="preserve">                 </w:t>
      </w:r>
    </w:p>
    <w:p w14:paraId="0B24CF74">
      <w:pPr>
        <w:spacing w:line="360" w:lineRule="exact"/>
        <w:ind w:firstLine="420"/>
        <w:jc w:val="left"/>
        <w:rPr>
          <w:rFonts w:ascii="宋体" w:hAnsi="宋体" w:cs="宋体"/>
          <w:color w:val="auto"/>
          <w:kern w:val="1"/>
          <w:szCs w:val="21"/>
        </w:rPr>
      </w:pPr>
      <w:r>
        <w:rPr>
          <w:rFonts w:hint="eastAsia" w:ascii="宋体" w:hAnsi="宋体" w:cs="宋体"/>
          <w:color w:val="auto"/>
          <w:kern w:val="1"/>
          <w:szCs w:val="21"/>
        </w:rPr>
        <w:t>职务：</w:t>
      </w:r>
      <w:r>
        <w:rPr>
          <w:rFonts w:hint="eastAsia" w:ascii="宋体" w:hAnsi="宋体" w:cs="宋体"/>
          <w:color w:val="auto"/>
          <w:kern w:val="1"/>
          <w:szCs w:val="21"/>
          <w:u w:val="single"/>
        </w:rPr>
        <w:t xml:space="preserve">          </w:t>
      </w:r>
    </w:p>
    <w:p w14:paraId="002D1116">
      <w:pPr>
        <w:spacing w:line="360" w:lineRule="exact"/>
        <w:ind w:firstLine="420"/>
        <w:jc w:val="left"/>
        <w:rPr>
          <w:rFonts w:ascii="宋体" w:hAnsi="宋体" w:cs="宋体"/>
          <w:color w:val="auto"/>
          <w:kern w:val="1"/>
          <w:szCs w:val="21"/>
        </w:rPr>
      </w:pPr>
      <w:r>
        <w:rPr>
          <w:rFonts w:hint="eastAsia" w:ascii="宋体" w:hAnsi="宋体" w:cs="宋体"/>
          <w:color w:val="auto"/>
          <w:kern w:val="1"/>
          <w:szCs w:val="21"/>
        </w:rPr>
        <w:t>监理工程师执业资格证书号：</w:t>
      </w:r>
      <w:r>
        <w:rPr>
          <w:rFonts w:hint="eastAsia" w:ascii="宋体" w:hAnsi="宋体" w:cs="宋体"/>
          <w:color w:val="auto"/>
          <w:kern w:val="1"/>
          <w:szCs w:val="21"/>
          <w:u w:val="single"/>
        </w:rPr>
        <w:t xml:space="preserve">              </w:t>
      </w:r>
    </w:p>
    <w:p w14:paraId="7EF4DEF6">
      <w:pPr>
        <w:spacing w:line="360" w:lineRule="exact"/>
        <w:ind w:firstLine="420"/>
        <w:jc w:val="left"/>
        <w:rPr>
          <w:rFonts w:ascii="宋体" w:hAnsi="宋体" w:cs="宋体"/>
          <w:color w:val="auto"/>
          <w:kern w:val="1"/>
          <w:szCs w:val="21"/>
          <w:u w:val="single"/>
        </w:rPr>
      </w:pPr>
      <w:r>
        <w:rPr>
          <w:rFonts w:hint="eastAsia" w:ascii="宋体" w:hAnsi="宋体" w:cs="宋体"/>
          <w:color w:val="auto"/>
          <w:kern w:val="1"/>
          <w:szCs w:val="21"/>
        </w:rPr>
        <w:t>联系电话：</w:t>
      </w:r>
      <w:r>
        <w:rPr>
          <w:rFonts w:hint="eastAsia" w:ascii="宋体" w:hAnsi="宋体" w:cs="宋体"/>
          <w:color w:val="auto"/>
          <w:kern w:val="1"/>
          <w:szCs w:val="21"/>
          <w:u w:val="single"/>
        </w:rPr>
        <w:t xml:space="preserve">                </w:t>
      </w:r>
    </w:p>
    <w:p w14:paraId="4BED9029">
      <w:pPr>
        <w:spacing w:line="360" w:lineRule="exact"/>
        <w:ind w:firstLine="420"/>
        <w:jc w:val="left"/>
        <w:rPr>
          <w:rFonts w:ascii="宋体" w:hAnsi="宋体" w:cs="宋体"/>
          <w:color w:val="auto"/>
          <w:kern w:val="1"/>
          <w:szCs w:val="21"/>
          <w:u w:val="single"/>
        </w:rPr>
      </w:pPr>
      <w:r>
        <w:rPr>
          <w:rFonts w:hint="eastAsia" w:ascii="宋体" w:hAnsi="宋体" w:cs="宋体"/>
          <w:color w:val="auto"/>
          <w:kern w:val="1"/>
          <w:szCs w:val="21"/>
        </w:rPr>
        <w:t>电子信箱：</w:t>
      </w:r>
      <w:r>
        <w:rPr>
          <w:rFonts w:hint="eastAsia" w:ascii="宋体" w:hAnsi="宋体" w:cs="宋体"/>
          <w:color w:val="auto"/>
          <w:kern w:val="1"/>
          <w:szCs w:val="21"/>
          <w:u w:val="single"/>
        </w:rPr>
        <w:t xml:space="preserve">              </w:t>
      </w:r>
    </w:p>
    <w:p w14:paraId="10CBD969">
      <w:pPr>
        <w:spacing w:line="360" w:lineRule="exact"/>
        <w:ind w:firstLine="420"/>
        <w:jc w:val="left"/>
        <w:rPr>
          <w:rFonts w:ascii="宋体" w:hAnsi="宋体" w:cs="宋体"/>
          <w:color w:val="auto"/>
          <w:kern w:val="1"/>
          <w:szCs w:val="21"/>
          <w:u w:val="single"/>
        </w:rPr>
      </w:pPr>
      <w:r>
        <w:rPr>
          <w:rFonts w:hint="eastAsia" w:ascii="宋体" w:hAnsi="宋体" w:cs="宋体"/>
          <w:color w:val="auto"/>
          <w:kern w:val="1"/>
          <w:szCs w:val="21"/>
        </w:rPr>
        <w:t>通信地址：</w:t>
      </w:r>
      <w:r>
        <w:rPr>
          <w:rFonts w:hint="eastAsia" w:ascii="宋体" w:hAnsi="宋体" w:cs="宋体"/>
          <w:color w:val="auto"/>
          <w:kern w:val="1"/>
          <w:szCs w:val="21"/>
          <w:u w:val="single"/>
        </w:rPr>
        <w:t xml:space="preserve">                       </w:t>
      </w:r>
    </w:p>
    <w:p w14:paraId="3F4CDB10">
      <w:pPr>
        <w:spacing w:line="360" w:lineRule="exact"/>
        <w:ind w:firstLine="420"/>
        <w:jc w:val="left"/>
        <w:rPr>
          <w:rFonts w:ascii="宋体" w:hAnsi="宋体" w:cs="宋体"/>
          <w:color w:val="auto"/>
          <w:kern w:val="1"/>
          <w:szCs w:val="21"/>
        </w:rPr>
      </w:pPr>
      <w:r>
        <w:rPr>
          <w:rFonts w:ascii="宋体" w:hAnsi="宋体" w:cs="宋体"/>
          <w:color w:val="auto"/>
          <w:kern w:val="1"/>
          <w:szCs w:val="21"/>
        </w:rPr>
        <w:t>关于监理人的其他约定：</w:t>
      </w:r>
      <w:r>
        <w:rPr>
          <w:rFonts w:hint="eastAsia" w:ascii="宋体" w:hAnsi="宋体" w:cs="宋体"/>
          <w:color w:val="auto"/>
          <w:kern w:val="1"/>
          <w:szCs w:val="21"/>
          <w:u w:val="single"/>
        </w:rPr>
        <w:t xml:space="preserve">      </w:t>
      </w:r>
      <w:r>
        <w:rPr>
          <w:rFonts w:ascii="宋体" w:hAnsi="宋体" w:cs="宋体"/>
          <w:color w:val="auto"/>
          <w:kern w:val="1"/>
          <w:szCs w:val="21"/>
        </w:rPr>
        <w:t>。</w:t>
      </w:r>
    </w:p>
    <w:p w14:paraId="0B15B873">
      <w:pPr>
        <w:pStyle w:val="5"/>
        <w:keepNext w:val="0"/>
        <w:spacing w:line="360" w:lineRule="exact"/>
        <w:rPr>
          <w:rFonts w:ascii="宋体" w:hAnsi="宋体" w:cs="宋体"/>
          <w:color w:val="auto"/>
          <w:sz w:val="21"/>
          <w:szCs w:val="21"/>
          <w:lang w:val="zh-CN"/>
        </w:rPr>
      </w:pPr>
      <w:bookmarkStart w:id="820" w:name="_Toc373478363"/>
      <w:bookmarkEnd w:id="820"/>
      <w:bookmarkStart w:id="821" w:name="_Toc406054754"/>
      <w:bookmarkEnd w:id="821"/>
      <w:bookmarkStart w:id="822" w:name="_Toc373227716"/>
      <w:bookmarkEnd w:id="822"/>
      <w:bookmarkStart w:id="823" w:name="_Toc16505"/>
      <w:bookmarkStart w:id="824" w:name="_Toc30644"/>
      <w:bookmarkStart w:id="825" w:name="_Toc4175"/>
      <w:bookmarkStart w:id="826" w:name="_Toc13219"/>
      <w:bookmarkStart w:id="827" w:name="_Toc31745"/>
      <w:r>
        <w:rPr>
          <w:rFonts w:ascii="宋体" w:hAnsi="宋体" w:cs="宋体"/>
          <w:color w:val="auto"/>
          <w:sz w:val="21"/>
          <w:szCs w:val="21"/>
          <w:lang w:val="zh-CN"/>
        </w:rPr>
        <w:t>4.4 商定或确定</w:t>
      </w:r>
      <w:bookmarkEnd w:id="823"/>
      <w:bookmarkEnd w:id="824"/>
      <w:bookmarkEnd w:id="825"/>
      <w:bookmarkEnd w:id="826"/>
      <w:bookmarkEnd w:id="827"/>
    </w:p>
    <w:p w14:paraId="23336F64">
      <w:pPr>
        <w:spacing w:line="360" w:lineRule="exact"/>
        <w:ind w:firstLine="420"/>
        <w:rPr>
          <w:rFonts w:ascii="宋体" w:hAnsi="宋体" w:cs="宋体"/>
          <w:color w:val="auto"/>
          <w:kern w:val="1"/>
          <w:szCs w:val="21"/>
        </w:rPr>
      </w:pPr>
      <w:r>
        <w:rPr>
          <w:rFonts w:ascii="宋体" w:hAnsi="宋体" w:cs="宋体"/>
          <w:color w:val="auto"/>
          <w:kern w:val="1"/>
          <w:szCs w:val="21"/>
        </w:rPr>
        <w:t>在发包人和承包人不能通过协商达成一致意见时，发包人授权监理人对以下事项进行确定：</w:t>
      </w:r>
    </w:p>
    <w:p w14:paraId="01F9C33C">
      <w:pPr>
        <w:spacing w:line="360" w:lineRule="exact"/>
        <w:ind w:firstLine="420"/>
        <w:jc w:val="left"/>
        <w:rPr>
          <w:rFonts w:ascii="宋体" w:hAnsi="宋体" w:cs="宋体"/>
          <w:color w:val="auto"/>
          <w:kern w:val="1"/>
          <w:szCs w:val="21"/>
        </w:rPr>
      </w:pPr>
      <w:r>
        <w:rPr>
          <w:rFonts w:ascii="宋体" w:hAnsi="宋体" w:cs="宋体"/>
          <w:color w:val="auto"/>
          <w:kern w:val="1"/>
          <w:szCs w:val="21"/>
        </w:rPr>
        <w:t>（1）</w:t>
      </w:r>
      <w:r>
        <w:rPr>
          <w:rFonts w:hint="eastAsia" w:ascii="宋体" w:hAnsi="宋体" w:cs="宋体"/>
          <w:color w:val="auto"/>
          <w:kern w:val="1"/>
          <w:szCs w:val="21"/>
          <w:u w:val="single"/>
        </w:rPr>
        <w:t>工程质量</w:t>
      </w:r>
      <w:r>
        <w:rPr>
          <w:rFonts w:ascii="宋体" w:hAnsi="宋体" w:cs="宋体"/>
          <w:color w:val="auto"/>
          <w:kern w:val="1"/>
          <w:szCs w:val="21"/>
        </w:rPr>
        <w:t>；</w:t>
      </w:r>
    </w:p>
    <w:p w14:paraId="440367A2">
      <w:pPr>
        <w:spacing w:line="360" w:lineRule="exact"/>
        <w:ind w:firstLine="420"/>
        <w:jc w:val="left"/>
        <w:rPr>
          <w:rFonts w:ascii="宋体" w:hAnsi="宋体" w:cs="宋体"/>
          <w:color w:val="auto"/>
          <w:kern w:val="1"/>
          <w:szCs w:val="21"/>
        </w:rPr>
      </w:pPr>
      <w:r>
        <w:rPr>
          <w:rFonts w:ascii="宋体" w:hAnsi="宋体" w:cs="宋体"/>
          <w:color w:val="auto"/>
          <w:kern w:val="1"/>
          <w:szCs w:val="21"/>
        </w:rPr>
        <w:t>（2）</w:t>
      </w:r>
      <w:r>
        <w:rPr>
          <w:rFonts w:hint="eastAsia" w:ascii="宋体" w:hAnsi="宋体" w:cs="宋体"/>
          <w:color w:val="auto"/>
          <w:kern w:val="1"/>
          <w:szCs w:val="21"/>
          <w:u w:val="single"/>
        </w:rPr>
        <w:t>已完工程数量、经济索赔</w:t>
      </w:r>
      <w:r>
        <w:rPr>
          <w:rFonts w:ascii="宋体" w:hAnsi="宋体" w:cs="宋体"/>
          <w:color w:val="auto"/>
          <w:kern w:val="1"/>
          <w:szCs w:val="21"/>
        </w:rPr>
        <w:t>；</w:t>
      </w:r>
    </w:p>
    <w:p w14:paraId="6165FAFD">
      <w:pPr>
        <w:spacing w:line="360" w:lineRule="exact"/>
        <w:ind w:firstLine="420"/>
        <w:jc w:val="left"/>
        <w:rPr>
          <w:rFonts w:ascii="宋体" w:hAnsi="宋体" w:cs="宋体"/>
          <w:color w:val="auto"/>
          <w:kern w:val="1"/>
          <w:szCs w:val="21"/>
        </w:rPr>
      </w:pPr>
      <w:r>
        <w:rPr>
          <w:rFonts w:ascii="宋体" w:hAnsi="宋体" w:cs="宋体"/>
          <w:color w:val="auto"/>
          <w:kern w:val="1"/>
          <w:szCs w:val="21"/>
        </w:rPr>
        <w:t>（3）</w:t>
      </w:r>
      <w:r>
        <w:rPr>
          <w:rFonts w:ascii="宋体" w:hAnsi="宋体" w:cs="宋体"/>
          <w:color w:val="auto"/>
          <w:kern w:val="1"/>
          <w:szCs w:val="21"/>
          <w:u w:val="single"/>
        </w:rPr>
        <w:t>工期延误或提前、工程索赔</w:t>
      </w:r>
      <w:r>
        <w:rPr>
          <w:rFonts w:ascii="宋体" w:hAnsi="宋体" w:cs="宋体"/>
          <w:color w:val="auto"/>
          <w:kern w:val="1"/>
          <w:szCs w:val="21"/>
        </w:rPr>
        <w:t>。</w:t>
      </w:r>
    </w:p>
    <w:p w14:paraId="5CD59BE5">
      <w:pPr>
        <w:pStyle w:val="5"/>
        <w:keepNext w:val="0"/>
        <w:spacing w:line="360" w:lineRule="exact"/>
        <w:rPr>
          <w:rFonts w:ascii="宋体" w:hAnsi="宋体" w:cs="宋体"/>
          <w:color w:val="auto"/>
          <w:sz w:val="21"/>
          <w:szCs w:val="21"/>
          <w:lang w:val="zh-CN"/>
        </w:rPr>
      </w:pPr>
      <w:bookmarkStart w:id="828" w:name="_Toc373478364"/>
      <w:bookmarkEnd w:id="828"/>
      <w:bookmarkStart w:id="829" w:name="_Toc373227717"/>
      <w:bookmarkEnd w:id="829"/>
      <w:bookmarkStart w:id="830" w:name="_Toc406054755"/>
      <w:bookmarkEnd w:id="830"/>
      <w:bookmarkStart w:id="831" w:name="_Toc9386"/>
      <w:bookmarkStart w:id="832" w:name="_Toc3291"/>
      <w:bookmarkStart w:id="833" w:name="_Toc9566"/>
      <w:bookmarkStart w:id="834" w:name="_Toc30271"/>
      <w:bookmarkStart w:id="835" w:name="_Toc9845"/>
      <w:r>
        <w:rPr>
          <w:rFonts w:ascii="宋体" w:hAnsi="宋体" w:cs="宋体"/>
          <w:color w:val="auto"/>
          <w:sz w:val="21"/>
          <w:szCs w:val="21"/>
          <w:lang w:val="zh-CN"/>
        </w:rPr>
        <w:t>5. 工程质量</w:t>
      </w:r>
      <w:bookmarkEnd w:id="831"/>
      <w:bookmarkEnd w:id="832"/>
      <w:bookmarkEnd w:id="833"/>
      <w:bookmarkEnd w:id="834"/>
      <w:bookmarkEnd w:id="835"/>
    </w:p>
    <w:p w14:paraId="5D6F6B65">
      <w:pPr>
        <w:pStyle w:val="5"/>
        <w:keepNext w:val="0"/>
        <w:spacing w:line="360" w:lineRule="exact"/>
        <w:rPr>
          <w:rFonts w:ascii="宋体" w:hAnsi="宋体" w:cs="宋体"/>
          <w:color w:val="auto"/>
          <w:sz w:val="21"/>
          <w:szCs w:val="21"/>
          <w:lang w:val="zh-CN"/>
        </w:rPr>
      </w:pPr>
      <w:bookmarkStart w:id="836" w:name="_Toc406054756"/>
      <w:bookmarkEnd w:id="836"/>
      <w:bookmarkStart w:id="837" w:name="_Toc373227718"/>
      <w:bookmarkEnd w:id="837"/>
      <w:bookmarkStart w:id="838" w:name="_Toc373478365"/>
      <w:bookmarkEnd w:id="838"/>
      <w:bookmarkStart w:id="839" w:name="_Toc4861"/>
      <w:bookmarkStart w:id="840" w:name="_Toc14034"/>
      <w:bookmarkStart w:id="841" w:name="_Toc29438"/>
      <w:bookmarkStart w:id="842" w:name="_Toc8910"/>
      <w:bookmarkStart w:id="843" w:name="_Toc20378"/>
      <w:r>
        <w:rPr>
          <w:rFonts w:ascii="宋体" w:hAnsi="宋体" w:cs="宋体"/>
          <w:color w:val="auto"/>
          <w:sz w:val="21"/>
          <w:szCs w:val="21"/>
          <w:lang w:val="zh-CN"/>
        </w:rPr>
        <w:t>5.1 质量要求</w:t>
      </w:r>
      <w:bookmarkEnd w:id="839"/>
      <w:bookmarkEnd w:id="840"/>
      <w:bookmarkEnd w:id="841"/>
      <w:bookmarkEnd w:id="842"/>
      <w:bookmarkEnd w:id="843"/>
    </w:p>
    <w:p w14:paraId="22C2EC08">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5.1.1 特殊质量标准和要求：</w:t>
      </w:r>
      <w:r>
        <w:rPr>
          <w:rFonts w:hint="eastAsia" w:ascii="宋体" w:hAnsi="宋体" w:cs="宋体"/>
          <w:color w:val="auto"/>
          <w:kern w:val="1"/>
          <w:szCs w:val="21"/>
          <w:u w:val="single"/>
        </w:rPr>
        <w:t>无</w:t>
      </w:r>
      <w:r>
        <w:rPr>
          <w:rFonts w:ascii="宋体" w:hAnsi="宋体" w:cs="宋体"/>
          <w:color w:val="auto"/>
          <w:kern w:val="1"/>
          <w:szCs w:val="21"/>
        </w:rPr>
        <w:t>。</w:t>
      </w:r>
    </w:p>
    <w:p w14:paraId="36767F04">
      <w:pPr>
        <w:spacing w:line="360" w:lineRule="exact"/>
        <w:ind w:firstLine="420"/>
        <w:jc w:val="left"/>
        <w:rPr>
          <w:rFonts w:ascii="宋体" w:hAnsi="宋体" w:cs="宋体"/>
          <w:color w:val="auto"/>
          <w:kern w:val="1"/>
          <w:szCs w:val="21"/>
        </w:rPr>
      </w:pPr>
      <w:r>
        <w:rPr>
          <w:rFonts w:ascii="宋体" w:hAnsi="宋体" w:cs="宋体"/>
          <w:color w:val="auto"/>
          <w:kern w:val="1"/>
          <w:szCs w:val="21"/>
        </w:rPr>
        <w:t>关于工程奖项的约定：</w:t>
      </w:r>
      <w:r>
        <w:rPr>
          <w:rFonts w:hint="eastAsia" w:ascii="宋体" w:hAnsi="宋体" w:cs="宋体"/>
          <w:color w:val="auto"/>
          <w:kern w:val="1"/>
          <w:szCs w:val="21"/>
          <w:u w:val="single"/>
        </w:rPr>
        <w:t>无</w:t>
      </w:r>
      <w:r>
        <w:rPr>
          <w:rFonts w:ascii="宋体" w:hAnsi="宋体" w:cs="宋体"/>
          <w:color w:val="auto"/>
          <w:kern w:val="1"/>
          <w:szCs w:val="21"/>
        </w:rPr>
        <w:t>。</w:t>
      </w:r>
    </w:p>
    <w:p w14:paraId="77BBDF50">
      <w:pPr>
        <w:spacing w:line="360" w:lineRule="exact"/>
        <w:ind w:firstLine="420"/>
        <w:jc w:val="left"/>
        <w:rPr>
          <w:rFonts w:ascii="宋体" w:hAnsi="宋体" w:cs="宋体"/>
          <w:color w:val="auto"/>
          <w:kern w:val="1"/>
          <w:szCs w:val="21"/>
        </w:rPr>
      </w:pPr>
      <w:r>
        <w:rPr>
          <w:rFonts w:ascii="宋体" w:hAnsi="宋体" w:cs="宋体"/>
          <w:color w:val="auto"/>
          <w:kern w:val="1"/>
          <w:szCs w:val="21"/>
        </w:rPr>
        <w:t>5.3 隐蔽工程检查</w:t>
      </w:r>
    </w:p>
    <w:p w14:paraId="2A1FFAAC">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5.3.2承包人提前通知监理人隐蔽工程检查的期限的约定：</w:t>
      </w:r>
      <w:r>
        <w:rPr>
          <w:rFonts w:ascii="宋体" w:hAnsi="宋体" w:cs="宋体"/>
          <w:bCs/>
          <w:color w:val="auto"/>
          <w:kern w:val="1"/>
          <w:szCs w:val="21"/>
          <w:u w:val="single"/>
        </w:rPr>
        <w:t>工程隐蔽或中间验收前12小时以书面形式通知发包人和监理工程师验收的内容、时间、地点，承包人准备验收记录单（印制的表格）由双方签证。验收合格，承包人可进行隐蔽和继续施工；验收不合格，双方商订时限内修改后按上述循序重新验收。</w:t>
      </w:r>
    </w:p>
    <w:p w14:paraId="6FAE0D00">
      <w:pPr>
        <w:spacing w:line="360" w:lineRule="exact"/>
        <w:ind w:firstLine="420"/>
        <w:jc w:val="left"/>
        <w:rPr>
          <w:rFonts w:ascii="宋体" w:hAnsi="宋体" w:cs="宋体"/>
          <w:color w:val="auto"/>
          <w:kern w:val="1"/>
          <w:szCs w:val="21"/>
        </w:rPr>
      </w:pPr>
      <w:r>
        <w:rPr>
          <w:rFonts w:ascii="宋体" w:hAnsi="宋体" w:cs="宋体"/>
          <w:color w:val="auto"/>
          <w:kern w:val="1"/>
          <w:szCs w:val="21"/>
        </w:rPr>
        <w:t>监理人不能按时进行检查时，应提前</w:t>
      </w:r>
      <w:r>
        <w:rPr>
          <w:rFonts w:hint="eastAsia" w:ascii="宋体" w:hAnsi="宋体" w:cs="宋体"/>
          <w:color w:val="auto"/>
          <w:kern w:val="1"/>
          <w:szCs w:val="21"/>
          <w:u w:val="single"/>
        </w:rPr>
        <w:t>24</w:t>
      </w:r>
      <w:r>
        <w:rPr>
          <w:rFonts w:ascii="宋体" w:hAnsi="宋体" w:cs="宋体"/>
          <w:color w:val="auto"/>
          <w:kern w:val="1"/>
          <w:szCs w:val="21"/>
        </w:rPr>
        <w:t>小时提交书面延期要求。</w:t>
      </w:r>
    </w:p>
    <w:p w14:paraId="6C02624B">
      <w:pPr>
        <w:spacing w:line="360" w:lineRule="exact"/>
        <w:ind w:firstLine="420"/>
        <w:jc w:val="left"/>
        <w:rPr>
          <w:rFonts w:ascii="宋体" w:hAnsi="宋体" w:cs="宋体"/>
          <w:color w:val="auto"/>
          <w:kern w:val="1"/>
          <w:szCs w:val="21"/>
        </w:rPr>
      </w:pPr>
      <w:r>
        <w:rPr>
          <w:rFonts w:ascii="宋体" w:hAnsi="宋体" w:cs="宋体"/>
          <w:color w:val="auto"/>
          <w:kern w:val="1"/>
          <w:szCs w:val="21"/>
        </w:rPr>
        <w:t>关于延期最长不得超过：</w:t>
      </w:r>
      <w:r>
        <w:rPr>
          <w:rFonts w:hint="eastAsia" w:ascii="宋体" w:hAnsi="宋体" w:cs="宋体"/>
          <w:color w:val="auto"/>
          <w:kern w:val="1"/>
          <w:szCs w:val="21"/>
          <w:u w:val="single"/>
        </w:rPr>
        <w:t>48</w:t>
      </w:r>
      <w:r>
        <w:rPr>
          <w:rFonts w:ascii="宋体" w:hAnsi="宋体" w:cs="宋体"/>
          <w:color w:val="auto"/>
          <w:kern w:val="1"/>
          <w:szCs w:val="21"/>
        </w:rPr>
        <w:t>小时。</w:t>
      </w:r>
    </w:p>
    <w:p w14:paraId="0071EED5">
      <w:pPr>
        <w:pStyle w:val="5"/>
        <w:keepNext w:val="0"/>
        <w:spacing w:line="360" w:lineRule="exact"/>
        <w:rPr>
          <w:rFonts w:ascii="宋体" w:hAnsi="宋体" w:cs="宋体"/>
          <w:color w:val="auto"/>
          <w:sz w:val="21"/>
          <w:szCs w:val="21"/>
          <w:lang w:val="zh-CN"/>
        </w:rPr>
      </w:pPr>
      <w:bookmarkStart w:id="844" w:name="_Toc373478366"/>
      <w:bookmarkEnd w:id="844"/>
      <w:bookmarkStart w:id="845" w:name="_Toc406054757"/>
      <w:bookmarkEnd w:id="845"/>
      <w:bookmarkStart w:id="846" w:name="_Toc373227719"/>
      <w:bookmarkEnd w:id="846"/>
      <w:bookmarkStart w:id="847" w:name="_Toc28858"/>
      <w:bookmarkStart w:id="848" w:name="_Toc23591"/>
      <w:bookmarkStart w:id="849" w:name="_Toc10228"/>
      <w:bookmarkStart w:id="850" w:name="_Toc22863"/>
      <w:bookmarkStart w:id="851" w:name="_Toc11301"/>
      <w:r>
        <w:rPr>
          <w:rFonts w:ascii="宋体" w:hAnsi="宋体" w:cs="宋体"/>
          <w:color w:val="auto"/>
          <w:sz w:val="21"/>
          <w:szCs w:val="21"/>
          <w:lang w:val="zh-CN"/>
        </w:rPr>
        <w:t>6. 安全文明施工与环境保护</w:t>
      </w:r>
      <w:bookmarkEnd w:id="847"/>
      <w:bookmarkEnd w:id="848"/>
      <w:bookmarkEnd w:id="849"/>
      <w:bookmarkEnd w:id="850"/>
      <w:bookmarkEnd w:id="851"/>
    </w:p>
    <w:p w14:paraId="118317A2">
      <w:pPr>
        <w:pStyle w:val="5"/>
        <w:keepNext w:val="0"/>
        <w:spacing w:line="360" w:lineRule="exact"/>
        <w:rPr>
          <w:rFonts w:ascii="宋体" w:hAnsi="宋体" w:cs="宋体"/>
          <w:color w:val="auto"/>
          <w:sz w:val="21"/>
          <w:szCs w:val="21"/>
          <w:lang w:val="zh-CN"/>
        </w:rPr>
      </w:pPr>
      <w:bookmarkStart w:id="852" w:name="_Toc373478367"/>
      <w:bookmarkEnd w:id="852"/>
      <w:bookmarkStart w:id="853" w:name="_Toc406054758"/>
      <w:bookmarkEnd w:id="853"/>
      <w:bookmarkStart w:id="854" w:name="_Toc373227720"/>
      <w:bookmarkEnd w:id="854"/>
      <w:bookmarkStart w:id="855" w:name="_Toc25324"/>
      <w:bookmarkStart w:id="856" w:name="_Toc28940"/>
      <w:bookmarkStart w:id="857" w:name="_Toc6202"/>
      <w:bookmarkStart w:id="858" w:name="_Toc3148"/>
      <w:bookmarkStart w:id="859" w:name="_Toc20214"/>
      <w:r>
        <w:rPr>
          <w:rFonts w:ascii="宋体" w:hAnsi="宋体" w:cs="宋体"/>
          <w:color w:val="auto"/>
          <w:sz w:val="21"/>
          <w:szCs w:val="21"/>
          <w:lang w:val="zh-CN"/>
        </w:rPr>
        <w:t>6.1安全文明施工</w:t>
      </w:r>
      <w:bookmarkEnd w:id="855"/>
      <w:bookmarkEnd w:id="856"/>
      <w:bookmarkEnd w:id="857"/>
      <w:bookmarkEnd w:id="858"/>
      <w:bookmarkEnd w:id="859"/>
    </w:p>
    <w:p w14:paraId="462B9ECF">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6.1.1 项目安全生产的达标目标及相应事项的约定：</w:t>
      </w:r>
      <w:r>
        <w:rPr>
          <w:rFonts w:hint="eastAsia" w:ascii="宋体" w:hAnsi="宋体" w:cs="宋体"/>
          <w:color w:val="auto"/>
          <w:kern w:val="1"/>
          <w:szCs w:val="21"/>
          <w:u w:val="single"/>
        </w:rPr>
        <w:t>符合文明施工工地标准，费用由承包人承担</w:t>
      </w:r>
      <w:r>
        <w:rPr>
          <w:rFonts w:ascii="宋体" w:hAnsi="宋体" w:cs="宋体"/>
          <w:color w:val="auto"/>
          <w:kern w:val="1"/>
          <w:szCs w:val="21"/>
        </w:rPr>
        <w:t>。</w:t>
      </w:r>
    </w:p>
    <w:p w14:paraId="21C0F658">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6.1.4 关于治安保卫的特别约定：</w:t>
      </w:r>
      <w:r>
        <w:rPr>
          <w:rFonts w:ascii="宋体" w:hAnsi="宋体" w:cs="宋体"/>
          <w:color w:val="auto"/>
          <w:kern w:val="1"/>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332B282C">
      <w:pPr>
        <w:spacing w:line="360" w:lineRule="exact"/>
        <w:ind w:firstLine="420"/>
        <w:jc w:val="left"/>
        <w:rPr>
          <w:rFonts w:ascii="宋体" w:hAnsi="宋体" w:cs="宋体"/>
          <w:color w:val="auto"/>
          <w:kern w:val="1"/>
          <w:szCs w:val="21"/>
        </w:rPr>
      </w:pPr>
      <w:r>
        <w:rPr>
          <w:rFonts w:ascii="宋体" w:hAnsi="宋体" w:cs="宋体"/>
          <w:color w:val="auto"/>
          <w:kern w:val="1"/>
          <w:szCs w:val="21"/>
        </w:rPr>
        <w:t>关于编制施工场地治安管理计划的约定：</w:t>
      </w:r>
      <w:r>
        <w:rPr>
          <w:rFonts w:hint="eastAsia" w:ascii="宋体" w:hAnsi="宋体" w:cs="宋体"/>
          <w:color w:val="auto"/>
          <w:kern w:val="1"/>
          <w:szCs w:val="21"/>
          <w:u w:val="single"/>
        </w:rPr>
        <w:t>由承包人负责编制和办理报批手续</w:t>
      </w:r>
      <w:r>
        <w:rPr>
          <w:rFonts w:ascii="宋体" w:hAnsi="宋体" w:cs="宋体"/>
          <w:color w:val="auto"/>
          <w:kern w:val="1"/>
          <w:szCs w:val="21"/>
        </w:rPr>
        <w:t>。</w:t>
      </w:r>
    </w:p>
    <w:p w14:paraId="7A9C6A20">
      <w:pPr>
        <w:spacing w:line="360" w:lineRule="exact"/>
        <w:ind w:firstLine="420"/>
        <w:jc w:val="left"/>
        <w:rPr>
          <w:rFonts w:ascii="宋体" w:hAnsi="宋体" w:cs="宋体"/>
          <w:color w:val="auto"/>
          <w:kern w:val="1"/>
          <w:szCs w:val="21"/>
        </w:rPr>
      </w:pPr>
      <w:r>
        <w:rPr>
          <w:rFonts w:ascii="宋体" w:hAnsi="宋体" w:cs="宋体"/>
          <w:color w:val="auto"/>
          <w:kern w:val="1"/>
          <w:szCs w:val="21"/>
        </w:rPr>
        <w:t>6.1.5 文明施工</w:t>
      </w:r>
    </w:p>
    <w:p w14:paraId="13A51E7D">
      <w:pPr>
        <w:spacing w:line="360" w:lineRule="exact"/>
        <w:ind w:firstLine="420" w:firstLineChars="200"/>
        <w:jc w:val="left"/>
        <w:rPr>
          <w:rFonts w:ascii="宋体" w:hAnsi="宋体" w:cs="宋体"/>
          <w:color w:val="auto"/>
          <w:kern w:val="1"/>
          <w:szCs w:val="21"/>
        </w:rPr>
      </w:pPr>
      <w:r>
        <w:rPr>
          <w:rFonts w:ascii="宋体" w:hAnsi="宋体" w:cs="宋体"/>
          <w:color w:val="auto"/>
          <w:kern w:val="1"/>
          <w:szCs w:val="21"/>
        </w:rPr>
        <w:t>合同当事人对文明施工的要求：</w:t>
      </w:r>
      <w:r>
        <w:rPr>
          <w:rFonts w:hint="eastAsia" w:ascii="宋体" w:hAnsi="宋体" w:cs="宋体"/>
          <w:color w:val="auto"/>
          <w:kern w:val="1"/>
          <w:szCs w:val="21"/>
          <w:u w:val="single"/>
        </w:rPr>
        <w:t>遵守行业和项目所在地方政府的规定</w:t>
      </w:r>
      <w:r>
        <w:rPr>
          <w:rFonts w:ascii="宋体" w:hAnsi="宋体" w:cs="宋体"/>
          <w:color w:val="auto"/>
          <w:kern w:val="1"/>
          <w:szCs w:val="21"/>
        </w:rPr>
        <w:t>。</w:t>
      </w:r>
    </w:p>
    <w:p w14:paraId="13897ACC">
      <w:pPr>
        <w:spacing w:line="360" w:lineRule="auto"/>
        <w:ind w:firstLine="420" w:firstLineChars="200"/>
        <w:rPr>
          <w:rFonts w:ascii="宋体" w:hAnsi="宋体" w:cs="宋体"/>
          <w:color w:val="auto"/>
          <w:kern w:val="1"/>
          <w:szCs w:val="21"/>
          <w:u w:val="single"/>
        </w:rPr>
      </w:pPr>
      <w:r>
        <w:rPr>
          <w:rFonts w:ascii="宋体" w:hAnsi="宋体" w:cs="宋体"/>
          <w:color w:val="auto"/>
          <w:kern w:val="1"/>
          <w:szCs w:val="21"/>
        </w:rPr>
        <w:t>6.1.6 关于安全文明施工费支付比例和支</w:t>
      </w:r>
      <w:r>
        <w:rPr>
          <w:rFonts w:hint="eastAsia" w:ascii="宋体" w:hAnsi="宋体" w:cs="宋体"/>
          <w:color w:val="auto"/>
          <w:kern w:val="1"/>
          <w:szCs w:val="21"/>
        </w:rPr>
        <w:t>付期限：</w:t>
      </w:r>
      <w:r>
        <w:rPr>
          <w:rFonts w:ascii="宋体" w:hAnsi="宋体" w:cs="宋体"/>
          <w:color w:val="auto"/>
          <w:kern w:val="1"/>
          <w:szCs w:val="21"/>
          <w:u w:val="single"/>
        </w:rPr>
        <w:t>本合同价款已包含安全防护、文明施工措施费</w:t>
      </w:r>
      <w:r>
        <w:rPr>
          <w:rFonts w:hint="eastAsia" w:ascii="宋体" w:hAnsi="宋体"/>
          <w:color w:val="auto"/>
          <w:szCs w:val="21"/>
          <w:u w:val="single"/>
        </w:rPr>
        <w:t xml:space="preserve">          </w:t>
      </w:r>
      <w:r>
        <w:rPr>
          <w:rFonts w:hint="eastAsia" w:ascii="宋体" w:hAnsi="宋体" w:cs="宋体"/>
          <w:color w:val="auto"/>
          <w:kern w:val="1"/>
          <w:szCs w:val="21"/>
          <w:u w:val="single"/>
        </w:rPr>
        <w:t>（¥</w:t>
      </w:r>
      <w:r>
        <w:rPr>
          <w:rFonts w:hint="eastAsia" w:ascii="宋体" w:hAnsi="宋体"/>
          <w:color w:val="auto"/>
          <w:szCs w:val="21"/>
          <w:u w:val="single"/>
        </w:rPr>
        <w:t xml:space="preserve">       </w:t>
      </w:r>
      <w:r>
        <w:rPr>
          <w:rFonts w:ascii="宋体" w:hAnsi="宋体" w:cs="宋体"/>
          <w:color w:val="auto"/>
          <w:kern w:val="1"/>
          <w:szCs w:val="21"/>
          <w:u w:val="single"/>
        </w:rPr>
        <w:t>元</w:t>
      </w:r>
      <w:r>
        <w:rPr>
          <w:rFonts w:hint="eastAsia" w:ascii="宋体" w:hAnsi="宋体" w:cs="宋体"/>
          <w:color w:val="auto"/>
          <w:kern w:val="1"/>
          <w:szCs w:val="21"/>
          <w:u w:val="single"/>
        </w:rPr>
        <w:t>）</w:t>
      </w:r>
      <w:r>
        <w:rPr>
          <w:rFonts w:ascii="宋体" w:hAnsi="宋体" w:cs="宋体"/>
          <w:color w:val="auto"/>
          <w:kern w:val="1"/>
          <w:szCs w:val="21"/>
        </w:rPr>
        <w:t>，</w:t>
      </w:r>
      <w:r>
        <w:rPr>
          <w:rFonts w:hint="eastAsia" w:ascii="宋体" w:hAnsi="宋体" w:cs="宋体"/>
          <w:color w:val="auto"/>
          <w:kern w:val="1"/>
          <w:szCs w:val="21"/>
        </w:rPr>
        <w:t>支</w:t>
      </w:r>
      <w:r>
        <w:rPr>
          <w:rFonts w:ascii="宋体" w:hAnsi="宋体" w:cs="宋体"/>
          <w:color w:val="auto"/>
          <w:kern w:val="1"/>
          <w:szCs w:val="21"/>
        </w:rPr>
        <w:t>付期限的约定：</w:t>
      </w:r>
      <w:r>
        <w:rPr>
          <w:rFonts w:hint="eastAsia" w:ascii="宋体" w:hAnsi="宋体" w:cs="宋体"/>
          <w:color w:val="auto"/>
          <w:kern w:val="1"/>
          <w:szCs w:val="21"/>
          <w:u w:val="single"/>
        </w:rPr>
        <w:t xml:space="preserve">         </w:t>
      </w:r>
      <w:r>
        <w:rPr>
          <w:rFonts w:hint="eastAsia" w:ascii="宋体" w:hAnsi="宋体" w:cs="宋体"/>
          <w:color w:val="auto"/>
          <w:kern w:val="1"/>
          <w:szCs w:val="21"/>
        </w:rPr>
        <w:t xml:space="preserve"> </w:t>
      </w:r>
      <w:r>
        <w:rPr>
          <w:rFonts w:ascii="宋体" w:hAnsi="宋体" w:cs="宋体"/>
          <w:color w:val="auto"/>
          <w:kern w:val="1"/>
          <w:szCs w:val="21"/>
          <w:u w:val="single"/>
        </w:rPr>
        <w:t>使用要求：专款专用。</w:t>
      </w:r>
      <w:r>
        <w:rPr>
          <w:rFonts w:hint="eastAsia"/>
          <w:color w:val="auto"/>
          <w:u w:val="single"/>
        </w:rPr>
        <w:t>按广西壮族自治区建设厅《关于印发＜广西壮族自治区建筑工程安全防护、文明施工措施费及使用管理细则＞的通知》（桂建质〔2015〕16号）</w:t>
      </w:r>
      <w:r>
        <w:rPr>
          <w:rFonts w:ascii="宋体" w:hAnsi="宋体" w:cs="宋体"/>
          <w:color w:val="auto"/>
          <w:kern w:val="1"/>
          <w:szCs w:val="21"/>
          <w:u w:val="single"/>
        </w:rPr>
        <w:t>。</w:t>
      </w:r>
    </w:p>
    <w:p w14:paraId="6418AE67">
      <w:pPr>
        <w:pStyle w:val="5"/>
        <w:keepNext w:val="0"/>
        <w:spacing w:line="360" w:lineRule="exact"/>
        <w:rPr>
          <w:rFonts w:ascii="宋体" w:hAnsi="宋体" w:cs="宋体"/>
          <w:color w:val="auto"/>
          <w:sz w:val="21"/>
          <w:szCs w:val="21"/>
          <w:lang w:val="zh-CN"/>
        </w:rPr>
      </w:pPr>
      <w:bookmarkStart w:id="860" w:name="_Toc373227721"/>
      <w:bookmarkEnd w:id="860"/>
      <w:bookmarkStart w:id="861" w:name="_Toc373478368"/>
      <w:bookmarkEnd w:id="861"/>
      <w:bookmarkStart w:id="862" w:name="_Toc406054759"/>
      <w:bookmarkEnd w:id="862"/>
      <w:bookmarkStart w:id="863" w:name="_Toc13465"/>
      <w:bookmarkStart w:id="864" w:name="_Toc23610"/>
      <w:bookmarkStart w:id="865" w:name="_Toc10359"/>
      <w:bookmarkStart w:id="866" w:name="_Toc21437"/>
      <w:bookmarkStart w:id="867" w:name="_Toc3866"/>
      <w:r>
        <w:rPr>
          <w:rFonts w:ascii="宋体" w:hAnsi="宋体" w:cs="宋体"/>
          <w:color w:val="auto"/>
          <w:sz w:val="21"/>
          <w:szCs w:val="21"/>
          <w:lang w:val="zh-CN"/>
        </w:rPr>
        <w:t>6.3环境保护</w:t>
      </w:r>
      <w:bookmarkEnd w:id="863"/>
      <w:bookmarkEnd w:id="864"/>
      <w:bookmarkEnd w:id="865"/>
      <w:bookmarkEnd w:id="866"/>
      <w:bookmarkEnd w:id="867"/>
    </w:p>
    <w:p w14:paraId="227AB64F">
      <w:pPr>
        <w:spacing w:line="360" w:lineRule="exact"/>
        <w:ind w:firstLine="420"/>
        <w:jc w:val="left"/>
        <w:rPr>
          <w:rFonts w:ascii="宋体" w:hAnsi="宋体" w:cs="宋体"/>
          <w:color w:val="auto"/>
          <w:kern w:val="1"/>
          <w:szCs w:val="21"/>
          <w:u w:val="single"/>
        </w:rPr>
      </w:pPr>
      <w:r>
        <w:rPr>
          <w:rFonts w:ascii="宋体" w:hAnsi="宋体" w:cs="宋体"/>
          <w:color w:val="auto"/>
          <w:kern w:val="1"/>
          <w:szCs w:val="21"/>
          <w:u w:val="single"/>
        </w:rPr>
        <w:t>因施工需要，经发包人批准，由承包人办理有关施工场地交通、环卫和施工噪音管理等手续，费用由承包人负责。</w:t>
      </w:r>
    </w:p>
    <w:p w14:paraId="5455E5C8">
      <w:pPr>
        <w:spacing w:line="360" w:lineRule="exact"/>
        <w:ind w:firstLine="420"/>
        <w:jc w:val="left"/>
        <w:rPr>
          <w:rFonts w:ascii="宋体" w:hAnsi="宋体" w:cs="宋体"/>
          <w:color w:val="auto"/>
          <w:kern w:val="1"/>
          <w:szCs w:val="21"/>
          <w:u w:val="single"/>
        </w:rPr>
      </w:pPr>
      <w:r>
        <w:rPr>
          <w:rFonts w:ascii="宋体" w:hAnsi="宋体" w:cs="宋体"/>
          <w:color w:val="auto"/>
          <w:kern w:val="1"/>
          <w:szCs w:val="21"/>
          <w:u w:val="single"/>
        </w:rPr>
        <w:t>经过城市道路的施工车辆，必须按交警、城管、运输等部门相关规定执行。由于施工车辆造成的道路、环境等污染，其责任和费用均由承包人承担。</w:t>
      </w:r>
    </w:p>
    <w:p w14:paraId="410D0833">
      <w:pPr>
        <w:pStyle w:val="5"/>
        <w:keepNext w:val="0"/>
        <w:spacing w:line="360" w:lineRule="exact"/>
        <w:rPr>
          <w:rFonts w:ascii="宋体" w:hAnsi="宋体" w:cs="宋体"/>
          <w:color w:val="auto"/>
          <w:sz w:val="21"/>
          <w:szCs w:val="21"/>
          <w:lang w:val="zh-CN"/>
        </w:rPr>
      </w:pPr>
      <w:bookmarkStart w:id="868" w:name="_Toc373478369"/>
      <w:bookmarkEnd w:id="868"/>
      <w:bookmarkStart w:id="869" w:name="_Toc406054760"/>
      <w:bookmarkEnd w:id="869"/>
      <w:bookmarkStart w:id="870" w:name="_Toc373227722"/>
      <w:bookmarkEnd w:id="870"/>
      <w:bookmarkStart w:id="871" w:name="_Toc7956"/>
      <w:bookmarkStart w:id="872" w:name="_Toc28798"/>
      <w:bookmarkStart w:id="873" w:name="_Toc29232"/>
      <w:bookmarkStart w:id="874" w:name="_Toc10051"/>
      <w:bookmarkStart w:id="875" w:name="_Toc10816"/>
      <w:r>
        <w:rPr>
          <w:rFonts w:ascii="宋体" w:hAnsi="宋体" w:cs="宋体"/>
          <w:color w:val="auto"/>
          <w:sz w:val="21"/>
          <w:szCs w:val="21"/>
          <w:lang w:val="zh-CN"/>
        </w:rPr>
        <w:t>7. 工期和进度</w:t>
      </w:r>
      <w:bookmarkEnd w:id="871"/>
      <w:bookmarkEnd w:id="872"/>
      <w:bookmarkEnd w:id="873"/>
      <w:bookmarkEnd w:id="874"/>
      <w:bookmarkEnd w:id="875"/>
    </w:p>
    <w:p w14:paraId="3F3D31A8">
      <w:pPr>
        <w:pStyle w:val="5"/>
        <w:keepNext w:val="0"/>
        <w:spacing w:line="360" w:lineRule="exact"/>
        <w:rPr>
          <w:rFonts w:ascii="宋体" w:hAnsi="宋体" w:cs="宋体"/>
          <w:color w:val="auto"/>
          <w:sz w:val="21"/>
          <w:szCs w:val="21"/>
          <w:lang w:val="zh-CN"/>
        </w:rPr>
      </w:pPr>
      <w:bookmarkStart w:id="876" w:name="_Toc373478370"/>
      <w:bookmarkEnd w:id="876"/>
      <w:bookmarkStart w:id="877" w:name="_Toc373227723"/>
      <w:bookmarkEnd w:id="877"/>
      <w:bookmarkStart w:id="878" w:name="_Toc406054761"/>
      <w:bookmarkEnd w:id="878"/>
      <w:bookmarkStart w:id="879" w:name="_Toc8936"/>
      <w:bookmarkStart w:id="880" w:name="_Toc2532"/>
      <w:bookmarkStart w:id="881" w:name="_Toc31035"/>
      <w:bookmarkStart w:id="882" w:name="_Toc4338"/>
      <w:bookmarkStart w:id="883" w:name="_Toc23140"/>
      <w:r>
        <w:rPr>
          <w:rFonts w:ascii="宋体" w:hAnsi="宋体" w:cs="宋体"/>
          <w:color w:val="auto"/>
          <w:sz w:val="21"/>
          <w:szCs w:val="21"/>
          <w:lang w:val="zh-CN"/>
        </w:rPr>
        <w:t>7.1 施工组织设计</w:t>
      </w:r>
      <w:bookmarkEnd w:id="879"/>
      <w:bookmarkEnd w:id="880"/>
      <w:bookmarkEnd w:id="881"/>
      <w:bookmarkEnd w:id="882"/>
      <w:bookmarkEnd w:id="883"/>
    </w:p>
    <w:p w14:paraId="354EF267">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7.1.1 合同当事人约定的施工组织设计应包括的其他内容：</w:t>
      </w:r>
      <w:r>
        <w:rPr>
          <w:rFonts w:hint="eastAsia" w:ascii="宋体" w:hAnsi="宋体" w:cs="宋体"/>
          <w:color w:val="auto"/>
          <w:kern w:val="1"/>
          <w:szCs w:val="21"/>
          <w:u w:val="single"/>
        </w:rPr>
        <w:t>按照工程特点和行业有关规定编制</w:t>
      </w:r>
      <w:r>
        <w:rPr>
          <w:rFonts w:ascii="宋体" w:hAnsi="宋体" w:cs="宋体"/>
          <w:color w:val="auto"/>
          <w:kern w:val="1"/>
          <w:szCs w:val="21"/>
          <w:u w:val="single"/>
        </w:rPr>
        <w:t>。</w:t>
      </w:r>
    </w:p>
    <w:p w14:paraId="08F6F184">
      <w:pPr>
        <w:spacing w:line="360" w:lineRule="exact"/>
        <w:ind w:firstLine="420"/>
        <w:jc w:val="left"/>
        <w:rPr>
          <w:rFonts w:ascii="宋体" w:hAnsi="宋体" w:cs="宋体"/>
          <w:color w:val="auto"/>
          <w:kern w:val="1"/>
          <w:szCs w:val="21"/>
        </w:rPr>
      </w:pPr>
      <w:r>
        <w:rPr>
          <w:rFonts w:ascii="宋体" w:hAnsi="宋体" w:cs="宋体"/>
          <w:color w:val="auto"/>
          <w:kern w:val="1"/>
          <w:szCs w:val="21"/>
        </w:rPr>
        <w:t>7.1.2 施工组织设计的提交和修改</w:t>
      </w:r>
    </w:p>
    <w:p w14:paraId="2E4CABA2">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承包人提交详细施工组织设计的期限的约定：</w:t>
      </w:r>
      <w:r>
        <w:rPr>
          <w:rFonts w:hint="eastAsia" w:ascii="宋体" w:hAnsi="宋体" w:cs="宋体"/>
          <w:color w:val="auto"/>
          <w:kern w:val="1"/>
          <w:szCs w:val="21"/>
          <w:u w:val="single"/>
        </w:rPr>
        <w:t>开工前7天</w:t>
      </w:r>
      <w:r>
        <w:rPr>
          <w:rFonts w:ascii="宋体" w:hAnsi="宋体" w:cs="宋体"/>
          <w:color w:val="auto"/>
          <w:kern w:val="1"/>
          <w:szCs w:val="21"/>
        </w:rPr>
        <w:t>。</w:t>
      </w:r>
    </w:p>
    <w:p w14:paraId="08C89F3F">
      <w:pPr>
        <w:spacing w:line="360" w:lineRule="exact"/>
        <w:ind w:firstLine="420"/>
        <w:jc w:val="left"/>
        <w:rPr>
          <w:rFonts w:ascii="宋体" w:hAnsi="宋体" w:cs="宋体"/>
          <w:color w:val="auto"/>
          <w:kern w:val="1"/>
          <w:szCs w:val="21"/>
        </w:rPr>
      </w:pPr>
      <w:r>
        <w:rPr>
          <w:rFonts w:ascii="宋体" w:hAnsi="宋体" w:cs="宋体"/>
          <w:color w:val="auto"/>
          <w:kern w:val="1"/>
          <w:szCs w:val="21"/>
        </w:rPr>
        <w:t>发包人和监理人在收到详细的施工组织设计后确认或提出修改意见的期限：</w:t>
      </w:r>
      <w:r>
        <w:rPr>
          <w:rFonts w:hint="eastAsia" w:ascii="宋体" w:hAnsi="宋体" w:cs="宋体"/>
          <w:color w:val="auto"/>
          <w:kern w:val="1"/>
          <w:szCs w:val="21"/>
          <w:u w:val="single"/>
        </w:rPr>
        <w:t>收到后7天内</w:t>
      </w:r>
      <w:r>
        <w:rPr>
          <w:rFonts w:ascii="宋体" w:hAnsi="宋体" w:cs="宋体"/>
          <w:color w:val="auto"/>
          <w:kern w:val="1"/>
          <w:szCs w:val="21"/>
        </w:rPr>
        <w:t>。</w:t>
      </w:r>
    </w:p>
    <w:p w14:paraId="75688CA7">
      <w:pPr>
        <w:pStyle w:val="5"/>
        <w:keepNext w:val="0"/>
        <w:spacing w:line="360" w:lineRule="exact"/>
        <w:rPr>
          <w:rFonts w:ascii="宋体" w:hAnsi="宋体" w:cs="宋体"/>
          <w:color w:val="auto"/>
          <w:sz w:val="21"/>
          <w:szCs w:val="21"/>
          <w:lang w:val="zh-CN"/>
        </w:rPr>
      </w:pPr>
      <w:bookmarkStart w:id="884" w:name="_Toc373478371"/>
      <w:bookmarkEnd w:id="884"/>
      <w:bookmarkStart w:id="885" w:name="_Toc373227724"/>
      <w:bookmarkEnd w:id="885"/>
      <w:bookmarkStart w:id="886" w:name="_Toc406054762"/>
      <w:bookmarkEnd w:id="886"/>
      <w:bookmarkStart w:id="887" w:name="_Toc7447"/>
      <w:bookmarkStart w:id="888" w:name="_Toc30920"/>
      <w:bookmarkStart w:id="889" w:name="_Toc7075"/>
      <w:bookmarkStart w:id="890" w:name="_Toc27126"/>
      <w:bookmarkStart w:id="891" w:name="_Toc29621"/>
      <w:r>
        <w:rPr>
          <w:rFonts w:ascii="宋体" w:hAnsi="宋体" w:cs="宋体"/>
          <w:color w:val="auto"/>
          <w:sz w:val="21"/>
          <w:szCs w:val="21"/>
          <w:lang w:val="zh-CN"/>
        </w:rPr>
        <w:t>7.2 施工进度计划</w:t>
      </w:r>
      <w:bookmarkEnd w:id="887"/>
      <w:bookmarkEnd w:id="888"/>
      <w:bookmarkEnd w:id="889"/>
      <w:bookmarkEnd w:id="890"/>
      <w:bookmarkEnd w:id="891"/>
    </w:p>
    <w:p w14:paraId="15C82B6A">
      <w:pPr>
        <w:spacing w:line="360" w:lineRule="exact"/>
        <w:ind w:firstLine="420"/>
        <w:jc w:val="left"/>
        <w:rPr>
          <w:rFonts w:ascii="宋体" w:hAnsi="宋体" w:cs="宋体"/>
          <w:color w:val="auto"/>
          <w:kern w:val="1"/>
          <w:szCs w:val="21"/>
        </w:rPr>
      </w:pPr>
      <w:r>
        <w:rPr>
          <w:rFonts w:ascii="宋体" w:hAnsi="宋体" w:cs="宋体"/>
          <w:color w:val="auto"/>
          <w:kern w:val="1"/>
          <w:szCs w:val="21"/>
        </w:rPr>
        <w:t>7.2.2 施工进度计划的修订</w:t>
      </w:r>
    </w:p>
    <w:p w14:paraId="2C275541">
      <w:pPr>
        <w:spacing w:line="360" w:lineRule="exact"/>
        <w:ind w:firstLine="420"/>
        <w:jc w:val="left"/>
        <w:rPr>
          <w:rFonts w:ascii="宋体" w:hAnsi="宋体" w:cs="宋体"/>
          <w:color w:val="auto"/>
          <w:kern w:val="1"/>
          <w:szCs w:val="21"/>
        </w:rPr>
      </w:pPr>
      <w:r>
        <w:rPr>
          <w:rFonts w:ascii="宋体" w:hAnsi="宋体" w:cs="宋体"/>
          <w:color w:val="auto"/>
          <w:kern w:val="1"/>
          <w:szCs w:val="21"/>
        </w:rPr>
        <w:t>发包人和监理人在收到修订的施工进度计划后确认或提出修改意见的期限：</w:t>
      </w:r>
      <w:r>
        <w:rPr>
          <w:rFonts w:hint="eastAsia" w:ascii="宋体" w:hAnsi="宋体" w:cs="宋体"/>
          <w:color w:val="auto"/>
          <w:kern w:val="1"/>
          <w:szCs w:val="21"/>
          <w:u w:val="single"/>
        </w:rPr>
        <w:t>收到后7天内</w:t>
      </w:r>
      <w:r>
        <w:rPr>
          <w:rFonts w:ascii="宋体" w:hAnsi="宋体" w:cs="宋体"/>
          <w:color w:val="auto"/>
          <w:kern w:val="1"/>
          <w:szCs w:val="21"/>
        </w:rPr>
        <w:t>。</w:t>
      </w:r>
    </w:p>
    <w:p w14:paraId="518A2509">
      <w:pPr>
        <w:pStyle w:val="5"/>
        <w:keepNext w:val="0"/>
        <w:spacing w:line="360" w:lineRule="exact"/>
        <w:rPr>
          <w:rFonts w:ascii="宋体" w:hAnsi="宋体" w:cs="宋体"/>
          <w:color w:val="auto"/>
          <w:sz w:val="21"/>
          <w:szCs w:val="21"/>
          <w:lang w:val="zh-CN"/>
        </w:rPr>
      </w:pPr>
      <w:bookmarkStart w:id="892" w:name="_Toc406054763"/>
      <w:bookmarkEnd w:id="892"/>
      <w:bookmarkStart w:id="893" w:name="_Toc373478372"/>
      <w:bookmarkEnd w:id="893"/>
      <w:bookmarkStart w:id="894" w:name="_Toc373227725"/>
      <w:bookmarkEnd w:id="894"/>
      <w:bookmarkStart w:id="895" w:name="_Toc12650"/>
      <w:bookmarkStart w:id="896" w:name="_Toc11954"/>
      <w:bookmarkStart w:id="897" w:name="_Toc362"/>
      <w:bookmarkStart w:id="898" w:name="_Toc1752"/>
      <w:bookmarkStart w:id="899" w:name="_Toc20726"/>
      <w:r>
        <w:rPr>
          <w:rFonts w:ascii="宋体" w:hAnsi="宋体" w:cs="宋体"/>
          <w:color w:val="auto"/>
          <w:sz w:val="21"/>
          <w:szCs w:val="21"/>
          <w:lang w:val="zh-CN"/>
        </w:rPr>
        <w:t>7.3 开工</w:t>
      </w:r>
      <w:bookmarkEnd w:id="895"/>
      <w:bookmarkEnd w:id="896"/>
      <w:bookmarkEnd w:id="897"/>
      <w:bookmarkEnd w:id="898"/>
      <w:bookmarkEnd w:id="899"/>
    </w:p>
    <w:p w14:paraId="3F3CDA75">
      <w:pPr>
        <w:spacing w:line="360" w:lineRule="exact"/>
        <w:ind w:firstLine="420"/>
        <w:jc w:val="left"/>
        <w:rPr>
          <w:rFonts w:ascii="宋体" w:hAnsi="宋体" w:cs="宋体"/>
          <w:color w:val="auto"/>
          <w:kern w:val="1"/>
          <w:szCs w:val="21"/>
        </w:rPr>
      </w:pPr>
      <w:r>
        <w:rPr>
          <w:rFonts w:ascii="宋体" w:hAnsi="宋体" w:cs="宋体"/>
          <w:color w:val="auto"/>
          <w:kern w:val="1"/>
          <w:szCs w:val="21"/>
        </w:rPr>
        <w:t>7.3.1 开工准备</w:t>
      </w:r>
    </w:p>
    <w:p w14:paraId="66286ED7">
      <w:pPr>
        <w:spacing w:line="360" w:lineRule="exact"/>
        <w:ind w:firstLine="426"/>
        <w:jc w:val="left"/>
        <w:rPr>
          <w:rFonts w:ascii="宋体" w:hAnsi="宋体" w:cs="宋体"/>
          <w:color w:val="auto"/>
          <w:kern w:val="1"/>
          <w:szCs w:val="21"/>
          <w:u w:val="single"/>
        </w:rPr>
      </w:pPr>
      <w:r>
        <w:rPr>
          <w:rFonts w:ascii="宋体" w:hAnsi="宋体" w:cs="宋体"/>
          <w:color w:val="auto"/>
          <w:kern w:val="1"/>
          <w:szCs w:val="21"/>
        </w:rPr>
        <w:t>关于承包人提交工程开工报审表的期限：</w:t>
      </w:r>
      <w:r>
        <w:rPr>
          <w:rFonts w:hint="eastAsia" w:ascii="宋体" w:hAnsi="宋体" w:cs="宋体"/>
          <w:color w:val="auto"/>
          <w:kern w:val="1"/>
          <w:szCs w:val="21"/>
          <w:u w:val="single"/>
        </w:rPr>
        <w:t>开工前3天</w:t>
      </w:r>
      <w:r>
        <w:rPr>
          <w:rFonts w:ascii="宋体" w:hAnsi="宋体" w:cs="宋体"/>
          <w:color w:val="auto"/>
          <w:kern w:val="1"/>
          <w:szCs w:val="21"/>
        </w:rPr>
        <w:t>。</w:t>
      </w:r>
    </w:p>
    <w:p w14:paraId="67B5CB1A">
      <w:pPr>
        <w:spacing w:line="360" w:lineRule="exact"/>
        <w:ind w:firstLine="426"/>
        <w:jc w:val="left"/>
        <w:rPr>
          <w:rFonts w:ascii="宋体" w:hAnsi="宋体" w:cs="宋体"/>
          <w:color w:val="auto"/>
          <w:kern w:val="1"/>
          <w:szCs w:val="21"/>
          <w:u w:val="single"/>
        </w:rPr>
      </w:pPr>
      <w:r>
        <w:rPr>
          <w:rFonts w:ascii="宋体" w:hAnsi="宋体" w:cs="宋体"/>
          <w:color w:val="auto"/>
          <w:kern w:val="1"/>
          <w:szCs w:val="21"/>
        </w:rPr>
        <w:t>关于发包人应完成的其他开工准备工作及期限：</w:t>
      </w:r>
      <w:r>
        <w:rPr>
          <w:rFonts w:hint="eastAsia" w:ascii="宋体" w:hAnsi="宋体" w:cs="宋体"/>
          <w:color w:val="auto"/>
          <w:kern w:val="1"/>
          <w:szCs w:val="21"/>
          <w:u w:val="single"/>
        </w:rPr>
        <w:t>开工前7天</w:t>
      </w:r>
      <w:r>
        <w:rPr>
          <w:rFonts w:ascii="宋体" w:hAnsi="宋体" w:cs="宋体"/>
          <w:color w:val="auto"/>
          <w:kern w:val="1"/>
          <w:szCs w:val="21"/>
        </w:rPr>
        <w:t>。</w:t>
      </w:r>
    </w:p>
    <w:p w14:paraId="6F6FF641">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关于承包人应完成的其他开工准备工作及期限：</w:t>
      </w:r>
      <w:r>
        <w:rPr>
          <w:rFonts w:hint="eastAsia" w:ascii="宋体" w:hAnsi="宋体" w:cs="宋体"/>
          <w:color w:val="auto"/>
          <w:kern w:val="1"/>
          <w:szCs w:val="21"/>
          <w:u w:val="single"/>
        </w:rPr>
        <w:t>开工前3天</w:t>
      </w:r>
      <w:r>
        <w:rPr>
          <w:rFonts w:ascii="宋体" w:hAnsi="宋体" w:cs="宋体"/>
          <w:color w:val="auto"/>
          <w:kern w:val="1"/>
          <w:szCs w:val="21"/>
        </w:rPr>
        <w:t>。</w:t>
      </w:r>
    </w:p>
    <w:p w14:paraId="35123477">
      <w:pPr>
        <w:spacing w:line="360" w:lineRule="exact"/>
        <w:ind w:firstLine="420"/>
        <w:jc w:val="left"/>
        <w:rPr>
          <w:rFonts w:ascii="宋体" w:hAnsi="宋体" w:cs="宋体"/>
          <w:color w:val="auto"/>
          <w:kern w:val="1"/>
          <w:szCs w:val="21"/>
        </w:rPr>
      </w:pPr>
      <w:r>
        <w:rPr>
          <w:rFonts w:ascii="宋体" w:hAnsi="宋体" w:cs="宋体"/>
          <w:color w:val="auto"/>
          <w:kern w:val="1"/>
          <w:szCs w:val="21"/>
        </w:rPr>
        <w:t>7.3.2开工通知</w:t>
      </w:r>
    </w:p>
    <w:p w14:paraId="48B84972">
      <w:pPr>
        <w:spacing w:line="360" w:lineRule="exact"/>
        <w:ind w:firstLine="420"/>
        <w:jc w:val="left"/>
        <w:rPr>
          <w:rFonts w:ascii="宋体" w:hAnsi="宋体" w:cs="宋体"/>
          <w:color w:val="auto"/>
          <w:kern w:val="1"/>
          <w:szCs w:val="21"/>
        </w:rPr>
      </w:pPr>
      <w:r>
        <w:rPr>
          <w:rFonts w:ascii="宋体" w:hAnsi="宋体" w:cs="宋体"/>
          <w:color w:val="auto"/>
          <w:kern w:val="1"/>
          <w:szCs w:val="21"/>
        </w:rPr>
        <w:t>因发包人原因造成监理人未能在计划开工日期之日起</w:t>
      </w:r>
      <w:r>
        <w:rPr>
          <w:rFonts w:hint="eastAsia" w:ascii="宋体" w:hAnsi="宋体" w:cs="宋体"/>
          <w:color w:val="auto"/>
          <w:kern w:val="1"/>
          <w:szCs w:val="21"/>
          <w:u w:val="single"/>
        </w:rPr>
        <w:t>360</w:t>
      </w:r>
      <w:r>
        <w:rPr>
          <w:rFonts w:ascii="宋体" w:hAnsi="宋体" w:cs="宋体"/>
          <w:color w:val="auto"/>
          <w:kern w:val="1"/>
          <w:szCs w:val="21"/>
        </w:rPr>
        <w:t>天内发出开工通知的，承包人有权提出价格调整要求，或者解除合同。</w:t>
      </w:r>
    </w:p>
    <w:p w14:paraId="4B3F43B4">
      <w:pPr>
        <w:pStyle w:val="5"/>
        <w:keepNext w:val="0"/>
        <w:spacing w:line="360" w:lineRule="exact"/>
        <w:rPr>
          <w:rFonts w:ascii="宋体" w:hAnsi="宋体" w:cs="宋体"/>
          <w:color w:val="auto"/>
          <w:sz w:val="21"/>
          <w:szCs w:val="21"/>
          <w:lang w:val="zh-CN"/>
        </w:rPr>
      </w:pPr>
      <w:bookmarkStart w:id="900" w:name="_Toc406054764"/>
      <w:bookmarkEnd w:id="900"/>
      <w:bookmarkStart w:id="901" w:name="_Toc373227726"/>
      <w:bookmarkEnd w:id="901"/>
      <w:bookmarkStart w:id="902" w:name="_Toc373478373"/>
      <w:bookmarkEnd w:id="902"/>
      <w:bookmarkStart w:id="903" w:name="_Toc7424"/>
      <w:bookmarkStart w:id="904" w:name="_Toc19427"/>
      <w:bookmarkStart w:id="905" w:name="_Toc19735"/>
      <w:bookmarkStart w:id="906" w:name="_Toc29965"/>
      <w:bookmarkStart w:id="907" w:name="_Toc26810"/>
      <w:r>
        <w:rPr>
          <w:rFonts w:ascii="宋体" w:hAnsi="宋体" w:cs="宋体"/>
          <w:color w:val="auto"/>
          <w:sz w:val="21"/>
          <w:szCs w:val="21"/>
          <w:lang w:val="zh-CN"/>
        </w:rPr>
        <w:t>7.4 测量放线</w:t>
      </w:r>
      <w:bookmarkEnd w:id="903"/>
      <w:bookmarkEnd w:id="904"/>
      <w:bookmarkEnd w:id="905"/>
      <w:bookmarkEnd w:id="906"/>
      <w:bookmarkEnd w:id="907"/>
    </w:p>
    <w:p w14:paraId="5AD878A9">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7.4.1发包人通过监理人向承包人提供测量基准点、基准线和水准点及其书面资料的期限：</w:t>
      </w:r>
      <w:r>
        <w:rPr>
          <w:rFonts w:hint="eastAsia" w:ascii="宋体" w:hAnsi="宋体" w:cs="宋体"/>
          <w:color w:val="auto"/>
          <w:kern w:val="1"/>
          <w:szCs w:val="21"/>
          <w:u w:val="single"/>
        </w:rPr>
        <w:t>开工前7天</w:t>
      </w:r>
      <w:r>
        <w:rPr>
          <w:rFonts w:ascii="宋体" w:hAnsi="宋体" w:cs="宋体"/>
          <w:color w:val="auto"/>
          <w:kern w:val="1"/>
          <w:szCs w:val="21"/>
        </w:rPr>
        <w:t>。</w:t>
      </w:r>
    </w:p>
    <w:p w14:paraId="7736BF86">
      <w:pPr>
        <w:pStyle w:val="5"/>
        <w:keepNext w:val="0"/>
        <w:spacing w:line="360" w:lineRule="exact"/>
        <w:rPr>
          <w:rFonts w:ascii="宋体" w:hAnsi="宋体" w:cs="宋体"/>
          <w:color w:val="auto"/>
          <w:sz w:val="21"/>
          <w:szCs w:val="21"/>
          <w:lang w:val="zh-CN"/>
        </w:rPr>
      </w:pPr>
      <w:bookmarkStart w:id="908" w:name="_Toc373227727"/>
      <w:bookmarkEnd w:id="908"/>
      <w:bookmarkStart w:id="909" w:name="_Toc373478374"/>
      <w:bookmarkEnd w:id="909"/>
      <w:bookmarkStart w:id="910" w:name="_Toc406054765"/>
      <w:bookmarkEnd w:id="910"/>
      <w:bookmarkStart w:id="911" w:name="_Toc24977"/>
      <w:bookmarkStart w:id="912" w:name="_Toc28852"/>
      <w:bookmarkStart w:id="913" w:name="_Toc18188"/>
      <w:bookmarkStart w:id="914" w:name="_Toc26830"/>
      <w:bookmarkStart w:id="915" w:name="_Toc26076"/>
      <w:r>
        <w:rPr>
          <w:rFonts w:ascii="宋体" w:hAnsi="宋体" w:cs="宋体"/>
          <w:color w:val="auto"/>
          <w:sz w:val="21"/>
          <w:szCs w:val="21"/>
          <w:lang w:val="zh-CN"/>
        </w:rPr>
        <w:t>7.5 工期延误</w:t>
      </w:r>
      <w:bookmarkEnd w:id="911"/>
      <w:bookmarkEnd w:id="912"/>
      <w:bookmarkEnd w:id="913"/>
      <w:bookmarkEnd w:id="914"/>
      <w:bookmarkEnd w:id="915"/>
    </w:p>
    <w:p w14:paraId="242F4C5B">
      <w:pPr>
        <w:spacing w:line="360" w:lineRule="exact"/>
        <w:ind w:firstLine="420"/>
        <w:jc w:val="left"/>
        <w:rPr>
          <w:rFonts w:ascii="宋体" w:hAnsi="宋体" w:cs="宋体"/>
          <w:color w:val="auto"/>
          <w:kern w:val="1"/>
          <w:szCs w:val="21"/>
        </w:rPr>
      </w:pPr>
      <w:r>
        <w:rPr>
          <w:rFonts w:ascii="宋体" w:hAnsi="宋体" w:cs="宋体"/>
          <w:color w:val="auto"/>
          <w:kern w:val="1"/>
          <w:szCs w:val="21"/>
        </w:rPr>
        <w:t>7.5.1 因发包人原因导致工期延误</w:t>
      </w:r>
    </w:p>
    <w:p w14:paraId="4756EC64">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因发包人原因导致工期延误的其他情形：</w:t>
      </w:r>
      <w:r>
        <w:rPr>
          <w:rFonts w:hint="eastAsia" w:ascii="宋体" w:hAnsi="宋体" w:cs="宋体"/>
          <w:color w:val="auto"/>
          <w:kern w:val="1"/>
          <w:szCs w:val="21"/>
          <w:u w:val="single"/>
        </w:rPr>
        <w:t>政策性调整</w:t>
      </w:r>
      <w:r>
        <w:rPr>
          <w:rFonts w:ascii="宋体" w:hAnsi="宋体" w:cs="宋体"/>
          <w:color w:val="auto"/>
          <w:kern w:val="1"/>
          <w:szCs w:val="21"/>
        </w:rPr>
        <w:t>。</w:t>
      </w:r>
    </w:p>
    <w:p w14:paraId="338652F5">
      <w:pPr>
        <w:spacing w:line="360" w:lineRule="exact"/>
        <w:ind w:firstLine="420"/>
        <w:jc w:val="left"/>
        <w:rPr>
          <w:rFonts w:ascii="宋体" w:hAnsi="宋体" w:cs="宋体"/>
          <w:color w:val="auto"/>
          <w:kern w:val="1"/>
          <w:szCs w:val="21"/>
        </w:rPr>
      </w:pPr>
      <w:r>
        <w:rPr>
          <w:rFonts w:ascii="宋体" w:hAnsi="宋体" w:cs="宋体"/>
          <w:color w:val="auto"/>
          <w:kern w:val="1"/>
          <w:szCs w:val="21"/>
        </w:rPr>
        <w:t>7.5.2 因承包人原因导致工期延误</w:t>
      </w:r>
    </w:p>
    <w:p w14:paraId="2F65E55F">
      <w:pPr>
        <w:spacing w:line="360" w:lineRule="exact"/>
        <w:ind w:firstLine="420"/>
        <w:jc w:val="left"/>
        <w:rPr>
          <w:rFonts w:ascii="宋体" w:hAnsi="宋体" w:cs="宋体"/>
          <w:color w:val="auto"/>
          <w:kern w:val="1"/>
          <w:szCs w:val="21"/>
        </w:rPr>
      </w:pPr>
      <w:r>
        <w:rPr>
          <w:rFonts w:ascii="宋体" w:hAnsi="宋体" w:cs="宋体"/>
          <w:color w:val="auto"/>
          <w:kern w:val="1"/>
          <w:szCs w:val="21"/>
        </w:rPr>
        <w:t>双方约定经监理工程师确认，工期相应顺延的情况：</w:t>
      </w:r>
      <w:r>
        <w:rPr>
          <w:rFonts w:hint="eastAsia" w:ascii="宋体" w:hAnsi="宋体" w:cs="宋体"/>
          <w:color w:val="auto"/>
          <w:kern w:val="1"/>
          <w:szCs w:val="21"/>
          <w:u w:val="single"/>
        </w:rPr>
        <w:t xml:space="preserve">           </w:t>
      </w:r>
      <w:r>
        <w:rPr>
          <w:rFonts w:ascii="宋体" w:hAnsi="宋体" w:cs="宋体"/>
          <w:color w:val="auto"/>
          <w:kern w:val="1"/>
          <w:szCs w:val="21"/>
        </w:rPr>
        <w:t>。</w:t>
      </w:r>
    </w:p>
    <w:p w14:paraId="0B41944F">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因承包人原因造成工期延误，逾期竣工违约金的计算方法为：</w:t>
      </w:r>
      <w:r>
        <w:rPr>
          <w:rFonts w:hint="eastAsia" w:ascii="宋体" w:hAnsi="宋体" w:cs="宋体"/>
          <w:color w:val="auto"/>
          <w:kern w:val="1"/>
          <w:szCs w:val="21"/>
          <w:u w:val="single"/>
        </w:rPr>
        <w:t>每逾期1天，罚款10000元。</w:t>
      </w:r>
    </w:p>
    <w:p w14:paraId="45FF13CA">
      <w:pPr>
        <w:spacing w:line="360" w:lineRule="exact"/>
        <w:ind w:firstLine="420"/>
        <w:jc w:val="left"/>
        <w:rPr>
          <w:rFonts w:ascii="宋体" w:hAnsi="宋体" w:cs="宋体"/>
          <w:color w:val="auto"/>
          <w:kern w:val="1"/>
          <w:szCs w:val="21"/>
        </w:rPr>
      </w:pPr>
      <w:r>
        <w:rPr>
          <w:rFonts w:ascii="宋体" w:hAnsi="宋体" w:cs="宋体"/>
          <w:color w:val="auto"/>
          <w:kern w:val="1"/>
          <w:szCs w:val="21"/>
        </w:rPr>
        <w:t>因承包人原因造成工期延误，逾期竣工违约金的上限：</w:t>
      </w:r>
      <w:r>
        <w:rPr>
          <w:rFonts w:ascii="宋体" w:hAnsi="宋体" w:cs="宋体"/>
          <w:color w:val="auto"/>
          <w:kern w:val="1"/>
          <w:szCs w:val="21"/>
          <w:u w:val="single"/>
        </w:rPr>
        <w:t>合同价的</w:t>
      </w:r>
      <w:r>
        <w:rPr>
          <w:rFonts w:hint="eastAsia" w:ascii="宋体" w:hAnsi="宋体" w:cs="宋体"/>
          <w:color w:val="auto"/>
          <w:kern w:val="1"/>
          <w:szCs w:val="21"/>
          <w:u w:val="single"/>
        </w:rPr>
        <w:t>5</w:t>
      </w:r>
      <w:r>
        <w:rPr>
          <w:rFonts w:ascii="宋体" w:hAnsi="宋体" w:cs="宋体"/>
          <w:color w:val="auto"/>
          <w:kern w:val="1"/>
          <w:szCs w:val="21"/>
          <w:u w:val="single"/>
        </w:rPr>
        <w:t>%</w:t>
      </w:r>
      <w:r>
        <w:rPr>
          <w:rFonts w:ascii="宋体" w:hAnsi="宋体" w:cs="宋体"/>
          <w:color w:val="auto"/>
          <w:kern w:val="1"/>
          <w:szCs w:val="21"/>
        </w:rPr>
        <w:t>。</w:t>
      </w:r>
    </w:p>
    <w:p w14:paraId="1CD64A22">
      <w:pPr>
        <w:pStyle w:val="5"/>
        <w:keepNext w:val="0"/>
        <w:spacing w:line="360" w:lineRule="exact"/>
        <w:rPr>
          <w:rFonts w:ascii="宋体" w:hAnsi="宋体" w:cs="宋体"/>
          <w:color w:val="auto"/>
          <w:sz w:val="21"/>
          <w:szCs w:val="21"/>
          <w:lang w:val="zh-CN"/>
        </w:rPr>
      </w:pPr>
      <w:bookmarkStart w:id="916" w:name="_Toc406054766"/>
      <w:bookmarkEnd w:id="916"/>
      <w:bookmarkStart w:id="917" w:name="_Toc373478375"/>
      <w:bookmarkEnd w:id="917"/>
      <w:bookmarkStart w:id="918" w:name="_Toc373227728"/>
      <w:bookmarkEnd w:id="918"/>
      <w:bookmarkStart w:id="919" w:name="_Toc12717"/>
      <w:bookmarkStart w:id="920" w:name="_Toc16469"/>
      <w:bookmarkStart w:id="921" w:name="_Toc6757"/>
      <w:bookmarkStart w:id="922" w:name="_Toc2679"/>
      <w:bookmarkStart w:id="923" w:name="_Toc8036"/>
      <w:r>
        <w:rPr>
          <w:rFonts w:ascii="宋体" w:hAnsi="宋体" w:cs="宋体"/>
          <w:color w:val="auto"/>
          <w:sz w:val="21"/>
          <w:szCs w:val="21"/>
          <w:lang w:val="zh-CN"/>
        </w:rPr>
        <w:t>7.6 不利物质条件</w:t>
      </w:r>
      <w:bookmarkEnd w:id="919"/>
      <w:bookmarkEnd w:id="920"/>
      <w:bookmarkEnd w:id="921"/>
      <w:bookmarkEnd w:id="922"/>
      <w:bookmarkEnd w:id="923"/>
    </w:p>
    <w:p w14:paraId="03AD21CF">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不利物质条件的其他情形和有关约定：</w:t>
      </w:r>
      <w:r>
        <w:rPr>
          <w:rFonts w:hint="eastAsia" w:ascii="宋体" w:hAnsi="宋体" w:cs="宋体"/>
          <w:color w:val="auto"/>
          <w:kern w:val="1"/>
          <w:szCs w:val="21"/>
          <w:u w:val="single"/>
        </w:rPr>
        <w:t>按照通用条款</w:t>
      </w:r>
      <w:r>
        <w:rPr>
          <w:rFonts w:ascii="宋体" w:hAnsi="宋体" w:cs="宋体"/>
          <w:color w:val="auto"/>
          <w:kern w:val="1"/>
          <w:szCs w:val="21"/>
        </w:rPr>
        <w:t>。</w:t>
      </w:r>
    </w:p>
    <w:p w14:paraId="0E952907">
      <w:pPr>
        <w:pStyle w:val="5"/>
        <w:keepNext w:val="0"/>
        <w:spacing w:line="360" w:lineRule="exact"/>
        <w:rPr>
          <w:rFonts w:ascii="宋体" w:hAnsi="宋体" w:cs="宋体"/>
          <w:color w:val="auto"/>
          <w:sz w:val="21"/>
          <w:szCs w:val="21"/>
          <w:lang w:val="zh-CN"/>
        </w:rPr>
      </w:pPr>
      <w:bookmarkStart w:id="924" w:name="_Toc406054767"/>
      <w:bookmarkEnd w:id="924"/>
      <w:bookmarkStart w:id="925" w:name="_Toc373227729"/>
      <w:bookmarkEnd w:id="925"/>
      <w:bookmarkStart w:id="926" w:name="_Toc373478376"/>
      <w:bookmarkEnd w:id="926"/>
      <w:bookmarkStart w:id="927" w:name="_Toc23017"/>
      <w:bookmarkStart w:id="928" w:name="_Toc2593"/>
      <w:bookmarkStart w:id="929" w:name="_Toc7333"/>
      <w:bookmarkStart w:id="930" w:name="_Toc19624"/>
      <w:bookmarkStart w:id="931" w:name="_Toc31978"/>
      <w:r>
        <w:rPr>
          <w:rFonts w:ascii="宋体" w:hAnsi="宋体" w:cs="宋体"/>
          <w:color w:val="auto"/>
          <w:sz w:val="21"/>
          <w:szCs w:val="21"/>
          <w:lang w:val="zh-CN"/>
        </w:rPr>
        <w:t>7.7异常恶劣的气候条件</w:t>
      </w:r>
      <w:bookmarkEnd w:id="927"/>
      <w:bookmarkEnd w:id="928"/>
      <w:bookmarkEnd w:id="929"/>
      <w:bookmarkEnd w:id="930"/>
      <w:bookmarkEnd w:id="931"/>
    </w:p>
    <w:p w14:paraId="5CB0C689">
      <w:pPr>
        <w:spacing w:line="360" w:lineRule="exact"/>
        <w:ind w:firstLine="420"/>
        <w:jc w:val="left"/>
        <w:rPr>
          <w:rFonts w:ascii="宋体" w:hAnsi="宋体" w:cs="宋体"/>
          <w:color w:val="auto"/>
          <w:kern w:val="1"/>
          <w:szCs w:val="21"/>
        </w:rPr>
      </w:pPr>
      <w:r>
        <w:rPr>
          <w:rFonts w:ascii="宋体" w:hAnsi="宋体" w:cs="宋体"/>
          <w:color w:val="auto"/>
          <w:kern w:val="1"/>
          <w:szCs w:val="21"/>
        </w:rPr>
        <w:t>发包人和承包人同意以下情形视为异常恶劣的气候条件</w:t>
      </w:r>
      <w:r>
        <w:rPr>
          <w:rFonts w:hint="eastAsia" w:ascii="宋体" w:hAnsi="宋体" w:cs="宋体"/>
          <w:color w:val="auto"/>
          <w:kern w:val="1"/>
          <w:szCs w:val="21"/>
        </w:rPr>
        <w:t>（以气象台记录为准）</w:t>
      </w:r>
      <w:r>
        <w:rPr>
          <w:rFonts w:ascii="宋体" w:hAnsi="宋体" w:cs="宋体"/>
          <w:color w:val="auto"/>
          <w:kern w:val="1"/>
          <w:szCs w:val="21"/>
        </w:rPr>
        <w:t>：</w:t>
      </w:r>
    </w:p>
    <w:p w14:paraId="71605D27">
      <w:pPr>
        <w:spacing w:line="360" w:lineRule="exact"/>
        <w:ind w:firstLine="420"/>
        <w:jc w:val="left"/>
        <w:rPr>
          <w:rFonts w:ascii="宋体" w:hAnsi="宋体" w:cs="宋体"/>
          <w:color w:val="auto"/>
          <w:kern w:val="1"/>
          <w:szCs w:val="21"/>
        </w:rPr>
      </w:pPr>
      <w:r>
        <w:rPr>
          <w:rFonts w:ascii="宋体" w:hAnsi="宋体" w:cs="宋体"/>
          <w:color w:val="auto"/>
          <w:kern w:val="1"/>
          <w:szCs w:val="21"/>
        </w:rPr>
        <w:t>（1）</w:t>
      </w:r>
      <w:r>
        <w:rPr>
          <w:rFonts w:hint="eastAsia" w:ascii="宋体" w:hAnsi="宋体" w:cs="宋体"/>
          <w:color w:val="auto"/>
          <w:kern w:val="1"/>
          <w:szCs w:val="21"/>
          <w:u w:val="single"/>
        </w:rPr>
        <w:t>零度以下低温天气</w:t>
      </w:r>
      <w:r>
        <w:rPr>
          <w:rFonts w:ascii="宋体" w:hAnsi="宋体" w:cs="宋体"/>
          <w:color w:val="auto"/>
          <w:kern w:val="1"/>
          <w:szCs w:val="21"/>
        </w:rPr>
        <w:t>；</w:t>
      </w:r>
    </w:p>
    <w:p w14:paraId="73F9425F">
      <w:pPr>
        <w:spacing w:line="360" w:lineRule="exact"/>
        <w:ind w:firstLine="420"/>
        <w:jc w:val="left"/>
        <w:rPr>
          <w:rFonts w:ascii="宋体" w:hAnsi="宋体" w:cs="宋体"/>
          <w:color w:val="auto"/>
          <w:kern w:val="1"/>
          <w:szCs w:val="21"/>
        </w:rPr>
      </w:pPr>
      <w:r>
        <w:rPr>
          <w:rFonts w:ascii="宋体" w:hAnsi="宋体" w:cs="宋体"/>
          <w:color w:val="auto"/>
          <w:kern w:val="1"/>
          <w:szCs w:val="21"/>
        </w:rPr>
        <w:t>（2）</w:t>
      </w:r>
      <w:r>
        <w:rPr>
          <w:rFonts w:hint="eastAsia" w:ascii="宋体" w:hAnsi="宋体" w:cs="宋体"/>
          <w:color w:val="auto"/>
          <w:kern w:val="1"/>
          <w:szCs w:val="21"/>
          <w:u w:val="single"/>
        </w:rPr>
        <w:t>连续暴雨3天以上</w:t>
      </w:r>
      <w:r>
        <w:rPr>
          <w:rFonts w:ascii="宋体" w:hAnsi="宋体" w:cs="宋体"/>
          <w:color w:val="auto"/>
          <w:kern w:val="1"/>
          <w:szCs w:val="21"/>
        </w:rPr>
        <w:t>；</w:t>
      </w:r>
    </w:p>
    <w:p w14:paraId="6EC62EC6">
      <w:pPr>
        <w:spacing w:line="360" w:lineRule="exact"/>
        <w:ind w:firstLine="420"/>
        <w:jc w:val="left"/>
        <w:rPr>
          <w:rFonts w:ascii="宋体" w:hAnsi="宋体" w:cs="宋体"/>
          <w:color w:val="auto"/>
          <w:kern w:val="1"/>
          <w:szCs w:val="21"/>
        </w:rPr>
      </w:pPr>
      <w:r>
        <w:rPr>
          <w:rFonts w:ascii="宋体" w:hAnsi="宋体" w:cs="宋体"/>
          <w:color w:val="auto"/>
          <w:kern w:val="1"/>
          <w:szCs w:val="21"/>
        </w:rPr>
        <w:t>（3）</w:t>
      </w:r>
      <w:r>
        <w:rPr>
          <w:rFonts w:hint="eastAsia" w:ascii="宋体" w:hAnsi="宋体" w:cs="宋体"/>
          <w:color w:val="auto"/>
          <w:kern w:val="1"/>
          <w:szCs w:val="21"/>
          <w:u w:val="single"/>
        </w:rPr>
        <w:t>连续3天8级以上（含）大风</w:t>
      </w:r>
      <w:r>
        <w:rPr>
          <w:rFonts w:ascii="宋体" w:hAnsi="宋体" w:cs="宋体"/>
          <w:color w:val="auto"/>
          <w:kern w:val="1"/>
          <w:szCs w:val="21"/>
        </w:rPr>
        <w:t>。</w:t>
      </w:r>
    </w:p>
    <w:p w14:paraId="7A05CDA9">
      <w:pPr>
        <w:pStyle w:val="5"/>
        <w:keepNext w:val="0"/>
        <w:spacing w:line="360" w:lineRule="exact"/>
        <w:rPr>
          <w:rFonts w:ascii="宋体" w:hAnsi="宋体" w:cs="宋体"/>
          <w:color w:val="auto"/>
          <w:sz w:val="21"/>
          <w:szCs w:val="21"/>
          <w:lang w:val="zh-CN"/>
        </w:rPr>
      </w:pPr>
      <w:bookmarkStart w:id="932" w:name="_Toc373478377"/>
      <w:bookmarkEnd w:id="932"/>
      <w:bookmarkStart w:id="933" w:name="_Toc373227730"/>
      <w:bookmarkEnd w:id="933"/>
      <w:bookmarkStart w:id="934" w:name="_Toc406054768"/>
      <w:bookmarkEnd w:id="934"/>
      <w:bookmarkStart w:id="935" w:name="_Toc393"/>
      <w:bookmarkStart w:id="936" w:name="_Toc7501"/>
      <w:bookmarkStart w:id="937" w:name="_Toc11556"/>
      <w:bookmarkStart w:id="938" w:name="_Toc18249"/>
      <w:bookmarkStart w:id="939" w:name="_Toc8050"/>
      <w:r>
        <w:rPr>
          <w:rFonts w:ascii="宋体" w:hAnsi="宋体" w:cs="宋体"/>
          <w:color w:val="auto"/>
          <w:sz w:val="21"/>
          <w:szCs w:val="21"/>
          <w:lang w:val="zh-CN"/>
        </w:rPr>
        <w:t>7.9 提前竣工的奖励</w:t>
      </w:r>
      <w:bookmarkEnd w:id="935"/>
      <w:bookmarkEnd w:id="936"/>
      <w:bookmarkEnd w:id="937"/>
      <w:bookmarkEnd w:id="938"/>
      <w:bookmarkEnd w:id="939"/>
    </w:p>
    <w:p w14:paraId="169E35FB">
      <w:pPr>
        <w:spacing w:line="360" w:lineRule="exact"/>
        <w:ind w:firstLine="420"/>
        <w:jc w:val="left"/>
        <w:rPr>
          <w:rFonts w:ascii="宋体" w:hAnsi="宋体" w:cs="宋体"/>
          <w:color w:val="auto"/>
          <w:kern w:val="1"/>
          <w:szCs w:val="21"/>
        </w:rPr>
      </w:pPr>
      <w:r>
        <w:rPr>
          <w:rFonts w:ascii="宋体" w:hAnsi="宋体" w:cs="宋体"/>
          <w:color w:val="auto"/>
          <w:kern w:val="1"/>
          <w:szCs w:val="21"/>
        </w:rPr>
        <w:t>7.9.2提前竣工的奖励：</w:t>
      </w:r>
      <w:r>
        <w:rPr>
          <w:rFonts w:hint="eastAsia" w:ascii="宋体" w:hAnsi="宋体" w:cs="宋体"/>
          <w:color w:val="auto"/>
          <w:kern w:val="1"/>
          <w:szCs w:val="21"/>
          <w:u w:val="single"/>
        </w:rPr>
        <w:t>无（如有则另签订补充协议）</w:t>
      </w:r>
      <w:r>
        <w:rPr>
          <w:rFonts w:ascii="宋体" w:hAnsi="宋体" w:cs="宋体"/>
          <w:color w:val="auto"/>
          <w:kern w:val="1"/>
          <w:szCs w:val="21"/>
        </w:rPr>
        <w:t>。</w:t>
      </w:r>
    </w:p>
    <w:p w14:paraId="62A5630D">
      <w:pPr>
        <w:pStyle w:val="5"/>
        <w:keepNext w:val="0"/>
        <w:spacing w:line="360" w:lineRule="exact"/>
        <w:rPr>
          <w:rFonts w:ascii="宋体" w:hAnsi="宋体" w:cs="宋体"/>
          <w:color w:val="auto"/>
          <w:sz w:val="21"/>
          <w:szCs w:val="21"/>
          <w:lang w:val="zh-CN"/>
        </w:rPr>
      </w:pPr>
      <w:bookmarkStart w:id="940" w:name="_Toc406054769"/>
      <w:bookmarkEnd w:id="940"/>
      <w:bookmarkStart w:id="941" w:name="_Toc373478378"/>
      <w:bookmarkEnd w:id="941"/>
      <w:bookmarkStart w:id="942" w:name="_Toc373227731"/>
      <w:bookmarkEnd w:id="942"/>
      <w:bookmarkStart w:id="943" w:name="_Toc4052"/>
      <w:bookmarkStart w:id="944" w:name="_Toc12611"/>
      <w:bookmarkStart w:id="945" w:name="_Toc22364"/>
      <w:bookmarkStart w:id="946" w:name="_Toc28958"/>
      <w:bookmarkStart w:id="947" w:name="_Toc24475"/>
      <w:r>
        <w:rPr>
          <w:rFonts w:ascii="宋体" w:hAnsi="宋体" w:cs="宋体"/>
          <w:color w:val="auto"/>
          <w:sz w:val="21"/>
          <w:szCs w:val="21"/>
          <w:lang w:val="zh-CN"/>
        </w:rPr>
        <w:t>8. 材料与设备</w:t>
      </w:r>
      <w:bookmarkEnd w:id="943"/>
      <w:bookmarkEnd w:id="944"/>
      <w:bookmarkEnd w:id="945"/>
      <w:bookmarkEnd w:id="946"/>
      <w:bookmarkEnd w:id="947"/>
    </w:p>
    <w:p w14:paraId="36480BED">
      <w:pPr>
        <w:pStyle w:val="5"/>
        <w:keepNext w:val="0"/>
        <w:spacing w:line="360" w:lineRule="exact"/>
        <w:rPr>
          <w:rFonts w:ascii="宋体" w:hAnsi="宋体" w:cs="宋体"/>
          <w:color w:val="auto"/>
          <w:sz w:val="21"/>
          <w:szCs w:val="21"/>
          <w:lang w:val="zh-CN"/>
        </w:rPr>
      </w:pPr>
      <w:bookmarkStart w:id="948" w:name="_Toc373227732"/>
      <w:bookmarkEnd w:id="948"/>
      <w:bookmarkStart w:id="949" w:name="_Toc373478379"/>
      <w:bookmarkEnd w:id="949"/>
      <w:bookmarkStart w:id="950" w:name="_Toc406054770"/>
      <w:bookmarkEnd w:id="950"/>
      <w:bookmarkStart w:id="951" w:name="_Toc3518"/>
      <w:bookmarkStart w:id="952" w:name="_Toc18865"/>
      <w:bookmarkStart w:id="953" w:name="_Toc21090"/>
      <w:bookmarkStart w:id="954" w:name="_Toc4157"/>
      <w:bookmarkStart w:id="955" w:name="_Toc25793"/>
      <w:r>
        <w:rPr>
          <w:rFonts w:ascii="宋体" w:hAnsi="宋体" w:cs="宋体"/>
          <w:color w:val="auto"/>
          <w:sz w:val="21"/>
          <w:szCs w:val="21"/>
          <w:lang w:val="zh-CN"/>
        </w:rPr>
        <w:t>8.2承包人采购材料与工程设备</w:t>
      </w:r>
      <w:bookmarkEnd w:id="951"/>
      <w:bookmarkEnd w:id="952"/>
      <w:bookmarkEnd w:id="953"/>
      <w:bookmarkEnd w:id="954"/>
      <w:bookmarkEnd w:id="955"/>
    </w:p>
    <w:p w14:paraId="04F9AEEA">
      <w:pPr>
        <w:pStyle w:val="209"/>
        <w:widowControl w:val="0"/>
        <w:shd w:val="clear" w:color="000000" w:fill="FFFFFF"/>
        <w:spacing w:before="0" w:beforeAutospacing="0" w:after="0" w:afterAutospacing="0" w:line="360" w:lineRule="exact"/>
        <w:ind w:firstLine="420"/>
        <w:rPr>
          <w:rFonts w:cs="Times New Roman"/>
          <w:color w:val="auto"/>
          <w:sz w:val="21"/>
          <w:szCs w:val="21"/>
        </w:rPr>
      </w:pPr>
      <w:r>
        <w:rPr>
          <w:rFonts w:cs="Times New Roman"/>
          <w:color w:val="auto"/>
          <w:sz w:val="21"/>
          <w:szCs w:val="21"/>
        </w:rPr>
        <w:t>除专用合同条款的附件《发包人供应材料设备一览表》中明确的材料、工程设备外，由承包人负责材料和工程设备的采购、运输和保管。</w:t>
      </w:r>
    </w:p>
    <w:p w14:paraId="2F0E1F20">
      <w:pPr>
        <w:pStyle w:val="5"/>
        <w:keepNext w:val="0"/>
        <w:spacing w:line="360" w:lineRule="exact"/>
        <w:rPr>
          <w:rFonts w:ascii="宋体" w:hAnsi="宋体" w:cs="宋体"/>
          <w:color w:val="auto"/>
          <w:sz w:val="21"/>
          <w:szCs w:val="21"/>
          <w:lang w:val="zh-CN"/>
        </w:rPr>
      </w:pPr>
      <w:bookmarkStart w:id="956" w:name="_Toc406054771"/>
      <w:bookmarkEnd w:id="956"/>
      <w:bookmarkStart w:id="957" w:name="_Toc373478380"/>
      <w:bookmarkEnd w:id="957"/>
      <w:bookmarkStart w:id="958" w:name="_Toc373227733"/>
      <w:bookmarkEnd w:id="958"/>
      <w:bookmarkStart w:id="959" w:name="_Toc4068"/>
      <w:bookmarkStart w:id="960" w:name="_Toc18019"/>
      <w:bookmarkStart w:id="961" w:name="_Toc14994"/>
      <w:bookmarkStart w:id="962" w:name="_Toc23727"/>
      <w:bookmarkStart w:id="963" w:name="_Toc19461"/>
      <w:r>
        <w:rPr>
          <w:rFonts w:ascii="宋体" w:hAnsi="宋体" w:cs="宋体"/>
          <w:color w:val="auto"/>
          <w:sz w:val="21"/>
          <w:szCs w:val="21"/>
          <w:lang w:val="zh-CN"/>
        </w:rPr>
        <w:t>8.4材料与工程设备的保管与使用</w:t>
      </w:r>
      <w:bookmarkEnd w:id="959"/>
      <w:bookmarkEnd w:id="960"/>
      <w:bookmarkEnd w:id="961"/>
      <w:bookmarkEnd w:id="962"/>
      <w:bookmarkEnd w:id="963"/>
    </w:p>
    <w:p w14:paraId="3F32680B">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8.4.1发包人供应的材料设备的保管费用的承担：</w:t>
      </w:r>
      <w:r>
        <w:rPr>
          <w:rFonts w:hint="eastAsia" w:ascii="宋体" w:hAnsi="宋体" w:cs="宋体"/>
          <w:color w:val="auto"/>
          <w:kern w:val="1"/>
          <w:szCs w:val="21"/>
          <w:u w:val="single"/>
        </w:rPr>
        <w:t>由承包人承担</w:t>
      </w:r>
      <w:r>
        <w:rPr>
          <w:rFonts w:ascii="宋体" w:hAnsi="宋体" w:cs="宋体"/>
          <w:color w:val="auto"/>
          <w:kern w:val="1"/>
          <w:szCs w:val="21"/>
        </w:rPr>
        <w:t>。</w:t>
      </w:r>
    </w:p>
    <w:p w14:paraId="733E8BCC">
      <w:pPr>
        <w:pStyle w:val="5"/>
        <w:keepNext w:val="0"/>
        <w:spacing w:line="360" w:lineRule="exact"/>
        <w:rPr>
          <w:rFonts w:ascii="宋体" w:hAnsi="宋体" w:cs="宋体"/>
          <w:color w:val="auto"/>
          <w:sz w:val="21"/>
          <w:szCs w:val="21"/>
          <w:lang w:val="zh-CN"/>
        </w:rPr>
      </w:pPr>
      <w:bookmarkStart w:id="964" w:name="_Toc406054772"/>
      <w:bookmarkEnd w:id="964"/>
      <w:bookmarkStart w:id="965" w:name="_Toc373227734"/>
      <w:bookmarkEnd w:id="965"/>
      <w:bookmarkStart w:id="966" w:name="_Toc373478381"/>
      <w:bookmarkEnd w:id="966"/>
      <w:bookmarkStart w:id="967" w:name="_Toc30924"/>
      <w:bookmarkStart w:id="968" w:name="_Toc25461"/>
      <w:bookmarkStart w:id="969" w:name="_Toc28277"/>
      <w:bookmarkStart w:id="970" w:name="_Toc32707"/>
      <w:bookmarkStart w:id="971" w:name="_Toc22475"/>
      <w:r>
        <w:rPr>
          <w:rFonts w:ascii="宋体" w:hAnsi="宋体" w:cs="宋体"/>
          <w:color w:val="auto"/>
          <w:sz w:val="21"/>
          <w:szCs w:val="21"/>
          <w:lang w:val="zh-CN"/>
        </w:rPr>
        <w:t>8.6 样品</w:t>
      </w:r>
      <w:bookmarkEnd w:id="967"/>
      <w:bookmarkEnd w:id="968"/>
      <w:bookmarkEnd w:id="969"/>
      <w:bookmarkEnd w:id="970"/>
      <w:bookmarkEnd w:id="971"/>
    </w:p>
    <w:p w14:paraId="156F65F9">
      <w:pPr>
        <w:spacing w:line="360" w:lineRule="exact"/>
        <w:ind w:firstLine="420"/>
        <w:jc w:val="left"/>
        <w:rPr>
          <w:rFonts w:ascii="宋体" w:hAnsi="宋体" w:cs="宋体"/>
          <w:color w:val="auto"/>
          <w:kern w:val="1"/>
          <w:szCs w:val="21"/>
        </w:rPr>
      </w:pPr>
      <w:r>
        <w:rPr>
          <w:rFonts w:ascii="宋体" w:hAnsi="宋体" w:cs="宋体"/>
          <w:color w:val="auto"/>
          <w:kern w:val="1"/>
          <w:szCs w:val="21"/>
        </w:rPr>
        <w:t>8.6.1样品的报送与封存</w:t>
      </w:r>
    </w:p>
    <w:p w14:paraId="41BB73B8">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需要承包人报送样品的材料或工程设备，样品的种类、名称、规格、数量要求：</w:t>
      </w:r>
      <w:r>
        <w:rPr>
          <w:rFonts w:ascii="宋体" w:hAnsi="宋体" w:cs="宋体"/>
          <w:color w:val="auto"/>
          <w:kern w:val="1"/>
          <w:szCs w:val="21"/>
          <w:u w:val="single"/>
        </w:rPr>
        <w:t>主要材料涉及品种、款式、颜色等方面内容的，承包人应提交准备合格的材料样品送发包人选定。</w:t>
      </w:r>
    </w:p>
    <w:p w14:paraId="5E8FCA61">
      <w:pPr>
        <w:pStyle w:val="5"/>
        <w:keepNext w:val="0"/>
        <w:spacing w:line="360" w:lineRule="exact"/>
        <w:rPr>
          <w:rFonts w:ascii="宋体" w:hAnsi="宋体" w:cs="宋体"/>
          <w:color w:val="auto"/>
          <w:sz w:val="21"/>
          <w:szCs w:val="21"/>
          <w:lang w:val="zh-CN"/>
        </w:rPr>
      </w:pPr>
      <w:bookmarkStart w:id="972" w:name="_Toc406054773"/>
      <w:bookmarkEnd w:id="972"/>
      <w:bookmarkStart w:id="973" w:name="_Toc373227735"/>
      <w:bookmarkEnd w:id="973"/>
      <w:bookmarkStart w:id="974" w:name="_Toc373478382"/>
      <w:bookmarkEnd w:id="974"/>
      <w:bookmarkStart w:id="975" w:name="_Toc29813"/>
      <w:bookmarkStart w:id="976" w:name="_Toc23908"/>
      <w:bookmarkStart w:id="977" w:name="_Toc1708"/>
      <w:bookmarkStart w:id="978" w:name="_Toc23386"/>
      <w:bookmarkStart w:id="979" w:name="_Toc1435"/>
      <w:r>
        <w:rPr>
          <w:rFonts w:ascii="宋体" w:hAnsi="宋体" w:cs="宋体"/>
          <w:color w:val="auto"/>
          <w:sz w:val="21"/>
          <w:szCs w:val="21"/>
          <w:lang w:val="zh-CN"/>
        </w:rPr>
        <w:t>8.8 施工设备和临时设施</w:t>
      </w:r>
      <w:bookmarkEnd w:id="975"/>
      <w:bookmarkEnd w:id="976"/>
      <w:bookmarkEnd w:id="977"/>
      <w:bookmarkEnd w:id="978"/>
      <w:bookmarkEnd w:id="979"/>
    </w:p>
    <w:p w14:paraId="33430A36">
      <w:pPr>
        <w:spacing w:line="360" w:lineRule="exact"/>
        <w:ind w:firstLine="420"/>
        <w:jc w:val="left"/>
        <w:rPr>
          <w:rFonts w:ascii="宋体" w:hAnsi="宋体" w:cs="宋体"/>
          <w:color w:val="auto"/>
          <w:kern w:val="1"/>
          <w:szCs w:val="21"/>
        </w:rPr>
      </w:pPr>
      <w:r>
        <w:rPr>
          <w:rFonts w:ascii="宋体" w:hAnsi="宋体" w:cs="宋体"/>
          <w:color w:val="auto"/>
          <w:kern w:val="1"/>
          <w:szCs w:val="21"/>
        </w:rPr>
        <w:t>8.8.1 承包人提供的施工设备和临时设施</w:t>
      </w:r>
    </w:p>
    <w:p w14:paraId="13638373">
      <w:pPr>
        <w:spacing w:line="360" w:lineRule="exact"/>
        <w:ind w:firstLine="420"/>
        <w:jc w:val="left"/>
        <w:rPr>
          <w:rFonts w:ascii="宋体" w:hAnsi="宋体" w:cs="宋体"/>
          <w:color w:val="auto"/>
          <w:kern w:val="1"/>
          <w:szCs w:val="21"/>
        </w:rPr>
      </w:pPr>
      <w:r>
        <w:rPr>
          <w:rFonts w:ascii="宋体" w:hAnsi="宋体" w:cs="宋体"/>
          <w:color w:val="auto"/>
          <w:kern w:val="1"/>
          <w:szCs w:val="21"/>
        </w:rPr>
        <w:t>除专用合同条款另有约定的其他独立承包人和监理人指示的他人提供条件外，承包人运入施工场地的所有施工设备以及在施工场地建设的临时设施仅限于用于合同工程。</w:t>
      </w:r>
    </w:p>
    <w:p w14:paraId="522D81F8">
      <w:pPr>
        <w:spacing w:line="360" w:lineRule="exact"/>
        <w:ind w:firstLine="420"/>
        <w:jc w:val="left"/>
        <w:rPr>
          <w:rFonts w:ascii="宋体" w:hAnsi="宋体" w:cs="宋体"/>
          <w:color w:val="auto"/>
          <w:kern w:val="1"/>
          <w:szCs w:val="21"/>
        </w:rPr>
      </w:pPr>
      <w:r>
        <w:rPr>
          <w:rFonts w:ascii="宋体" w:hAnsi="宋体" w:cs="宋体"/>
          <w:color w:val="auto"/>
          <w:kern w:val="1"/>
          <w:szCs w:val="21"/>
        </w:rPr>
        <w:t>关于修建临时设施费用承担的约定：</w:t>
      </w:r>
    </w:p>
    <w:p w14:paraId="0227B4D0">
      <w:pPr>
        <w:spacing w:line="360" w:lineRule="exact"/>
        <w:ind w:firstLine="420"/>
        <w:jc w:val="left"/>
        <w:rPr>
          <w:rFonts w:ascii="宋体" w:hAnsi="宋体" w:cs="宋体"/>
          <w:color w:val="auto"/>
          <w:kern w:val="1"/>
          <w:szCs w:val="21"/>
          <w:u w:val="single"/>
        </w:rPr>
      </w:pPr>
      <w:r>
        <w:rPr>
          <w:rFonts w:ascii="宋体" w:hAnsi="宋体" w:cs="宋体"/>
          <w:color w:val="auto"/>
          <w:kern w:val="1"/>
          <w:szCs w:val="21"/>
          <w:u w:val="single"/>
        </w:rPr>
        <w:t>①承包人的临时用地（含项目部驻地等）租用费（含拆迁补偿）、临时用地的环保、恢复、临时用地的青苗补偿及地面附着物拆除等费用均由承包人负责，以上费用在</w:t>
      </w:r>
      <w:r>
        <w:rPr>
          <w:rFonts w:hint="eastAsia" w:ascii="宋体" w:hAnsi="宋体" w:cs="宋体"/>
          <w:color w:val="auto"/>
          <w:kern w:val="1"/>
          <w:szCs w:val="21"/>
          <w:u w:val="single"/>
        </w:rPr>
        <w:t>竞标报价</w:t>
      </w:r>
      <w:r>
        <w:rPr>
          <w:rFonts w:ascii="宋体" w:hAnsi="宋体" w:cs="宋体"/>
          <w:color w:val="auto"/>
          <w:kern w:val="1"/>
          <w:szCs w:val="21"/>
          <w:u w:val="single"/>
        </w:rPr>
        <w:t>中综合考虑。</w:t>
      </w:r>
    </w:p>
    <w:p w14:paraId="5F0A8167">
      <w:pPr>
        <w:spacing w:line="360" w:lineRule="exact"/>
        <w:ind w:firstLine="420"/>
        <w:jc w:val="left"/>
        <w:rPr>
          <w:rFonts w:ascii="宋体" w:hAnsi="宋体" w:cs="宋体"/>
          <w:color w:val="auto"/>
          <w:kern w:val="1"/>
          <w:szCs w:val="21"/>
          <w:u w:val="single"/>
        </w:rPr>
      </w:pPr>
      <w:r>
        <w:rPr>
          <w:rFonts w:ascii="宋体" w:hAnsi="宋体" w:cs="宋体"/>
          <w:color w:val="auto"/>
          <w:kern w:val="1"/>
          <w:szCs w:val="21"/>
          <w:u w:val="single"/>
        </w:rPr>
        <w:t>②承包人负责合同实施期间其合同段内临时交通道路（含场内外连接公共交通道路）和交通设施的修建、维修、养护和交通管理工作，并承担一切费用。</w:t>
      </w:r>
    </w:p>
    <w:p w14:paraId="632AF5E0">
      <w:pPr>
        <w:spacing w:line="360" w:lineRule="exact"/>
        <w:ind w:firstLine="420"/>
        <w:jc w:val="left"/>
        <w:rPr>
          <w:rFonts w:ascii="宋体" w:hAnsi="宋体" w:cs="宋体"/>
          <w:color w:val="auto"/>
          <w:kern w:val="1"/>
          <w:szCs w:val="21"/>
          <w:u w:val="single"/>
        </w:rPr>
      </w:pPr>
      <w:r>
        <w:rPr>
          <w:rFonts w:ascii="宋体" w:hAnsi="宋体" w:cs="宋体"/>
          <w:color w:val="auto"/>
          <w:kern w:val="1"/>
          <w:szCs w:val="21"/>
          <w:u w:val="single"/>
        </w:rPr>
        <w:t>③承包人修建的临时道路和交通设施，应免费提供给发包人、监理工程师和其他合同段的承包人使用。</w:t>
      </w:r>
    </w:p>
    <w:p w14:paraId="50B18BCA">
      <w:pPr>
        <w:spacing w:line="360" w:lineRule="exact"/>
        <w:ind w:firstLine="420"/>
        <w:jc w:val="left"/>
        <w:rPr>
          <w:rFonts w:ascii="宋体" w:hAnsi="宋体" w:cs="宋体"/>
          <w:color w:val="auto"/>
          <w:kern w:val="1"/>
          <w:szCs w:val="21"/>
        </w:rPr>
      </w:pPr>
      <w:r>
        <w:rPr>
          <w:rFonts w:ascii="宋体" w:hAnsi="宋体" w:cs="宋体"/>
          <w:color w:val="auto"/>
          <w:kern w:val="1"/>
          <w:szCs w:val="21"/>
        </w:rPr>
        <w:t>8.8.2 发包人提供的施工设备和临时设施</w:t>
      </w:r>
    </w:p>
    <w:p w14:paraId="05F18F65">
      <w:pPr>
        <w:spacing w:line="360" w:lineRule="exact"/>
        <w:ind w:firstLine="420"/>
        <w:jc w:val="left"/>
        <w:rPr>
          <w:rFonts w:ascii="宋体" w:hAnsi="宋体" w:cs="宋体"/>
          <w:color w:val="auto"/>
          <w:kern w:val="1"/>
          <w:szCs w:val="21"/>
        </w:rPr>
      </w:pPr>
      <w:r>
        <w:rPr>
          <w:rFonts w:ascii="宋体" w:hAnsi="宋体" w:cs="宋体"/>
          <w:color w:val="auto"/>
          <w:kern w:val="1"/>
          <w:szCs w:val="21"/>
        </w:rPr>
        <w:t>发包人提供的施工设备和临时设施：</w:t>
      </w:r>
      <w:r>
        <w:rPr>
          <w:rFonts w:hint="eastAsia" w:ascii="宋体" w:hAnsi="宋体" w:cs="宋体"/>
          <w:color w:val="auto"/>
          <w:kern w:val="1"/>
          <w:szCs w:val="21"/>
          <w:u w:val="single"/>
        </w:rPr>
        <w:t>无</w:t>
      </w:r>
      <w:r>
        <w:rPr>
          <w:rFonts w:ascii="宋体" w:hAnsi="宋体" w:cs="宋体"/>
          <w:color w:val="auto"/>
          <w:kern w:val="1"/>
          <w:szCs w:val="21"/>
        </w:rPr>
        <w:t>。</w:t>
      </w:r>
    </w:p>
    <w:p w14:paraId="0D9841A1">
      <w:pPr>
        <w:spacing w:line="360" w:lineRule="exact"/>
        <w:ind w:firstLine="420"/>
        <w:jc w:val="left"/>
        <w:rPr>
          <w:rFonts w:ascii="宋体" w:hAnsi="宋体" w:cs="宋体"/>
          <w:color w:val="auto"/>
          <w:kern w:val="1"/>
          <w:szCs w:val="21"/>
        </w:rPr>
      </w:pPr>
      <w:r>
        <w:rPr>
          <w:rFonts w:ascii="宋体" w:hAnsi="宋体" w:cs="宋体"/>
          <w:color w:val="auto"/>
          <w:kern w:val="1"/>
          <w:szCs w:val="21"/>
        </w:rPr>
        <w:t>发包人提供的施工设备和临时设施的运行、维护、拆除、清运费用的承担人：</w:t>
      </w:r>
      <w:r>
        <w:rPr>
          <w:rFonts w:hint="eastAsia" w:ascii="宋体" w:hAnsi="宋体" w:cs="宋体"/>
          <w:color w:val="auto"/>
          <w:kern w:val="1"/>
          <w:szCs w:val="21"/>
          <w:u w:val="single"/>
        </w:rPr>
        <w:t xml:space="preserve"> 无  </w:t>
      </w:r>
      <w:r>
        <w:rPr>
          <w:rFonts w:ascii="宋体" w:hAnsi="宋体" w:cs="宋体"/>
          <w:color w:val="auto"/>
          <w:kern w:val="1"/>
          <w:szCs w:val="21"/>
        </w:rPr>
        <w:t>。</w:t>
      </w:r>
    </w:p>
    <w:p w14:paraId="07C5F7F9">
      <w:pPr>
        <w:pStyle w:val="5"/>
        <w:keepNext w:val="0"/>
        <w:spacing w:line="360" w:lineRule="exact"/>
        <w:rPr>
          <w:rFonts w:ascii="宋体" w:hAnsi="宋体" w:cs="宋体"/>
          <w:color w:val="auto"/>
          <w:sz w:val="21"/>
          <w:szCs w:val="21"/>
          <w:lang w:val="zh-CN"/>
        </w:rPr>
      </w:pPr>
      <w:bookmarkStart w:id="980" w:name="_Toc373478383"/>
      <w:bookmarkEnd w:id="980"/>
      <w:bookmarkStart w:id="981" w:name="_Toc406054774"/>
      <w:bookmarkEnd w:id="981"/>
      <w:bookmarkStart w:id="982" w:name="_Toc373227736"/>
      <w:bookmarkEnd w:id="982"/>
      <w:bookmarkStart w:id="983" w:name="_Toc32593"/>
      <w:bookmarkStart w:id="984" w:name="_Toc19929"/>
      <w:bookmarkStart w:id="985" w:name="_Toc26937"/>
      <w:bookmarkStart w:id="986" w:name="_Toc12546"/>
      <w:bookmarkStart w:id="987" w:name="_Toc25548"/>
      <w:r>
        <w:rPr>
          <w:rFonts w:ascii="宋体" w:hAnsi="宋体" w:cs="宋体"/>
          <w:color w:val="auto"/>
          <w:sz w:val="21"/>
          <w:szCs w:val="21"/>
          <w:lang w:val="zh-CN"/>
        </w:rPr>
        <w:t>9. 试验与检验</w:t>
      </w:r>
      <w:bookmarkEnd w:id="983"/>
      <w:bookmarkEnd w:id="984"/>
      <w:bookmarkEnd w:id="985"/>
      <w:bookmarkEnd w:id="986"/>
      <w:bookmarkEnd w:id="987"/>
    </w:p>
    <w:p w14:paraId="726928EF">
      <w:pPr>
        <w:pStyle w:val="5"/>
        <w:keepNext w:val="0"/>
        <w:spacing w:line="360" w:lineRule="exact"/>
        <w:rPr>
          <w:rFonts w:ascii="宋体" w:hAnsi="宋体" w:cs="宋体"/>
          <w:color w:val="auto"/>
          <w:sz w:val="21"/>
          <w:szCs w:val="21"/>
          <w:lang w:val="zh-CN"/>
        </w:rPr>
      </w:pPr>
      <w:bookmarkStart w:id="988" w:name="_Toc406054775"/>
      <w:bookmarkEnd w:id="988"/>
      <w:bookmarkStart w:id="989" w:name="_Toc373227737"/>
      <w:bookmarkEnd w:id="989"/>
      <w:bookmarkStart w:id="990" w:name="_Toc373478384"/>
      <w:bookmarkEnd w:id="990"/>
      <w:bookmarkStart w:id="991" w:name="_Toc3688"/>
      <w:bookmarkStart w:id="992" w:name="_Toc31428"/>
      <w:bookmarkStart w:id="993" w:name="_Toc7791"/>
      <w:bookmarkStart w:id="994" w:name="_Toc22713"/>
      <w:bookmarkStart w:id="995" w:name="_Toc27989"/>
      <w:r>
        <w:rPr>
          <w:rFonts w:ascii="宋体" w:hAnsi="宋体" w:cs="宋体"/>
          <w:color w:val="auto"/>
          <w:sz w:val="21"/>
          <w:szCs w:val="21"/>
          <w:lang w:val="zh-CN"/>
        </w:rPr>
        <w:t>9.1试验设备与试验人员</w:t>
      </w:r>
      <w:bookmarkEnd w:id="991"/>
      <w:bookmarkEnd w:id="992"/>
      <w:bookmarkEnd w:id="993"/>
      <w:bookmarkEnd w:id="994"/>
      <w:bookmarkEnd w:id="995"/>
    </w:p>
    <w:p w14:paraId="5A6D9EA8">
      <w:pPr>
        <w:spacing w:line="360" w:lineRule="exact"/>
        <w:ind w:firstLine="420"/>
        <w:jc w:val="left"/>
        <w:rPr>
          <w:rFonts w:ascii="宋体" w:hAnsi="宋体" w:cs="宋体"/>
          <w:color w:val="auto"/>
          <w:kern w:val="1"/>
          <w:szCs w:val="21"/>
        </w:rPr>
      </w:pPr>
      <w:r>
        <w:rPr>
          <w:rFonts w:ascii="宋体" w:hAnsi="宋体" w:cs="宋体"/>
          <w:color w:val="auto"/>
          <w:kern w:val="1"/>
          <w:szCs w:val="21"/>
        </w:rPr>
        <w:t>9</w:t>
      </w:r>
      <w:bookmarkStart w:id="996" w:name="_Toc303539141"/>
      <w:bookmarkEnd w:id="996"/>
      <w:bookmarkStart w:id="997" w:name="_Toc312678023"/>
      <w:bookmarkEnd w:id="997"/>
      <w:bookmarkStart w:id="998" w:name="_Toc300934984"/>
      <w:bookmarkEnd w:id="998"/>
      <w:bookmarkStart w:id="999" w:name="_Toc297123535"/>
      <w:bookmarkEnd w:id="999"/>
      <w:bookmarkStart w:id="1000" w:name="_Toc304295561"/>
      <w:bookmarkEnd w:id="1000"/>
      <w:bookmarkStart w:id="1001" w:name="_Toc312677497"/>
      <w:bookmarkEnd w:id="1001"/>
      <w:bookmarkStart w:id="1002" w:name="_Toc297216194"/>
      <w:bookmarkEnd w:id="1002"/>
      <w:r>
        <w:rPr>
          <w:rFonts w:ascii="宋体" w:hAnsi="宋体" w:cs="宋体"/>
          <w:color w:val="auto"/>
          <w:kern w:val="1"/>
          <w:szCs w:val="21"/>
        </w:rPr>
        <w:t>.1.2 试验设备</w:t>
      </w:r>
    </w:p>
    <w:p w14:paraId="0BA120C9">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施工现场需要配置的试验场所：</w:t>
      </w:r>
      <w:r>
        <w:rPr>
          <w:rFonts w:hint="eastAsia" w:ascii="宋体" w:hAnsi="宋体" w:cs="宋体"/>
          <w:color w:val="auto"/>
          <w:kern w:val="1"/>
          <w:szCs w:val="21"/>
          <w:u w:val="single"/>
        </w:rPr>
        <w:t>无</w:t>
      </w:r>
      <w:r>
        <w:rPr>
          <w:rFonts w:ascii="宋体" w:hAnsi="宋体" w:cs="宋体"/>
          <w:color w:val="auto"/>
          <w:kern w:val="1"/>
          <w:szCs w:val="21"/>
        </w:rPr>
        <w:t>。</w:t>
      </w:r>
    </w:p>
    <w:p w14:paraId="1DEB05DB">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施工现场需要配备的试验设备：</w:t>
      </w:r>
      <w:r>
        <w:rPr>
          <w:rFonts w:hint="eastAsia" w:ascii="宋体" w:hAnsi="宋体" w:cs="宋体"/>
          <w:color w:val="auto"/>
          <w:kern w:val="1"/>
          <w:szCs w:val="21"/>
          <w:u w:val="single"/>
        </w:rPr>
        <w:t>无</w:t>
      </w:r>
      <w:r>
        <w:rPr>
          <w:rFonts w:ascii="宋体" w:hAnsi="宋体" w:cs="宋体"/>
          <w:color w:val="auto"/>
          <w:kern w:val="1"/>
          <w:szCs w:val="21"/>
        </w:rPr>
        <w:t>。</w:t>
      </w:r>
    </w:p>
    <w:p w14:paraId="6471381D">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施工现场需要具备的其他试验条件：</w:t>
      </w:r>
      <w:r>
        <w:rPr>
          <w:rFonts w:hint="eastAsia" w:ascii="宋体" w:hAnsi="宋体" w:cs="宋体"/>
          <w:color w:val="auto"/>
          <w:kern w:val="1"/>
          <w:szCs w:val="21"/>
          <w:u w:val="single"/>
        </w:rPr>
        <w:t>无</w:t>
      </w:r>
      <w:r>
        <w:rPr>
          <w:rFonts w:ascii="宋体" w:hAnsi="宋体" w:cs="宋体"/>
          <w:color w:val="auto"/>
          <w:kern w:val="1"/>
          <w:szCs w:val="21"/>
        </w:rPr>
        <w:t>。</w:t>
      </w:r>
    </w:p>
    <w:p w14:paraId="44DE25B2">
      <w:pPr>
        <w:pStyle w:val="5"/>
        <w:keepNext w:val="0"/>
        <w:spacing w:line="360" w:lineRule="exact"/>
        <w:rPr>
          <w:rFonts w:ascii="宋体" w:hAnsi="宋体" w:cs="宋体"/>
          <w:color w:val="auto"/>
          <w:sz w:val="21"/>
          <w:szCs w:val="21"/>
          <w:lang w:val="zh-CN"/>
        </w:rPr>
      </w:pPr>
      <w:bookmarkStart w:id="1003" w:name="_Toc373227738"/>
      <w:bookmarkEnd w:id="1003"/>
      <w:bookmarkStart w:id="1004" w:name="_Toc373478385"/>
      <w:bookmarkEnd w:id="1004"/>
      <w:bookmarkStart w:id="1005" w:name="_Toc406054776"/>
      <w:bookmarkEnd w:id="1005"/>
      <w:bookmarkStart w:id="1006" w:name="_Toc2434"/>
      <w:bookmarkStart w:id="1007" w:name="_Toc13242"/>
      <w:bookmarkStart w:id="1008" w:name="_Toc10530"/>
      <w:bookmarkStart w:id="1009" w:name="_Toc17791"/>
      <w:bookmarkStart w:id="1010" w:name="_Toc31358"/>
      <w:r>
        <w:rPr>
          <w:rFonts w:ascii="宋体" w:hAnsi="宋体" w:cs="宋体"/>
          <w:color w:val="auto"/>
          <w:sz w:val="21"/>
          <w:szCs w:val="21"/>
          <w:lang w:val="zh-CN"/>
        </w:rPr>
        <w:t>9.4 现场工艺试验</w:t>
      </w:r>
      <w:bookmarkEnd w:id="1006"/>
      <w:bookmarkEnd w:id="1007"/>
      <w:bookmarkEnd w:id="1008"/>
      <w:bookmarkEnd w:id="1009"/>
      <w:bookmarkEnd w:id="1010"/>
    </w:p>
    <w:p w14:paraId="5AE2FDA9">
      <w:pPr>
        <w:spacing w:line="360" w:lineRule="exact"/>
        <w:ind w:firstLine="420"/>
        <w:jc w:val="left"/>
        <w:rPr>
          <w:rFonts w:ascii="宋体" w:hAnsi="宋体" w:cs="宋体"/>
          <w:color w:val="auto"/>
          <w:kern w:val="1"/>
          <w:szCs w:val="21"/>
        </w:rPr>
      </w:pPr>
      <w:r>
        <w:rPr>
          <w:rFonts w:ascii="宋体" w:hAnsi="宋体" w:cs="宋体"/>
          <w:color w:val="auto"/>
          <w:kern w:val="1"/>
          <w:szCs w:val="21"/>
        </w:rPr>
        <w:t>现场工艺试验的有关约定：</w:t>
      </w:r>
      <w:r>
        <w:rPr>
          <w:rFonts w:hint="eastAsia" w:ascii="宋体" w:hAnsi="宋体" w:cs="宋体"/>
          <w:color w:val="auto"/>
          <w:kern w:val="1"/>
          <w:szCs w:val="21"/>
          <w:u w:val="single"/>
        </w:rPr>
        <w:t>无</w:t>
      </w:r>
      <w:r>
        <w:rPr>
          <w:rFonts w:ascii="宋体" w:hAnsi="宋体" w:cs="宋体"/>
          <w:color w:val="auto"/>
          <w:kern w:val="1"/>
          <w:szCs w:val="21"/>
        </w:rPr>
        <w:t>。</w:t>
      </w:r>
    </w:p>
    <w:p w14:paraId="3A0467BA">
      <w:pPr>
        <w:spacing w:line="360" w:lineRule="exact"/>
        <w:jc w:val="left"/>
        <w:rPr>
          <w:rFonts w:ascii="宋体" w:hAnsi="宋体" w:cs="宋体"/>
          <w:color w:val="auto"/>
          <w:kern w:val="1"/>
          <w:szCs w:val="21"/>
        </w:rPr>
      </w:pPr>
      <w:bookmarkStart w:id="1011" w:name="OLE_LINK1"/>
      <w:bookmarkEnd w:id="1011"/>
      <w:r>
        <w:rPr>
          <w:rFonts w:ascii="宋体" w:hAnsi="宋体" w:cs="宋体"/>
          <w:b/>
          <w:color w:val="auto"/>
          <w:kern w:val="1"/>
          <w:szCs w:val="21"/>
        </w:rPr>
        <w:t>9.5 检验费用</w:t>
      </w:r>
    </w:p>
    <w:p w14:paraId="655F4E7D">
      <w:pPr>
        <w:spacing w:line="360" w:lineRule="auto"/>
        <w:ind w:firstLine="411" w:firstLineChars="196"/>
        <w:rPr>
          <w:rFonts w:ascii="宋体" w:hAnsi="宋体" w:cs="宋体"/>
          <w:color w:val="auto"/>
          <w:kern w:val="1"/>
          <w:szCs w:val="21"/>
        </w:rPr>
      </w:pPr>
      <w:r>
        <w:rPr>
          <w:rFonts w:hint="eastAsia" w:hAnsi="宋体" w:cs="宋体"/>
        </w:rPr>
        <w:t>根据《建设工程质量检测管理办法》（</w:t>
      </w:r>
      <w:r>
        <w:rPr>
          <w:rFonts w:hint="eastAsia" w:hAnsi="宋体" w:cs="宋体"/>
          <w:color w:val="FF0000"/>
        </w:rPr>
        <w:t>建设部令第</w:t>
      </w:r>
      <w:r>
        <w:rPr>
          <w:rFonts w:hint="eastAsia"/>
          <w:color w:val="FF0000"/>
        </w:rPr>
        <w:t>57</w:t>
      </w:r>
      <w:r>
        <w:rPr>
          <w:rFonts w:hint="eastAsia" w:hAnsi="宋体" w:cs="宋体"/>
          <w:color w:val="FF0000"/>
        </w:rPr>
        <w:t>号</w:t>
      </w:r>
      <w:r>
        <w:rPr>
          <w:rFonts w:hint="eastAsia" w:hAnsi="宋体" w:cs="宋体"/>
        </w:rPr>
        <w:t>）以及</w:t>
      </w:r>
      <w:r>
        <w:rPr>
          <w:rFonts w:hint="eastAsia" w:hAnsi="宋体" w:cs="宋体"/>
          <w:color w:val="FF0000"/>
        </w:rPr>
        <w:t>《广西壮族自治区建设工程质量检测管理实施细则》（桂建发〔2025〕5号）</w:t>
      </w:r>
      <w:r>
        <w:rPr>
          <w:rFonts w:hint="eastAsia" w:hAnsi="宋体" w:cs="宋体"/>
        </w:rPr>
        <w:t>规定，工程质量检测业务由发包人委托有相应资质的检测机构检测。费用从发包人的项目建设经费中支出并直接支付给检测机构，不计入合同价款内。</w:t>
      </w:r>
    </w:p>
    <w:p w14:paraId="54BB205E">
      <w:pPr>
        <w:pStyle w:val="5"/>
        <w:keepNext w:val="0"/>
        <w:spacing w:line="360" w:lineRule="exact"/>
        <w:rPr>
          <w:rFonts w:ascii="宋体" w:hAnsi="宋体" w:cs="宋体"/>
          <w:color w:val="auto"/>
          <w:sz w:val="21"/>
          <w:szCs w:val="21"/>
          <w:lang w:val="zh-CN"/>
        </w:rPr>
      </w:pPr>
      <w:bookmarkStart w:id="1012" w:name="_Toc406054777"/>
      <w:bookmarkEnd w:id="1012"/>
      <w:bookmarkStart w:id="1013" w:name="_Toc373227739"/>
      <w:bookmarkEnd w:id="1013"/>
      <w:bookmarkStart w:id="1014" w:name="_Toc373478386"/>
      <w:bookmarkEnd w:id="1014"/>
      <w:bookmarkStart w:id="1015" w:name="_Toc5651"/>
      <w:bookmarkStart w:id="1016" w:name="_Toc14485"/>
      <w:bookmarkStart w:id="1017" w:name="_Toc18035"/>
      <w:bookmarkStart w:id="1018" w:name="_Toc13466"/>
      <w:bookmarkStart w:id="1019" w:name="_Toc7546"/>
      <w:r>
        <w:rPr>
          <w:rFonts w:ascii="宋体" w:hAnsi="宋体" w:cs="宋体"/>
          <w:color w:val="auto"/>
          <w:sz w:val="21"/>
          <w:szCs w:val="21"/>
          <w:lang w:val="zh-CN"/>
        </w:rPr>
        <w:t>10. 变更</w:t>
      </w:r>
      <w:bookmarkEnd w:id="1015"/>
      <w:bookmarkEnd w:id="1016"/>
      <w:bookmarkEnd w:id="1017"/>
      <w:bookmarkEnd w:id="1018"/>
      <w:bookmarkEnd w:id="1019"/>
    </w:p>
    <w:p w14:paraId="03529473">
      <w:pPr>
        <w:pStyle w:val="5"/>
        <w:keepNext w:val="0"/>
        <w:spacing w:line="360" w:lineRule="exact"/>
        <w:rPr>
          <w:rFonts w:ascii="宋体" w:hAnsi="宋体" w:cs="宋体"/>
          <w:color w:val="auto"/>
          <w:sz w:val="21"/>
          <w:szCs w:val="21"/>
          <w:lang w:val="zh-CN"/>
        </w:rPr>
      </w:pPr>
      <w:bookmarkStart w:id="1020" w:name="_Toc373227740"/>
      <w:bookmarkEnd w:id="1020"/>
      <w:bookmarkStart w:id="1021" w:name="_Toc406054778"/>
      <w:bookmarkEnd w:id="1021"/>
      <w:bookmarkStart w:id="1022" w:name="_Toc373478387"/>
      <w:bookmarkEnd w:id="1022"/>
      <w:bookmarkStart w:id="1023" w:name="_Toc7929"/>
      <w:bookmarkStart w:id="1024" w:name="_Toc21579"/>
      <w:bookmarkStart w:id="1025" w:name="_Toc26023"/>
      <w:bookmarkStart w:id="1026" w:name="_Toc17430"/>
      <w:bookmarkStart w:id="1027" w:name="_Toc9588"/>
      <w:r>
        <w:rPr>
          <w:rFonts w:ascii="宋体" w:hAnsi="宋体" w:cs="宋体"/>
          <w:color w:val="auto"/>
          <w:sz w:val="21"/>
          <w:szCs w:val="21"/>
          <w:lang w:val="zh-CN"/>
        </w:rPr>
        <w:t>1</w:t>
      </w:r>
      <w:bookmarkStart w:id="1028" w:name="_Toc292559399"/>
      <w:bookmarkEnd w:id="1028"/>
      <w:bookmarkStart w:id="1029" w:name="_Toc297120494"/>
      <w:bookmarkEnd w:id="1029"/>
      <w:bookmarkStart w:id="1030" w:name="_Toc312678026"/>
      <w:bookmarkEnd w:id="1030"/>
      <w:bookmarkStart w:id="1031" w:name="_Toc296944533"/>
      <w:bookmarkEnd w:id="1031"/>
      <w:bookmarkStart w:id="1032" w:name="_Toc296891234"/>
      <w:bookmarkEnd w:id="1032"/>
      <w:bookmarkStart w:id="1033" w:name="_Toc312677500"/>
      <w:bookmarkEnd w:id="1033"/>
      <w:bookmarkStart w:id="1034" w:name="_Toc304295567"/>
      <w:bookmarkEnd w:id="1034"/>
      <w:bookmarkStart w:id="1035" w:name="_Toc303539147"/>
      <w:bookmarkEnd w:id="1035"/>
      <w:bookmarkStart w:id="1036" w:name="_Toc296891022"/>
      <w:bookmarkEnd w:id="1036"/>
      <w:bookmarkStart w:id="1037" w:name="_Toc297216200"/>
      <w:bookmarkEnd w:id="1037"/>
      <w:bookmarkStart w:id="1038" w:name="_Toc296503194"/>
      <w:bookmarkEnd w:id="1038"/>
      <w:bookmarkStart w:id="1039" w:name="_Toc296346695"/>
      <w:bookmarkEnd w:id="1039"/>
      <w:bookmarkStart w:id="1040" w:name="_Toc300934990"/>
      <w:bookmarkEnd w:id="1040"/>
      <w:bookmarkStart w:id="1041" w:name="_Toc292559904"/>
      <w:bookmarkEnd w:id="1041"/>
      <w:bookmarkStart w:id="1042" w:name="_Toc297123541"/>
      <w:bookmarkEnd w:id="1042"/>
      <w:bookmarkStart w:id="1043" w:name="_Toc297048380"/>
      <w:bookmarkEnd w:id="1043"/>
      <w:bookmarkStart w:id="1044" w:name="_Toc296347193"/>
      <w:bookmarkEnd w:id="1044"/>
      <w:r>
        <w:rPr>
          <w:rFonts w:ascii="宋体" w:hAnsi="宋体" w:cs="宋体"/>
          <w:color w:val="auto"/>
          <w:sz w:val="21"/>
          <w:szCs w:val="21"/>
          <w:lang w:val="zh-CN"/>
        </w:rPr>
        <w:t>0.1变更的范围</w:t>
      </w:r>
      <w:bookmarkEnd w:id="1023"/>
      <w:bookmarkEnd w:id="1024"/>
      <w:bookmarkEnd w:id="1025"/>
      <w:bookmarkEnd w:id="1026"/>
      <w:bookmarkEnd w:id="1027"/>
    </w:p>
    <w:p w14:paraId="5580F0A3">
      <w:pPr>
        <w:spacing w:line="360" w:lineRule="exact"/>
        <w:ind w:firstLine="426"/>
        <w:jc w:val="left"/>
        <w:rPr>
          <w:rFonts w:ascii="宋体" w:hAnsi="宋体" w:cs="宋体"/>
          <w:color w:val="auto"/>
          <w:kern w:val="1"/>
          <w:szCs w:val="21"/>
        </w:rPr>
      </w:pPr>
      <w:r>
        <w:rPr>
          <w:rFonts w:ascii="宋体" w:hAnsi="宋体" w:cs="宋体"/>
          <w:color w:val="auto"/>
          <w:kern w:val="1"/>
          <w:szCs w:val="21"/>
        </w:rPr>
        <w:t>关于变更的范围的约定：</w:t>
      </w:r>
      <w:r>
        <w:rPr>
          <w:rFonts w:hint="eastAsia" w:ascii="宋体" w:hAnsi="宋体" w:cs="宋体"/>
          <w:color w:val="auto"/>
          <w:kern w:val="1"/>
          <w:szCs w:val="21"/>
          <w:u w:val="single"/>
        </w:rPr>
        <w:t>超出招标图纸和工程量清单的子目</w:t>
      </w:r>
      <w:r>
        <w:rPr>
          <w:rFonts w:ascii="宋体" w:hAnsi="宋体" w:cs="宋体"/>
          <w:color w:val="auto"/>
          <w:kern w:val="1"/>
          <w:szCs w:val="21"/>
        </w:rPr>
        <w:t>。</w:t>
      </w:r>
    </w:p>
    <w:p w14:paraId="17850557">
      <w:pPr>
        <w:pStyle w:val="5"/>
        <w:keepNext w:val="0"/>
        <w:spacing w:line="360" w:lineRule="exact"/>
        <w:rPr>
          <w:rFonts w:ascii="宋体" w:hAnsi="宋体" w:cs="宋体"/>
          <w:color w:val="auto"/>
          <w:sz w:val="21"/>
          <w:szCs w:val="21"/>
          <w:lang w:val="zh-CN"/>
        </w:rPr>
      </w:pPr>
      <w:bookmarkStart w:id="1045" w:name="_Toc373227741"/>
      <w:bookmarkEnd w:id="1045"/>
      <w:bookmarkStart w:id="1046" w:name="_Toc406054779"/>
      <w:bookmarkEnd w:id="1046"/>
      <w:bookmarkStart w:id="1047" w:name="_Toc373478388"/>
      <w:bookmarkEnd w:id="1047"/>
      <w:bookmarkStart w:id="1048" w:name="_Toc21161"/>
      <w:bookmarkStart w:id="1049" w:name="_Toc31685"/>
      <w:bookmarkStart w:id="1050" w:name="_Toc5877"/>
      <w:bookmarkStart w:id="1051" w:name="_Toc4895"/>
      <w:bookmarkStart w:id="1052" w:name="_Toc907"/>
      <w:r>
        <w:rPr>
          <w:rFonts w:ascii="宋体" w:hAnsi="宋体" w:cs="宋体"/>
          <w:color w:val="auto"/>
          <w:sz w:val="21"/>
          <w:szCs w:val="21"/>
          <w:lang w:val="zh-CN"/>
        </w:rPr>
        <w:t>10.3 变更程序</w:t>
      </w:r>
      <w:bookmarkEnd w:id="1048"/>
      <w:bookmarkEnd w:id="1049"/>
      <w:bookmarkEnd w:id="1050"/>
      <w:bookmarkEnd w:id="1051"/>
      <w:bookmarkEnd w:id="1052"/>
    </w:p>
    <w:p w14:paraId="2BFD63C3">
      <w:pPr>
        <w:pStyle w:val="27"/>
        <w:spacing w:line="360" w:lineRule="exact"/>
        <w:ind w:firstLine="441"/>
        <w:rPr>
          <w:rFonts w:hAnsi="宋体" w:cs="宋体"/>
          <w:color w:val="auto"/>
          <w:sz w:val="21"/>
        </w:rPr>
      </w:pPr>
      <w:r>
        <w:rPr>
          <w:rFonts w:hAnsi="宋体" w:cs="宋体"/>
          <w:color w:val="auto"/>
          <w:sz w:val="21"/>
        </w:rPr>
        <w:t>10.3.1</w:t>
      </w:r>
    </w:p>
    <w:p w14:paraId="0DA2DC4D">
      <w:pPr>
        <w:pStyle w:val="27"/>
        <w:spacing w:line="360" w:lineRule="exact"/>
        <w:ind w:firstLine="441"/>
        <w:rPr>
          <w:rFonts w:hAnsi="宋体" w:cs="宋体"/>
          <w:color w:val="auto"/>
          <w:sz w:val="21"/>
        </w:rPr>
      </w:pPr>
      <w:r>
        <w:rPr>
          <w:rFonts w:hAnsi="宋体" w:cs="宋体"/>
          <w:color w:val="auto"/>
          <w:sz w:val="21"/>
        </w:rPr>
        <w:t>⑴设计变更和工程签证，按</w:t>
      </w:r>
      <w:r>
        <w:rPr>
          <w:rFonts w:hint="eastAsia" w:hAnsi="宋体" w:cs="宋体"/>
          <w:color w:val="auto"/>
          <w:sz w:val="21"/>
        </w:rPr>
        <w:t>岑溪</w:t>
      </w:r>
      <w:r>
        <w:rPr>
          <w:rFonts w:hAnsi="宋体" w:cs="宋体"/>
          <w:color w:val="auto"/>
          <w:sz w:val="21"/>
        </w:rPr>
        <w:t>市政府或相关部门的规定办理。属不可抗力（自然灾害、突发事件等）造成变更的，按特事特办原则予以办理。</w:t>
      </w:r>
    </w:p>
    <w:p w14:paraId="38CFFC13">
      <w:pPr>
        <w:pStyle w:val="27"/>
        <w:spacing w:line="360" w:lineRule="exact"/>
        <w:ind w:firstLine="441"/>
        <w:rPr>
          <w:rFonts w:hAnsi="宋体" w:cs="宋体"/>
          <w:color w:val="auto"/>
          <w:sz w:val="21"/>
        </w:rPr>
      </w:pPr>
      <w:r>
        <w:rPr>
          <w:rFonts w:hAnsi="宋体" w:cs="宋体"/>
          <w:color w:val="auto"/>
          <w:sz w:val="21"/>
        </w:rPr>
        <w:t>⑵建设单位在实施项目过程中，若发生单价变动，由建设单位、监理单位、施工单位及其他相关单位共同商定并签字确认。</w:t>
      </w:r>
    </w:p>
    <w:p w14:paraId="642E22FF">
      <w:pPr>
        <w:spacing w:line="360" w:lineRule="exact"/>
        <w:ind w:firstLine="420"/>
        <w:jc w:val="left"/>
        <w:rPr>
          <w:rFonts w:ascii="宋体" w:hAnsi="宋体" w:cs="宋体"/>
          <w:color w:val="auto"/>
          <w:kern w:val="1"/>
          <w:szCs w:val="21"/>
        </w:rPr>
      </w:pPr>
      <w:r>
        <w:rPr>
          <w:rFonts w:ascii="宋体" w:hAnsi="宋体" w:cs="宋体"/>
          <w:color w:val="auto"/>
          <w:kern w:val="1"/>
          <w:szCs w:val="21"/>
        </w:rPr>
        <w:t>⑶ 当合同规定的合同价款调整情况发生后，承包人未在规定时间内通知发包人，或者未在规定时间内提出调整报告，发包人可以根据有关资料，决定是否调整和调整的金额，并书面通知承包人。</w:t>
      </w:r>
    </w:p>
    <w:p w14:paraId="6A1C7615">
      <w:pPr>
        <w:pStyle w:val="5"/>
        <w:keepNext w:val="0"/>
        <w:spacing w:line="360" w:lineRule="exact"/>
        <w:rPr>
          <w:rFonts w:ascii="宋体" w:hAnsi="宋体" w:cs="宋体"/>
          <w:color w:val="auto"/>
          <w:sz w:val="21"/>
          <w:szCs w:val="21"/>
          <w:lang w:val="zh-CN"/>
        </w:rPr>
      </w:pPr>
      <w:bookmarkStart w:id="1053" w:name="_Toc373478389"/>
      <w:bookmarkEnd w:id="1053"/>
      <w:bookmarkStart w:id="1054" w:name="_Toc373227742"/>
      <w:bookmarkEnd w:id="1054"/>
      <w:bookmarkStart w:id="1055" w:name="_Toc406054780"/>
      <w:bookmarkEnd w:id="1055"/>
      <w:bookmarkStart w:id="1056" w:name="_Toc11010"/>
      <w:bookmarkStart w:id="1057" w:name="_Toc31127"/>
      <w:bookmarkStart w:id="1058" w:name="_Toc19081"/>
      <w:bookmarkStart w:id="1059" w:name="_Toc5457"/>
      <w:bookmarkStart w:id="1060" w:name="_Toc14970"/>
      <w:r>
        <w:rPr>
          <w:rFonts w:ascii="宋体" w:hAnsi="宋体" w:cs="宋体"/>
          <w:color w:val="auto"/>
          <w:sz w:val="21"/>
          <w:szCs w:val="21"/>
          <w:lang w:val="zh-CN"/>
        </w:rPr>
        <w:t>10.4 变更估价</w:t>
      </w:r>
      <w:bookmarkEnd w:id="1056"/>
      <w:bookmarkEnd w:id="1057"/>
      <w:bookmarkEnd w:id="1058"/>
      <w:bookmarkEnd w:id="1059"/>
      <w:bookmarkEnd w:id="1060"/>
    </w:p>
    <w:p w14:paraId="4DAE4428">
      <w:pPr>
        <w:spacing w:line="360" w:lineRule="exact"/>
        <w:ind w:firstLine="420"/>
        <w:jc w:val="left"/>
        <w:rPr>
          <w:rFonts w:ascii="宋体" w:hAnsi="宋体" w:cs="宋体"/>
          <w:color w:val="auto"/>
          <w:kern w:val="1"/>
          <w:szCs w:val="21"/>
        </w:rPr>
      </w:pPr>
      <w:r>
        <w:rPr>
          <w:rFonts w:ascii="宋体" w:hAnsi="宋体" w:cs="宋体"/>
          <w:color w:val="auto"/>
          <w:kern w:val="1"/>
          <w:szCs w:val="21"/>
        </w:rPr>
        <w:t>10.4.1 变更估价原则</w:t>
      </w:r>
    </w:p>
    <w:p w14:paraId="72DA9883">
      <w:pPr>
        <w:spacing w:line="360" w:lineRule="exact"/>
        <w:ind w:firstLine="420"/>
        <w:outlineLvl w:val="0"/>
        <w:rPr>
          <w:rFonts w:ascii="宋体" w:hAnsi="宋体" w:cs="宋体"/>
          <w:color w:val="auto"/>
          <w:kern w:val="1"/>
          <w:szCs w:val="21"/>
        </w:rPr>
      </w:pPr>
      <w:bookmarkStart w:id="1061" w:name="_Toc406054785"/>
      <w:bookmarkEnd w:id="1061"/>
      <w:bookmarkStart w:id="1062" w:name="_Toc406054781"/>
      <w:bookmarkEnd w:id="1062"/>
      <w:bookmarkStart w:id="1063" w:name="_Toc373478390"/>
      <w:bookmarkEnd w:id="1063"/>
      <w:bookmarkStart w:id="1064" w:name="_Toc406054516"/>
      <w:bookmarkEnd w:id="1064"/>
      <w:bookmarkStart w:id="1065" w:name="_Toc373227743"/>
      <w:bookmarkEnd w:id="1065"/>
      <w:bookmarkStart w:id="1066" w:name="_Toc19523"/>
      <w:bookmarkStart w:id="1067" w:name="_Toc12239"/>
      <w:bookmarkStart w:id="1068" w:name="_Toc9118"/>
      <w:bookmarkStart w:id="1069" w:name="_Toc8748"/>
      <w:bookmarkStart w:id="1070" w:name="_Toc12187"/>
      <w:r>
        <w:rPr>
          <w:rFonts w:ascii="宋体" w:hAnsi="宋体" w:cs="宋体"/>
          <w:color w:val="auto"/>
          <w:kern w:val="1"/>
          <w:szCs w:val="21"/>
        </w:rPr>
        <w:t>关于变更估价的约定:</w:t>
      </w:r>
      <w:bookmarkEnd w:id="1066"/>
      <w:bookmarkEnd w:id="1067"/>
      <w:bookmarkEnd w:id="1068"/>
      <w:bookmarkEnd w:id="1069"/>
      <w:bookmarkEnd w:id="1070"/>
    </w:p>
    <w:p w14:paraId="0A62A64F">
      <w:pPr>
        <w:spacing w:line="360" w:lineRule="exact"/>
        <w:ind w:firstLine="420"/>
        <w:outlineLvl w:val="0"/>
        <w:rPr>
          <w:rFonts w:ascii="宋体" w:hAnsi="宋体" w:cs="宋体"/>
          <w:color w:val="auto"/>
          <w:kern w:val="1"/>
          <w:szCs w:val="21"/>
          <w:u w:val="single"/>
        </w:rPr>
      </w:pPr>
      <w:bookmarkStart w:id="1071" w:name="_Toc28432"/>
      <w:bookmarkStart w:id="1072" w:name="_Toc2257"/>
      <w:bookmarkStart w:id="1073" w:name="_Toc7102"/>
      <w:bookmarkStart w:id="1074" w:name="_Toc10657"/>
      <w:bookmarkStart w:id="1075" w:name="_Toc3214"/>
      <w:r>
        <w:rPr>
          <w:rFonts w:hint="eastAsia" w:ascii="宋体" w:hAnsi="宋体" w:cs="宋体"/>
          <w:color w:val="auto"/>
          <w:kern w:val="1"/>
          <w:szCs w:val="21"/>
          <w:u w:val="single"/>
        </w:rPr>
        <w:t>（1）工程量清单中的子目工程量为结算最终工程量（除工程内容变更外）。承包人按照施工图纸完成全部工程。</w:t>
      </w:r>
      <w:bookmarkEnd w:id="1071"/>
      <w:bookmarkEnd w:id="1072"/>
      <w:bookmarkEnd w:id="1073"/>
      <w:bookmarkEnd w:id="1074"/>
      <w:bookmarkEnd w:id="1075"/>
    </w:p>
    <w:p w14:paraId="5BB38CDF">
      <w:pPr>
        <w:spacing w:line="360" w:lineRule="exact"/>
        <w:ind w:firstLine="420"/>
        <w:outlineLvl w:val="0"/>
        <w:rPr>
          <w:rFonts w:ascii="宋体" w:hAnsi="宋体" w:cs="宋体"/>
          <w:color w:val="auto"/>
          <w:kern w:val="1"/>
          <w:szCs w:val="21"/>
          <w:u w:val="single"/>
        </w:rPr>
      </w:pPr>
      <w:bookmarkStart w:id="1076" w:name="_Toc406054517"/>
      <w:bookmarkEnd w:id="1076"/>
      <w:bookmarkStart w:id="1077" w:name="_Toc406054782"/>
      <w:bookmarkEnd w:id="1077"/>
      <w:bookmarkStart w:id="1078" w:name="_Toc9823"/>
      <w:bookmarkStart w:id="1079" w:name="_Toc27321"/>
      <w:bookmarkStart w:id="1080" w:name="_Toc8506"/>
      <w:bookmarkStart w:id="1081" w:name="_Toc20872"/>
      <w:bookmarkStart w:id="1082" w:name="_Toc2244"/>
      <w:r>
        <w:rPr>
          <w:rFonts w:hint="eastAsia" w:ascii="宋体" w:hAnsi="宋体" w:cs="宋体"/>
          <w:color w:val="auto"/>
          <w:kern w:val="1"/>
          <w:szCs w:val="21"/>
          <w:u w:val="single"/>
        </w:rPr>
        <w:t>（2）已标价工程量清单中有适用于变更工作的子目的，采用财政评审报告中有相同细目的单价进行结算。</w:t>
      </w:r>
      <w:bookmarkEnd w:id="1078"/>
      <w:bookmarkEnd w:id="1079"/>
      <w:bookmarkEnd w:id="1080"/>
      <w:bookmarkEnd w:id="1081"/>
      <w:bookmarkEnd w:id="1082"/>
    </w:p>
    <w:p w14:paraId="294392A9">
      <w:pPr>
        <w:spacing w:line="360" w:lineRule="exact"/>
        <w:ind w:firstLine="420"/>
        <w:outlineLvl w:val="0"/>
        <w:rPr>
          <w:rFonts w:ascii="宋体" w:hAnsi="宋体" w:cs="宋体"/>
          <w:color w:val="auto"/>
          <w:kern w:val="1"/>
          <w:szCs w:val="21"/>
          <w:u w:val="single"/>
        </w:rPr>
      </w:pPr>
      <w:bookmarkStart w:id="1083" w:name="_Toc406054783"/>
      <w:bookmarkEnd w:id="1083"/>
      <w:bookmarkStart w:id="1084" w:name="_Toc406054518"/>
      <w:bookmarkEnd w:id="1084"/>
      <w:bookmarkStart w:id="1085" w:name="_Toc4011"/>
      <w:bookmarkStart w:id="1086" w:name="_Toc16997"/>
      <w:bookmarkStart w:id="1087" w:name="_Toc8945"/>
      <w:bookmarkStart w:id="1088" w:name="_Toc18369"/>
      <w:bookmarkStart w:id="1089" w:name="_Toc4314"/>
      <w:r>
        <w:rPr>
          <w:rFonts w:hint="eastAsia" w:ascii="宋体" w:hAnsi="宋体" w:cs="宋体"/>
          <w:color w:val="auto"/>
          <w:kern w:val="1"/>
          <w:szCs w:val="21"/>
          <w:u w:val="single"/>
        </w:rPr>
        <w:t>（3）已标价工程量清单中无适用于变更工作的子目，但有类似子目的，可在合理范围内按照财政评审报告中类似细目的单价进行结算，由监理人按第3.5款商定或确定变更工作的单价；</w:t>
      </w:r>
      <w:bookmarkEnd w:id="1085"/>
      <w:bookmarkEnd w:id="1086"/>
      <w:bookmarkEnd w:id="1087"/>
      <w:bookmarkEnd w:id="1088"/>
      <w:bookmarkEnd w:id="1089"/>
    </w:p>
    <w:p w14:paraId="628FE067">
      <w:pPr>
        <w:spacing w:line="360" w:lineRule="exact"/>
        <w:ind w:firstLine="420"/>
        <w:outlineLvl w:val="0"/>
        <w:rPr>
          <w:rFonts w:ascii="宋体" w:hAnsi="宋体" w:cs="宋体"/>
          <w:color w:val="auto"/>
          <w:kern w:val="1"/>
          <w:szCs w:val="21"/>
          <w:u w:val="single"/>
        </w:rPr>
      </w:pPr>
      <w:bookmarkStart w:id="1090" w:name="_Toc406054784"/>
      <w:bookmarkEnd w:id="1090"/>
      <w:bookmarkStart w:id="1091" w:name="_Toc406054519"/>
      <w:bookmarkEnd w:id="1091"/>
      <w:bookmarkStart w:id="1092" w:name="_Toc24989"/>
      <w:bookmarkStart w:id="1093" w:name="_Toc3043"/>
      <w:bookmarkStart w:id="1094" w:name="_Toc16253"/>
      <w:bookmarkStart w:id="1095" w:name="_Toc11918"/>
      <w:bookmarkStart w:id="1096" w:name="_Toc3073"/>
      <w:r>
        <w:rPr>
          <w:rFonts w:hint="eastAsia" w:ascii="宋体" w:hAnsi="宋体" w:cs="宋体"/>
          <w:color w:val="auto"/>
          <w:kern w:val="1"/>
          <w:szCs w:val="21"/>
          <w:u w:val="single"/>
        </w:rPr>
        <w:t>（4）已标价工程量清单中无适用或类似子目的单价，新增项目有定额的套定额进行计算，其中材料价格有信息价的按信息价，无信息价的按市场价；新增项目无定额可套的，由发包人、承包人根据市场价格协商决定，并经岑溪市审计部门审定。</w:t>
      </w:r>
      <w:bookmarkEnd w:id="1092"/>
      <w:bookmarkEnd w:id="1093"/>
      <w:bookmarkEnd w:id="1094"/>
      <w:bookmarkEnd w:id="1095"/>
      <w:bookmarkEnd w:id="1096"/>
    </w:p>
    <w:p w14:paraId="7C4A7ABD">
      <w:pPr>
        <w:spacing w:line="360" w:lineRule="exact"/>
        <w:outlineLvl w:val="0"/>
        <w:rPr>
          <w:rFonts w:ascii="宋体" w:hAnsi="宋体" w:cs="宋体"/>
          <w:b/>
          <w:color w:val="auto"/>
          <w:kern w:val="1"/>
          <w:szCs w:val="21"/>
        </w:rPr>
      </w:pPr>
      <w:bookmarkStart w:id="1097" w:name="_Toc10089"/>
      <w:bookmarkStart w:id="1098" w:name="_Toc15003"/>
      <w:bookmarkStart w:id="1099" w:name="_Toc30202"/>
      <w:bookmarkStart w:id="1100" w:name="_Toc5928"/>
      <w:bookmarkStart w:id="1101" w:name="_Toc26696"/>
      <w:r>
        <w:rPr>
          <w:rFonts w:ascii="宋体" w:hAnsi="宋体" w:cs="宋体"/>
          <w:b/>
          <w:color w:val="auto"/>
          <w:kern w:val="1"/>
          <w:szCs w:val="21"/>
        </w:rPr>
        <w:t>10.5承包人的合理化建议</w:t>
      </w:r>
      <w:bookmarkEnd w:id="1097"/>
      <w:bookmarkEnd w:id="1098"/>
      <w:bookmarkEnd w:id="1099"/>
      <w:bookmarkEnd w:id="1100"/>
      <w:bookmarkEnd w:id="1101"/>
    </w:p>
    <w:p w14:paraId="7CA0651C">
      <w:pPr>
        <w:spacing w:line="360" w:lineRule="exact"/>
        <w:ind w:firstLine="420"/>
        <w:jc w:val="left"/>
        <w:rPr>
          <w:rFonts w:ascii="宋体" w:hAnsi="宋体" w:cs="宋体"/>
          <w:color w:val="auto"/>
          <w:kern w:val="1"/>
          <w:szCs w:val="21"/>
        </w:rPr>
      </w:pPr>
      <w:r>
        <w:rPr>
          <w:rFonts w:ascii="宋体" w:hAnsi="宋体" w:cs="宋体"/>
          <w:color w:val="auto"/>
          <w:kern w:val="1"/>
          <w:szCs w:val="21"/>
        </w:rPr>
        <w:t>监理人审查承包人合理化建议的期限：</w:t>
      </w:r>
      <w:r>
        <w:rPr>
          <w:rFonts w:hint="eastAsia" w:ascii="宋体" w:hAnsi="宋体" w:cs="宋体"/>
          <w:color w:val="auto"/>
          <w:kern w:val="1"/>
          <w:szCs w:val="21"/>
          <w:u w:val="single"/>
        </w:rPr>
        <w:t>收到书面建议后30天内</w:t>
      </w:r>
      <w:r>
        <w:rPr>
          <w:rFonts w:ascii="宋体" w:hAnsi="宋体" w:cs="宋体"/>
          <w:color w:val="auto"/>
          <w:kern w:val="1"/>
          <w:szCs w:val="21"/>
        </w:rPr>
        <w:t>。</w:t>
      </w:r>
    </w:p>
    <w:p w14:paraId="320AA611">
      <w:pPr>
        <w:spacing w:line="360" w:lineRule="exact"/>
        <w:ind w:firstLine="420"/>
        <w:jc w:val="left"/>
        <w:rPr>
          <w:rFonts w:ascii="宋体" w:hAnsi="宋体" w:cs="宋体"/>
          <w:color w:val="auto"/>
          <w:kern w:val="1"/>
          <w:szCs w:val="21"/>
        </w:rPr>
      </w:pPr>
      <w:r>
        <w:rPr>
          <w:rFonts w:ascii="宋体" w:hAnsi="宋体" w:cs="宋体"/>
          <w:color w:val="auto"/>
          <w:kern w:val="1"/>
          <w:szCs w:val="21"/>
        </w:rPr>
        <w:t>发包人审批承包人合理化建议的期限：</w:t>
      </w:r>
      <w:r>
        <w:rPr>
          <w:rFonts w:hint="eastAsia" w:ascii="宋体" w:hAnsi="宋体" w:cs="宋体"/>
          <w:color w:val="auto"/>
          <w:kern w:val="1"/>
          <w:szCs w:val="21"/>
          <w:u w:val="single"/>
        </w:rPr>
        <w:t>收到监理人的审核意见后30天内</w:t>
      </w:r>
      <w:r>
        <w:rPr>
          <w:rFonts w:ascii="宋体" w:hAnsi="宋体" w:cs="宋体"/>
          <w:color w:val="auto"/>
          <w:kern w:val="1"/>
          <w:szCs w:val="21"/>
        </w:rPr>
        <w:t>。</w:t>
      </w:r>
    </w:p>
    <w:p w14:paraId="35EFE267">
      <w:pPr>
        <w:spacing w:line="360" w:lineRule="exact"/>
        <w:ind w:firstLine="420"/>
        <w:jc w:val="left"/>
        <w:rPr>
          <w:rFonts w:ascii="宋体" w:hAnsi="宋体" w:cs="宋体"/>
          <w:color w:val="auto"/>
          <w:kern w:val="1"/>
          <w:szCs w:val="21"/>
        </w:rPr>
      </w:pPr>
      <w:r>
        <w:rPr>
          <w:rFonts w:ascii="宋体" w:hAnsi="宋体" w:cs="宋体"/>
          <w:color w:val="auto"/>
          <w:kern w:val="1"/>
          <w:szCs w:val="21"/>
        </w:rPr>
        <w:t>承包人提出的合理化建议降低了合同价格或者提高了工程经济效益的奖励的方法和金额为：</w:t>
      </w:r>
      <w:r>
        <w:rPr>
          <w:rFonts w:ascii="宋体" w:hAnsi="宋体" w:cs="宋体"/>
          <w:color w:val="auto"/>
          <w:kern w:val="1"/>
          <w:szCs w:val="21"/>
          <w:u w:val="single"/>
        </w:rPr>
        <w:t xml:space="preserve"> 无  </w:t>
      </w:r>
      <w:r>
        <w:rPr>
          <w:rFonts w:ascii="宋体" w:hAnsi="宋体" w:cs="宋体"/>
          <w:color w:val="auto"/>
          <w:kern w:val="1"/>
          <w:szCs w:val="21"/>
        </w:rPr>
        <w:t>。</w:t>
      </w:r>
    </w:p>
    <w:p w14:paraId="1EFBE219">
      <w:pPr>
        <w:spacing w:line="360" w:lineRule="exact"/>
        <w:ind w:firstLine="420"/>
        <w:jc w:val="left"/>
        <w:rPr>
          <w:rFonts w:ascii="宋体" w:hAnsi="宋体" w:cs="宋体"/>
          <w:color w:val="auto"/>
          <w:kern w:val="1"/>
          <w:szCs w:val="21"/>
          <w:u w:val="single"/>
        </w:rPr>
      </w:pPr>
    </w:p>
    <w:p w14:paraId="5C6C9A25">
      <w:pPr>
        <w:pStyle w:val="5"/>
        <w:keepNext w:val="0"/>
        <w:spacing w:line="360" w:lineRule="exact"/>
        <w:rPr>
          <w:rFonts w:ascii="宋体" w:hAnsi="宋体" w:cs="宋体"/>
          <w:color w:val="auto"/>
          <w:sz w:val="21"/>
          <w:szCs w:val="21"/>
          <w:lang w:val="zh-CN"/>
        </w:rPr>
      </w:pPr>
      <w:bookmarkStart w:id="1102" w:name="_Toc373227744"/>
      <w:bookmarkEnd w:id="1102"/>
      <w:bookmarkStart w:id="1103" w:name="_Toc373478391"/>
      <w:bookmarkEnd w:id="1103"/>
      <w:bookmarkStart w:id="1104" w:name="_Toc406054786"/>
      <w:bookmarkEnd w:id="1104"/>
      <w:bookmarkStart w:id="1105" w:name="_Toc15990"/>
      <w:bookmarkStart w:id="1106" w:name="_Toc28208"/>
      <w:bookmarkStart w:id="1107" w:name="_Toc13257"/>
      <w:bookmarkStart w:id="1108" w:name="_Toc13378"/>
      <w:bookmarkStart w:id="1109" w:name="_Toc31926"/>
      <w:r>
        <w:rPr>
          <w:rFonts w:ascii="宋体" w:hAnsi="宋体" w:cs="宋体"/>
          <w:color w:val="auto"/>
          <w:sz w:val="21"/>
          <w:szCs w:val="21"/>
          <w:lang w:val="zh-CN"/>
        </w:rPr>
        <w:t>10.7 暂估价</w:t>
      </w:r>
      <w:bookmarkEnd w:id="1105"/>
      <w:bookmarkEnd w:id="1106"/>
      <w:bookmarkEnd w:id="1107"/>
      <w:bookmarkEnd w:id="1108"/>
      <w:bookmarkEnd w:id="1109"/>
    </w:p>
    <w:p w14:paraId="313B19B2">
      <w:pPr>
        <w:spacing w:line="360" w:lineRule="exact"/>
        <w:ind w:firstLine="420"/>
        <w:jc w:val="left"/>
        <w:rPr>
          <w:rFonts w:ascii="宋体" w:hAnsi="宋体" w:cs="宋体"/>
          <w:color w:val="auto"/>
          <w:kern w:val="1"/>
          <w:szCs w:val="21"/>
        </w:rPr>
      </w:pPr>
      <w:r>
        <w:rPr>
          <w:rFonts w:ascii="宋体" w:hAnsi="宋体" w:cs="宋体"/>
          <w:color w:val="auto"/>
          <w:kern w:val="1"/>
          <w:szCs w:val="21"/>
          <w:u w:val="single"/>
        </w:rPr>
        <w:t xml:space="preserve">无  </w:t>
      </w:r>
      <w:r>
        <w:rPr>
          <w:rFonts w:ascii="宋体" w:hAnsi="宋体" w:cs="宋体"/>
          <w:color w:val="auto"/>
          <w:kern w:val="1"/>
          <w:szCs w:val="21"/>
        </w:rPr>
        <w:t>。</w:t>
      </w:r>
    </w:p>
    <w:p w14:paraId="1604689E">
      <w:pPr>
        <w:pStyle w:val="5"/>
        <w:keepNext w:val="0"/>
        <w:spacing w:line="360" w:lineRule="exact"/>
        <w:rPr>
          <w:rFonts w:ascii="宋体" w:hAnsi="宋体" w:cs="宋体"/>
          <w:color w:val="auto"/>
          <w:sz w:val="21"/>
          <w:szCs w:val="21"/>
          <w:lang w:val="zh-CN"/>
        </w:rPr>
      </w:pPr>
      <w:bookmarkStart w:id="1110" w:name="_Toc406054788"/>
      <w:bookmarkEnd w:id="1110"/>
      <w:bookmarkStart w:id="1111" w:name="_Toc373227746"/>
      <w:bookmarkEnd w:id="1111"/>
      <w:bookmarkStart w:id="1112" w:name="_Toc373478393"/>
      <w:bookmarkEnd w:id="1112"/>
      <w:bookmarkStart w:id="1113" w:name="_Toc24713"/>
      <w:bookmarkStart w:id="1114" w:name="_Toc5033"/>
      <w:bookmarkStart w:id="1115" w:name="_Toc6797"/>
      <w:bookmarkStart w:id="1116" w:name="_Toc23765"/>
      <w:bookmarkStart w:id="1117" w:name="_Toc21245"/>
      <w:r>
        <w:rPr>
          <w:rFonts w:ascii="宋体" w:hAnsi="宋体" w:cs="宋体"/>
          <w:color w:val="auto"/>
          <w:sz w:val="21"/>
          <w:szCs w:val="21"/>
          <w:lang w:val="zh-CN"/>
        </w:rPr>
        <w:t>11. 价格调整</w:t>
      </w:r>
      <w:bookmarkEnd w:id="1113"/>
      <w:bookmarkEnd w:id="1114"/>
      <w:bookmarkEnd w:id="1115"/>
      <w:bookmarkEnd w:id="1116"/>
      <w:bookmarkEnd w:id="1117"/>
    </w:p>
    <w:p w14:paraId="2D7896E3">
      <w:pPr>
        <w:pStyle w:val="5"/>
        <w:keepNext w:val="0"/>
        <w:spacing w:line="360" w:lineRule="exact"/>
        <w:rPr>
          <w:rFonts w:ascii="宋体" w:hAnsi="宋体" w:cs="宋体"/>
          <w:color w:val="auto"/>
          <w:sz w:val="21"/>
          <w:szCs w:val="21"/>
          <w:lang w:val="zh-CN"/>
        </w:rPr>
      </w:pPr>
      <w:bookmarkStart w:id="1118" w:name="_Toc373478394"/>
      <w:bookmarkEnd w:id="1118"/>
      <w:bookmarkStart w:id="1119" w:name="_Toc406054789"/>
      <w:bookmarkEnd w:id="1119"/>
      <w:bookmarkStart w:id="1120" w:name="_Toc373227747"/>
      <w:bookmarkEnd w:id="1120"/>
      <w:bookmarkStart w:id="1121" w:name="_Toc16266"/>
      <w:bookmarkStart w:id="1122" w:name="_Toc28750"/>
      <w:bookmarkStart w:id="1123" w:name="_Toc18181"/>
      <w:bookmarkStart w:id="1124" w:name="_Toc24086"/>
      <w:bookmarkStart w:id="1125" w:name="_Toc10505"/>
      <w:r>
        <w:rPr>
          <w:rFonts w:ascii="宋体" w:hAnsi="宋体" w:cs="宋体"/>
          <w:color w:val="auto"/>
          <w:sz w:val="21"/>
          <w:szCs w:val="21"/>
          <w:lang w:val="zh-CN"/>
        </w:rPr>
        <w:t>11.1 市场价格波动引起的调整</w:t>
      </w:r>
      <w:bookmarkEnd w:id="1121"/>
      <w:bookmarkEnd w:id="1122"/>
      <w:bookmarkEnd w:id="1123"/>
      <w:bookmarkEnd w:id="1124"/>
      <w:bookmarkEnd w:id="1125"/>
    </w:p>
    <w:p w14:paraId="5D3B61F1">
      <w:pPr>
        <w:spacing w:line="360" w:lineRule="exact"/>
        <w:ind w:firstLine="420"/>
        <w:jc w:val="left"/>
        <w:rPr>
          <w:rFonts w:ascii="宋体" w:hAnsi="宋体" w:cs="宋体"/>
          <w:color w:val="auto"/>
          <w:kern w:val="1"/>
          <w:szCs w:val="21"/>
        </w:rPr>
      </w:pPr>
      <w:r>
        <w:rPr>
          <w:rFonts w:ascii="宋体" w:hAnsi="宋体" w:cs="宋体"/>
          <w:color w:val="auto"/>
          <w:kern w:val="1"/>
          <w:szCs w:val="21"/>
        </w:rPr>
        <w:t>市场价格波动是否调整合同价格的约定：</w:t>
      </w:r>
      <w:r>
        <w:rPr>
          <w:rFonts w:hint="eastAsia" w:ascii="宋体" w:hAnsi="宋体" w:cs="宋体"/>
          <w:color w:val="auto"/>
          <w:kern w:val="1"/>
          <w:szCs w:val="21"/>
          <w:u w:val="single"/>
        </w:rPr>
        <w:t>正常的施工条件下不予调整。非承包人原因造成的工期延误超过360天的，受到影响部分进行调整</w:t>
      </w:r>
      <w:r>
        <w:rPr>
          <w:rFonts w:ascii="宋体" w:hAnsi="宋体" w:cs="宋体"/>
          <w:color w:val="auto"/>
          <w:kern w:val="1"/>
          <w:szCs w:val="21"/>
        </w:rPr>
        <w:t>。</w:t>
      </w:r>
    </w:p>
    <w:p w14:paraId="327D5572">
      <w:pPr>
        <w:spacing w:line="360" w:lineRule="exact"/>
        <w:ind w:firstLine="420"/>
        <w:jc w:val="left"/>
        <w:rPr>
          <w:rFonts w:ascii="宋体" w:hAnsi="宋体" w:cs="宋体"/>
          <w:color w:val="auto"/>
          <w:kern w:val="1"/>
          <w:szCs w:val="21"/>
        </w:rPr>
      </w:pPr>
      <w:r>
        <w:rPr>
          <w:rFonts w:ascii="宋体" w:hAnsi="宋体" w:cs="宋体"/>
          <w:color w:val="auto"/>
          <w:kern w:val="1"/>
          <w:szCs w:val="21"/>
        </w:rPr>
        <w:t>因市场价格波动调整合同价格，采用以下方式对合同价格进行调整：</w:t>
      </w:r>
    </w:p>
    <w:p w14:paraId="6FF11914">
      <w:pPr>
        <w:spacing w:line="360" w:lineRule="exact"/>
        <w:ind w:firstLine="420"/>
        <w:jc w:val="left"/>
        <w:rPr>
          <w:rFonts w:ascii="宋体" w:hAnsi="宋体" w:cs="宋体"/>
          <w:color w:val="auto"/>
          <w:kern w:val="1"/>
          <w:szCs w:val="21"/>
        </w:rPr>
      </w:pPr>
      <w:r>
        <w:rPr>
          <w:rFonts w:ascii="宋体" w:hAnsi="宋体" w:cs="宋体"/>
          <w:color w:val="auto"/>
          <w:kern w:val="1"/>
          <w:szCs w:val="21"/>
        </w:rPr>
        <w:t>（1）主要材料确认价：</w:t>
      </w:r>
    </w:p>
    <w:p w14:paraId="4204790B">
      <w:pPr>
        <w:spacing w:line="360" w:lineRule="exact"/>
        <w:ind w:firstLine="420"/>
        <w:jc w:val="left"/>
        <w:rPr>
          <w:rFonts w:ascii="宋体" w:hAnsi="宋体" w:cs="宋体"/>
          <w:color w:val="auto"/>
          <w:kern w:val="1"/>
          <w:szCs w:val="21"/>
        </w:rPr>
      </w:pPr>
      <w:r>
        <w:rPr>
          <w:rFonts w:ascii="宋体" w:hAnsi="宋体" w:cs="宋体"/>
          <w:color w:val="auto"/>
          <w:kern w:val="1"/>
          <w:szCs w:val="21"/>
        </w:rPr>
        <w:t>按施工期间《</w:t>
      </w:r>
      <w:r>
        <w:rPr>
          <w:rFonts w:hint="eastAsia" w:ascii="宋体" w:hAnsi="宋体" w:cs="宋体"/>
          <w:color w:val="auto"/>
          <w:kern w:val="1"/>
          <w:szCs w:val="21"/>
        </w:rPr>
        <w:t>梧州</w:t>
      </w:r>
      <w:r>
        <w:rPr>
          <w:rFonts w:ascii="宋体" w:hAnsi="宋体" w:cs="宋体"/>
          <w:color w:val="auto"/>
          <w:kern w:val="1"/>
          <w:szCs w:val="21"/>
        </w:rPr>
        <w:t>市建设工程造价信息》</w:t>
      </w:r>
      <w:r>
        <w:rPr>
          <w:rFonts w:hint="eastAsia" w:ascii="宋体" w:hAnsi="宋体" w:cs="宋体"/>
          <w:color w:val="auto"/>
          <w:kern w:val="1"/>
          <w:szCs w:val="21"/>
        </w:rPr>
        <w:t>2025年9月份岑溪市部分价格</w:t>
      </w:r>
      <w:r>
        <w:rPr>
          <w:rFonts w:ascii="宋体" w:hAnsi="宋体" w:cs="宋体"/>
          <w:color w:val="auto"/>
          <w:kern w:val="1"/>
          <w:szCs w:val="21"/>
        </w:rPr>
        <w:t>计算，</w:t>
      </w:r>
      <w:r>
        <w:rPr>
          <w:rFonts w:hint="eastAsia" w:ascii="宋体" w:hAnsi="宋体" w:cs="宋体"/>
          <w:color w:val="auto"/>
          <w:kern w:val="1"/>
          <w:szCs w:val="21"/>
        </w:rPr>
        <w:t>缺项部分参考市场价格</w:t>
      </w:r>
      <w:r>
        <w:rPr>
          <w:rFonts w:ascii="宋体" w:hAnsi="宋体" w:cs="宋体"/>
          <w:color w:val="auto"/>
          <w:kern w:val="1"/>
          <w:szCs w:val="21"/>
        </w:rPr>
        <w:t>。</w:t>
      </w:r>
    </w:p>
    <w:p w14:paraId="60710F09">
      <w:pPr>
        <w:spacing w:line="360" w:lineRule="exact"/>
        <w:ind w:firstLine="420"/>
        <w:jc w:val="left"/>
        <w:rPr>
          <w:rFonts w:ascii="宋体" w:hAnsi="宋体" w:cs="宋体"/>
          <w:color w:val="auto"/>
          <w:kern w:val="1"/>
          <w:szCs w:val="21"/>
        </w:rPr>
      </w:pPr>
      <w:r>
        <w:rPr>
          <w:rFonts w:ascii="宋体" w:hAnsi="宋体" w:cs="宋体"/>
          <w:color w:val="auto"/>
          <w:kern w:val="1"/>
          <w:szCs w:val="21"/>
        </w:rPr>
        <w:t>（2）价差计算方法：</w:t>
      </w:r>
    </w:p>
    <w:p w14:paraId="757139B7">
      <w:pPr>
        <w:spacing w:line="360" w:lineRule="exact"/>
        <w:ind w:firstLine="420"/>
        <w:jc w:val="left"/>
        <w:rPr>
          <w:rFonts w:ascii="宋体" w:hAnsi="宋体" w:cs="宋体"/>
          <w:color w:val="auto"/>
          <w:kern w:val="1"/>
          <w:szCs w:val="21"/>
        </w:rPr>
      </w:pPr>
      <w:r>
        <w:rPr>
          <w:rFonts w:ascii="宋体" w:hAnsi="宋体" w:cs="宋体"/>
          <w:color w:val="auto"/>
          <w:kern w:val="1"/>
          <w:szCs w:val="21"/>
        </w:rPr>
        <w:t>①《承包人提供的主要材料和设备一览表》中载明的材料</w:t>
      </w:r>
      <w:r>
        <w:rPr>
          <w:rFonts w:hint="eastAsia" w:ascii="宋体" w:hAnsi="宋体" w:cs="宋体"/>
          <w:color w:val="auto"/>
          <w:kern w:val="1"/>
          <w:szCs w:val="21"/>
        </w:rPr>
        <w:t>竞标报价</w:t>
      </w:r>
      <w:r>
        <w:rPr>
          <w:rFonts w:ascii="宋体" w:hAnsi="宋体" w:cs="宋体"/>
          <w:color w:val="auto"/>
          <w:kern w:val="1"/>
          <w:szCs w:val="21"/>
        </w:rPr>
        <w:t>低于基准价格的：合同履行期间材料单价涨幅以基准价格为基础超过约定的风险范围时，或材料单价跌幅以</w:t>
      </w:r>
      <w:r>
        <w:rPr>
          <w:rFonts w:hint="eastAsia" w:ascii="宋体" w:hAnsi="宋体" w:cs="宋体"/>
          <w:color w:val="auto"/>
          <w:kern w:val="1"/>
          <w:szCs w:val="21"/>
        </w:rPr>
        <w:t>竞标报价</w:t>
      </w:r>
      <w:r>
        <w:rPr>
          <w:rFonts w:ascii="宋体" w:hAnsi="宋体" w:cs="宋体"/>
          <w:color w:val="auto"/>
          <w:kern w:val="1"/>
          <w:szCs w:val="21"/>
        </w:rPr>
        <w:t>为基础超过约定的风险范围时，其超过部分据实调整。</w:t>
      </w:r>
    </w:p>
    <w:p w14:paraId="3EA2FEAC">
      <w:pPr>
        <w:spacing w:line="360" w:lineRule="exact"/>
        <w:ind w:firstLine="420"/>
        <w:jc w:val="left"/>
        <w:rPr>
          <w:rFonts w:ascii="宋体" w:hAnsi="宋体" w:cs="宋体"/>
          <w:color w:val="auto"/>
          <w:kern w:val="1"/>
          <w:szCs w:val="21"/>
        </w:rPr>
      </w:pPr>
      <w:r>
        <w:rPr>
          <w:rFonts w:ascii="宋体" w:hAnsi="宋体" w:cs="宋体"/>
          <w:color w:val="auto"/>
          <w:kern w:val="1"/>
          <w:szCs w:val="21"/>
        </w:rPr>
        <w:t>②承包人在《承包人提供的主要材料和设备一览表》中载明的材料</w:t>
      </w:r>
      <w:r>
        <w:rPr>
          <w:rFonts w:hint="eastAsia" w:ascii="宋体" w:hAnsi="宋体" w:cs="宋体"/>
          <w:color w:val="auto"/>
          <w:kern w:val="1"/>
          <w:szCs w:val="21"/>
        </w:rPr>
        <w:t>竞标报价</w:t>
      </w:r>
      <w:r>
        <w:rPr>
          <w:rFonts w:ascii="宋体" w:hAnsi="宋体" w:cs="宋体"/>
          <w:color w:val="auto"/>
          <w:kern w:val="1"/>
          <w:szCs w:val="21"/>
        </w:rPr>
        <w:t>高于基准价格的：专用合同条款合同履行期间材料单价跌幅以基准价格为基础超过约定的风险范围时，材料单价涨幅以</w:t>
      </w:r>
      <w:r>
        <w:rPr>
          <w:rFonts w:hint="eastAsia" w:ascii="宋体" w:hAnsi="宋体" w:cs="宋体"/>
          <w:color w:val="auto"/>
          <w:kern w:val="1"/>
          <w:szCs w:val="21"/>
        </w:rPr>
        <w:t>竞标报价</w:t>
      </w:r>
      <w:r>
        <w:rPr>
          <w:rFonts w:ascii="宋体" w:hAnsi="宋体" w:cs="宋体"/>
          <w:color w:val="auto"/>
          <w:kern w:val="1"/>
          <w:szCs w:val="21"/>
        </w:rPr>
        <w:t>为基础超过约定的风险范围时，其超过部分据实调整。</w:t>
      </w:r>
    </w:p>
    <w:p w14:paraId="4645D9C9">
      <w:pPr>
        <w:spacing w:line="360" w:lineRule="exact"/>
        <w:ind w:firstLine="420"/>
        <w:jc w:val="left"/>
        <w:rPr>
          <w:rFonts w:ascii="宋体" w:hAnsi="宋体" w:cs="宋体"/>
          <w:color w:val="auto"/>
          <w:kern w:val="1"/>
          <w:szCs w:val="21"/>
        </w:rPr>
      </w:pPr>
      <w:r>
        <w:rPr>
          <w:rFonts w:ascii="宋体" w:hAnsi="宋体" w:cs="宋体"/>
          <w:color w:val="auto"/>
          <w:kern w:val="1"/>
          <w:szCs w:val="21"/>
        </w:rPr>
        <w:t>③承包人在《承包人提供的主要材料和设备一览表》中载明的材料单价等于基准单价的：合同履行期间材料单价涨跌幅以基准单价为基础超过约定的风险范围时，其超过部分据实调整。</w:t>
      </w:r>
    </w:p>
    <w:p w14:paraId="15E8537D">
      <w:pPr>
        <w:spacing w:line="360" w:lineRule="exact"/>
        <w:rPr>
          <w:rFonts w:ascii="宋体" w:hAnsi="宋体" w:cs="宋体"/>
          <w:b/>
          <w:color w:val="auto"/>
          <w:kern w:val="1"/>
          <w:szCs w:val="21"/>
        </w:rPr>
      </w:pPr>
      <w:bookmarkStart w:id="1126" w:name="_Toc373478395"/>
      <w:bookmarkEnd w:id="1126"/>
      <w:bookmarkStart w:id="1127" w:name="_Toc373227748"/>
      <w:bookmarkEnd w:id="1127"/>
      <w:r>
        <w:rPr>
          <w:rFonts w:ascii="宋体" w:hAnsi="宋体" w:cs="宋体"/>
          <w:b/>
          <w:color w:val="auto"/>
          <w:kern w:val="1"/>
          <w:szCs w:val="21"/>
        </w:rPr>
        <w:t>12. 合同价格、计量与支付</w:t>
      </w:r>
    </w:p>
    <w:p w14:paraId="2AF09EC0">
      <w:pPr>
        <w:pStyle w:val="5"/>
        <w:keepNext w:val="0"/>
        <w:spacing w:line="360" w:lineRule="exact"/>
        <w:rPr>
          <w:rFonts w:ascii="宋体" w:hAnsi="宋体" w:cs="宋体"/>
          <w:color w:val="auto"/>
          <w:sz w:val="21"/>
          <w:szCs w:val="21"/>
          <w:lang w:val="zh-CN"/>
        </w:rPr>
      </w:pPr>
      <w:bookmarkStart w:id="1128" w:name="_Toc406054790"/>
      <w:bookmarkEnd w:id="1128"/>
      <w:bookmarkStart w:id="1129" w:name="_Toc373478396"/>
      <w:bookmarkEnd w:id="1129"/>
      <w:bookmarkStart w:id="1130" w:name="_Toc373227749"/>
      <w:bookmarkEnd w:id="1130"/>
      <w:bookmarkStart w:id="1131" w:name="_Toc24916"/>
      <w:bookmarkStart w:id="1132" w:name="_Toc9075"/>
      <w:bookmarkStart w:id="1133" w:name="_Toc8019"/>
      <w:bookmarkStart w:id="1134" w:name="_Toc30378"/>
      <w:bookmarkStart w:id="1135" w:name="_Toc1967"/>
      <w:r>
        <w:rPr>
          <w:rFonts w:ascii="宋体" w:hAnsi="宋体" w:cs="宋体"/>
          <w:color w:val="auto"/>
          <w:sz w:val="21"/>
          <w:szCs w:val="21"/>
          <w:lang w:val="zh-CN"/>
        </w:rPr>
        <w:t>12.1 合同价格形式</w:t>
      </w:r>
      <w:bookmarkEnd w:id="1131"/>
      <w:bookmarkEnd w:id="1132"/>
      <w:bookmarkEnd w:id="1133"/>
      <w:bookmarkEnd w:id="1134"/>
      <w:bookmarkEnd w:id="1135"/>
    </w:p>
    <w:p w14:paraId="00F0F352">
      <w:pPr>
        <w:spacing w:line="360" w:lineRule="auto"/>
        <w:ind w:firstLine="420" w:firstLineChars="200"/>
        <w:jc w:val="left"/>
        <w:rPr>
          <w:rFonts w:hint="eastAsia" w:hAnsi="宋体" w:cs="宋体"/>
          <w:color w:val="auto"/>
        </w:rPr>
      </w:pPr>
      <w:bookmarkStart w:id="1136" w:name="_Toc373478397"/>
      <w:bookmarkEnd w:id="1136"/>
      <w:bookmarkStart w:id="1137" w:name="_Toc373227750"/>
      <w:bookmarkEnd w:id="1137"/>
      <w:bookmarkStart w:id="1138" w:name="_Toc406054791"/>
      <w:bookmarkEnd w:id="1138"/>
      <w:bookmarkStart w:id="1139" w:name="_Toc10504"/>
      <w:bookmarkStart w:id="1140" w:name="_Toc2565"/>
      <w:bookmarkStart w:id="1141" w:name="_Toc920"/>
      <w:bookmarkStart w:id="1142" w:name="_Toc15370"/>
      <w:bookmarkStart w:id="1143" w:name="_Toc13283"/>
      <w:r>
        <w:rPr>
          <w:rFonts w:hint="eastAsia" w:hAnsi="宋体" w:cs="宋体"/>
          <w:color w:val="auto"/>
        </w:rPr>
        <w:t>采用综合</w:t>
      </w:r>
      <w:r>
        <w:rPr>
          <w:rFonts w:hint="eastAsia" w:hAnsi="宋体" w:cs="宋体"/>
          <w:color w:val="auto"/>
          <w:u w:val="single"/>
        </w:rPr>
        <w:t xml:space="preserve">  单价  </w:t>
      </w:r>
      <w:r>
        <w:rPr>
          <w:rFonts w:hint="eastAsia" w:hAnsi="宋体" w:cs="宋体"/>
          <w:color w:val="auto"/>
        </w:rPr>
        <w:t>合同方式。</w:t>
      </w:r>
    </w:p>
    <w:p w14:paraId="19816DA4">
      <w:pPr>
        <w:spacing w:line="360" w:lineRule="auto"/>
        <w:ind w:firstLine="420" w:firstLineChars="200"/>
        <w:jc w:val="left"/>
        <w:rPr>
          <w:rFonts w:hAnsi="宋体"/>
          <w:color w:val="auto"/>
        </w:rPr>
      </w:pPr>
      <w:r>
        <w:rPr>
          <w:rFonts w:hint="eastAsia" w:hAnsi="宋体" w:cs="宋体"/>
          <w:color w:val="auto"/>
        </w:rPr>
        <w:t>工程量按建设单位、监理单位、施工单位三方确认的竣工图结算。</w:t>
      </w:r>
    </w:p>
    <w:p w14:paraId="33A2014B">
      <w:pPr>
        <w:spacing w:line="360" w:lineRule="auto"/>
        <w:ind w:firstLine="420" w:firstLineChars="200"/>
        <w:jc w:val="left"/>
        <w:rPr>
          <w:rFonts w:hAnsi="宋体"/>
          <w:color w:val="auto"/>
        </w:rPr>
      </w:pPr>
      <w:r>
        <w:rPr>
          <w:rFonts w:hint="eastAsia" w:hAnsi="宋体" w:cs="宋体"/>
          <w:color w:val="auto"/>
        </w:rPr>
        <w:t>综合单价包含的风险范围：</w:t>
      </w:r>
      <w:r>
        <w:rPr>
          <w:rFonts w:hint="eastAsia" w:hAnsi="宋体" w:cs="宋体"/>
          <w:color w:val="auto"/>
          <w:u w:val="single"/>
        </w:rPr>
        <w:t>除工程变更、项目特征不符、工程量清单缺项、工程量偏差、政策性调整、市场价格波动。</w:t>
      </w:r>
    </w:p>
    <w:p w14:paraId="1D6D2064">
      <w:pPr>
        <w:spacing w:line="360" w:lineRule="auto"/>
        <w:ind w:firstLine="420" w:firstLineChars="200"/>
        <w:jc w:val="left"/>
        <w:rPr>
          <w:rFonts w:hAnsi="宋体" w:cs="宋体"/>
          <w:color w:val="auto"/>
        </w:rPr>
      </w:pPr>
      <w:r>
        <w:rPr>
          <w:rFonts w:hint="eastAsia" w:hAnsi="宋体" w:cs="宋体"/>
          <w:color w:val="auto"/>
        </w:rPr>
        <w:t>风险范围以外合同价格的调整方法：</w:t>
      </w:r>
    </w:p>
    <w:p w14:paraId="144513B1">
      <w:pPr>
        <w:spacing w:line="360" w:lineRule="auto"/>
        <w:ind w:firstLine="420" w:firstLineChars="200"/>
        <w:jc w:val="left"/>
        <w:rPr>
          <w:rFonts w:hint="eastAsia" w:hAnsi="宋体" w:cs="宋体"/>
          <w:color w:val="auto"/>
        </w:rPr>
      </w:pPr>
      <w:r>
        <w:rPr>
          <w:rFonts w:hint="eastAsia" w:hAnsi="宋体" w:cs="宋体"/>
          <w:color w:val="auto"/>
        </w:rPr>
        <w:t>①工程变更</w:t>
      </w:r>
      <w:r>
        <w:rPr>
          <w:rFonts w:hint="eastAsia" w:ascii="Calibri" w:hAnsi="宋体" w:cs="宋体"/>
          <w:color w:val="auto"/>
        </w:rPr>
        <w:t>、项目特征不符、工程量清单缺项</w:t>
      </w:r>
      <w:r>
        <w:rPr>
          <w:rFonts w:hint="eastAsia" w:hAnsi="宋体" w:cs="宋体"/>
          <w:color w:val="auto"/>
        </w:rPr>
        <w:t>：按</w:t>
      </w:r>
      <w:r>
        <w:rPr>
          <w:rFonts w:hAnsi="宋体" w:cs="宋体"/>
          <w:color w:val="auto"/>
        </w:rPr>
        <w:t>10.4.1</w:t>
      </w:r>
      <w:r>
        <w:rPr>
          <w:rFonts w:hint="eastAsia" w:hAnsi="宋体" w:cs="宋体"/>
          <w:color w:val="auto"/>
        </w:rPr>
        <w:t>变更估价原则的约定调整。</w:t>
      </w:r>
    </w:p>
    <w:p w14:paraId="1B284224">
      <w:pPr>
        <w:spacing w:line="360" w:lineRule="auto"/>
        <w:ind w:firstLine="420" w:firstLineChars="200"/>
        <w:jc w:val="left"/>
        <w:rPr>
          <w:rFonts w:hint="eastAsia" w:hAnsi="宋体" w:cs="宋体"/>
          <w:color w:val="auto"/>
        </w:rPr>
      </w:pPr>
      <w:r>
        <w:rPr>
          <w:rFonts w:hint="eastAsia" w:hAnsi="宋体" w:cs="宋体"/>
          <w:color w:val="auto"/>
        </w:rPr>
        <w:t>②</w:t>
      </w:r>
      <w:r>
        <w:rPr>
          <w:rFonts w:hint="eastAsia" w:ascii="Calibri" w:hAnsi="宋体" w:cs="宋体"/>
          <w:color w:val="auto"/>
        </w:rPr>
        <w:t>工程量偏差：按1.13工程量清单错误修正的约定调整。</w:t>
      </w:r>
    </w:p>
    <w:p w14:paraId="7539337F">
      <w:pPr>
        <w:spacing w:line="360" w:lineRule="auto"/>
        <w:ind w:firstLine="420" w:firstLineChars="200"/>
        <w:jc w:val="left"/>
        <w:rPr>
          <w:rFonts w:hAnsi="宋体" w:cs="宋体"/>
          <w:color w:val="auto"/>
        </w:rPr>
      </w:pPr>
      <w:r>
        <w:rPr>
          <w:rFonts w:hint="eastAsia" w:hAnsi="宋体" w:cs="宋体"/>
          <w:color w:val="auto"/>
        </w:rPr>
        <w:t>③政策性调整：</w:t>
      </w:r>
      <w:r>
        <w:rPr>
          <w:rFonts w:hint="eastAsia" w:ascii="仿宋_GB2312" w:hAnsi="宋体"/>
          <w:color w:val="auto"/>
        </w:rPr>
        <w:t>按国家、自治区住房城乡建设厅或工程所在地</w:t>
      </w:r>
      <w:r>
        <w:rPr>
          <w:rFonts w:hint="eastAsia" w:ascii="仿宋_GB2312" w:hAnsi="宋体"/>
          <w:color w:val="auto"/>
          <w:szCs w:val="21"/>
        </w:rPr>
        <w:t>市级</w:t>
      </w:r>
      <w:r>
        <w:rPr>
          <w:rFonts w:hint="eastAsia" w:ascii="仿宋_GB2312" w:hAnsi="宋体"/>
          <w:color w:val="auto"/>
        </w:rPr>
        <w:t>住房城乡建设主管部门颁布的文件执行</w:t>
      </w:r>
      <w:r>
        <w:rPr>
          <w:rFonts w:hint="eastAsia" w:hAnsi="宋体" w:cs="宋体"/>
          <w:color w:val="auto"/>
        </w:rPr>
        <w:t>。</w:t>
      </w:r>
    </w:p>
    <w:p w14:paraId="11177D10">
      <w:pPr>
        <w:spacing w:line="360" w:lineRule="auto"/>
        <w:ind w:firstLine="420" w:firstLineChars="200"/>
        <w:jc w:val="left"/>
        <w:rPr>
          <w:rFonts w:hAnsi="宋体" w:cs="宋体"/>
          <w:color w:val="auto"/>
        </w:rPr>
      </w:pPr>
      <w:r>
        <w:rPr>
          <w:rFonts w:hint="eastAsia" w:hAnsi="宋体" w:cs="宋体"/>
          <w:color w:val="auto"/>
        </w:rPr>
        <w:t>④市场波动引起的调整：按</w:t>
      </w:r>
      <w:r>
        <w:rPr>
          <w:rFonts w:hAnsi="宋体" w:cs="宋体"/>
          <w:color w:val="auto"/>
        </w:rPr>
        <w:t>11.1</w:t>
      </w:r>
      <w:r>
        <w:rPr>
          <w:rFonts w:hint="eastAsia" w:hAnsi="宋体" w:cs="宋体"/>
          <w:color w:val="auto"/>
        </w:rPr>
        <w:t>的约定调整。</w:t>
      </w:r>
    </w:p>
    <w:p w14:paraId="25E56451">
      <w:pPr>
        <w:spacing w:line="360" w:lineRule="auto"/>
        <w:ind w:firstLine="420" w:firstLineChars="200"/>
        <w:jc w:val="left"/>
        <w:rPr>
          <w:rFonts w:hAnsi="宋体"/>
          <w:color w:val="auto"/>
        </w:rPr>
      </w:pPr>
      <w:r>
        <w:rPr>
          <w:rFonts w:hint="eastAsia" w:hAnsi="宋体" w:cs="宋体"/>
          <w:color w:val="auto"/>
        </w:rPr>
        <w:t>⑤其它：</w:t>
      </w:r>
      <w:r>
        <w:rPr>
          <w:rFonts w:hAnsi="宋体"/>
          <w:color w:val="auto"/>
          <w:u w:val="single"/>
        </w:rPr>
        <w:t xml:space="preserve">  </w:t>
      </w:r>
      <w:r>
        <w:rPr>
          <w:rFonts w:hint="eastAsia" w:hAnsi="宋体"/>
          <w:color w:val="auto"/>
          <w:u w:val="single"/>
        </w:rPr>
        <w:t>/</w:t>
      </w:r>
      <w:r>
        <w:rPr>
          <w:rFonts w:hAnsi="宋体"/>
          <w:color w:val="auto"/>
          <w:u w:val="single"/>
        </w:rPr>
        <w:t xml:space="preserve">  </w:t>
      </w:r>
      <w:r>
        <w:rPr>
          <w:rFonts w:hint="eastAsia" w:hAnsi="宋体" w:cs="宋体"/>
          <w:color w:val="auto"/>
        </w:rPr>
        <w:t>。</w:t>
      </w:r>
    </w:p>
    <w:p w14:paraId="50A5094F">
      <w:pPr>
        <w:pStyle w:val="5"/>
        <w:keepNext w:val="0"/>
        <w:spacing w:line="360" w:lineRule="exact"/>
        <w:rPr>
          <w:rFonts w:ascii="宋体" w:hAnsi="宋体" w:cs="宋体"/>
          <w:color w:val="auto"/>
          <w:sz w:val="21"/>
          <w:szCs w:val="21"/>
          <w:lang w:val="zh-CN"/>
        </w:rPr>
      </w:pPr>
      <w:r>
        <w:rPr>
          <w:rFonts w:ascii="宋体" w:hAnsi="宋体" w:cs="宋体"/>
          <w:color w:val="auto"/>
          <w:sz w:val="21"/>
          <w:szCs w:val="21"/>
          <w:lang w:val="zh-CN"/>
        </w:rPr>
        <w:t>12.2 预付款</w:t>
      </w:r>
      <w:bookmarkEnd w:id="1139"/>
      <w:bookmarkEnd w:id="1140"/>
      <w:bookmarkEnd w:id="1141"/>
      <w:bookmarkEnd w:id="1142"/>
      <w:bookmarkEnd w:id="1143"/>
    </w:p>
    <w:p w14:paraId="072749BE">
      <w:pPr>
        <w:spacing w:line="360" w:lineRule="auto"/>
        <w:ind w:firstLine="420" w:firstLineChars="200"/>
        <w:jc w:val="left"/>
        <w:rPr>
          <w:color w:val="auto"/>
        </w:rPr>
      </w:pPr>
      <w:r>
        <w:rPr>
          <w:color w:val="auto"/>
        </w:rPr>
        <w:t xml:space="preserve">12.2.1 </w:t>
      </w:r>
      <w:r>
        <w:rPr>
          <w:rFonts w:hint="eastAsia" w:hAnsi="宋体" w:cs="宋体"/>
          <w:color w:val="auto"/>
        </w:rPr>
        <w:t>预付款的支付</w:t>
      </w:r>
    </w:p>
    <w:p w14:paraId="7672B87C">
      <w:pPr>
        <w:spacing w:line="360" w:lineRule="auto"/>
        <w:ind w:firstLine="420" w:firstLineChars="200"/>
        <w:jc w:val="left"/>
        <w:rPr>
          <w:color w:val="auto"/>
        </w:rPr>
      </w:pPr>
      <w:r>
        <w:rPr>
          <w:rFonts w:hint="eastAsia" w:hAnsi="宋体" w:cs="宋体"/>
          <w:color w:val="auto"/>
        </w:rPr>
        <w:t>预付款支付比例或金额：</w:t>
      </w:r>
      <w:r>
        <w:rPr>
          <w:color w:val="auto"/>
          <w:u w:val="single"/>
        </w:rPr>
        <w:t xml:space="preserve">  </w:t>
      </w:r>
      <w:r>
        <w:rPr>
          <w:rFonts w:hint="eastAsia"/>
          <w:color w:val="auto"/>
          <w:u w:val="single"/>
          <w:lang w:val="en-US" w:eastAsia="zh-CN"/>
        </w:rPr>
        <w:t>1</w:t>
      </w:r>
      <w:r>
        <w:rPr>
          <w:rFonts w:hint="eastAsia"/>
          <w:color w:val="auto"/>
          <w:u w:val="single"/>
        </w:rPr>
        <w:t>0%</w:t>
      </w:r>
      <w:r>
        <w:rPr>
          <w:color w:val="auto"/>
          <w:u w:val="single"/>
        </w:rPr>
        <w:t xml:space="preserve"> </w:t>
      </w:r>
      <w:r>
        <w:rPr>
          <w:rFonts w:hint="eastAsia" w:hAnsi="宋体" w:cs="宋体"/>
          <w:color w:val="auto"/>
          <w:u w:val="single"/>
        </w:rPr>
        <w:t>【备注：政府投资项目应严格执行工程预付款制度，工程预付款应不低于合同总价（扣除暂列金额）的</w:t>
      </w:r>
      <w:r>
        <w:rPr>
          <w:rFonts w:hint="eastAsia" w:hAnsi="宋体" w:cs="宋体"/>
          <w:color w:val="auto"/>
          <w:u w:val="single"/>
          <w:lang w:val="en-US" w:eastAsia="zh-CN"/>
        </w:rPr>
        <w:t>1</w:t>
      </w:r>
      <w:r>
        <w:rPr>
          <w:rFonts w:hint="eastAsia" w:hAnsi="宋体" w:cs="宋体"/>
          <w:color w:val="auto"/>
          <w:u w:val="single"/>
        </w:rPr>
        <w:t>0%（最高不超过30%，并与工程进度款分期按约定比例抵扣）】</w:t>
      </w:r>
      <w:r>
        <w:rPr>
          <w:rFonts w:hint="eastAsia" w:hAnsi="宋体" w:cs="宋体"/>
          <w:color w:val="auto"/>
        </w:rPr>
        <w:t>。</w:t>
      </w:r>
    </w:p>
    <w:p w14:paraId="6B34FC33">
      <w:pPr>
        <w:spacing w:line="360" w:lineRule="auto"/>
        <w:ind w:firstLine="420" w:firstLineChars="200"/>
        <w:jc w:val="left"/>
        <w:rPr>
          <w:color w:val="auto"/>
        </w:rPr>
      </w:pPr>
      <w:r>
        <w:rPr>
          <w:rFonts w:hint="eastAsia" w:hAnsi="宋体" w:cs="宋体"/>
          <w:color w:val="auto"/>
        </w:rPr>
        <w:t>预付款支付期限：</w:t>
      </w:r>
      <w:r>
        <w:rPr>
          <w:rFonts w:hint="eastAsia"/>
          <w:color w:val="auto"/>
          <w:u w:val="single"/>
        </w:rPr>
        <w:t>合同签订后，凭承包人递交的等额正式发票，发包人10个工作日之内</w:t>
      </w:r>
      <w:r>
        <w:rPr>
          <w:color w:val="auto"/>
          <w:u w:val="single"/>
        </w:rPr>
        <w:t xml:space="preserve"> </w:t>
      </w:r>
      <w:r>
        <w:rPr>
          <w:rFonts w:hint="eastAsia" w:hAnsi="宋体" w:cs="宋体"/>
          <w:color w:val="auto"/>
        </w:rPr>
        <w:t>。</w:t>
      </w:r>
    </w:p>
    <w:p w14:paraId="37A9C742">
      <w:pPr>
        <w:spacing w:line="360" w:lineRule="auto"/>
        <w:ind w:firstLine="420" w:firstLineChars="200"/>
        <w:jc w:val="left"/>
        <w:rPr>
          <w:color w:val="auto"/>
        </w:rPr>
      </w:pPr>
      <w:r>
        <w:rPr>
          <w:rFonts w:hint="eastAsia" w:hAnsi="宋体" w:cs="宋体"/>
          <w:color w:val="auto"/>
        </w:rPr>
        <w:t>预付款扣回的方式：</w:t>
      </w:r>
      <w:r>
        <w:rPr>
          <w:rFonts w:hint="eastAsia"/>
          <w:color w:val="auto"/>
          <w:u w:val="single"/>
        </w:rPr>
        <w:t>进度款达到50%作为预付款起扣点，从此之后的每7日进度款中按预付款支付比例扣回</w:t>
      </w:r>
      <w:r>
        <w:rPr>
          <w:rFonts w:hint="eastAsia" w:hAnsi="宋体" w:cs="宋体"/>
          <w:color w:val="auto"/>
        </w:rPr>
        <w:t>。</w:t>
      </w:r>
    </w:p>
    <w:p w14:paraId="36919026">
      <w:pPr>
        <w:spacing w:line="360" w:lineRule="auto"/>
        <w:ind w:firstLine="420" w:firstLineChars="200"/>
        <w:jc w:val="left"/>
        <w:rPr>
          <w:color w:val="auto"/>
        </w:rPr>
      </w:pPr>
      <w:r>
        <w:rPr>
          <w:color w:val="auto"/>
        </w:rPr>
        <w:t xml:space="preserve">12.2.2 </w:t>
      </w:r>
      <w:r>
        <w:rPr>
          <w:rFonts w:hint="eastAsia" w:hAnsi="宋体" w:cs="宋体"/>
          <w:color w:val="auto"/>
        </w:rPr>
        <w:t>预付款担保</w:t>
      </w:r>
    </w:p>
    <w:p w14:paraId="139E6981">
      <w:pPr>
        <w:spacing w:line="360" w:lineRule="auto"/>
        <w:ind w:firstLine="420" w:firstLineChars="200"/>
        <w:jc w:val="left"/>
        <w:rPr>
          <w:color w:val="auto"/>
        </w:rPr>
      </w:pPr>
      <w:r>
        <w:rPr>
          <w:rFonts w:hint="eastAsia" w:hAnsi="宋体" w:cs="宋体"/>
          <w:color w:val="auto"/>
        </w:rPr>
        <w:t>承包人提交预付款担保的期限：</w:t>
      </w:r>
      <w:r>
        <w:rPr>
          <w:color w:val="auto"/>
          <w:u w:val="single"/>
        </w:rPr>
        <w:t xml:space="preserve">  </w:t>
      </w:r>
      <w:r>
        <w:rPr>
          <w:rFonts w:hint="eastAsia"/>
          <w:color w:val="auto"/>
          <w:u w:val="single"/>
        </w:rPr>
        <w:t>/</w:t>
      </w:r>
      <w:r>
        <w:rPr>
          <w:color w:val="auto"/>
          <w:u w:val="single"/>
        </w:rPr>
        <w:t xml:space="preserve">  </w:t>
      </w:r>
      <w:r>
        <w:rPr>
          <w:rFonts w:hint="eastAsia" w:hAnsi="宋体" w:cs="宋体"/>
          <w:color w:val="auto"/>
        </w:rPr>
        <w:t>。</w:t>
      </w:r>
    </w:p>
    <w:p w14:paraId="429BF891">
      <w:pPr>
        <w:spacing w:line="360" w:lineRule="auto"/>
        <w:ind w:firstLine="420" w:firstLineChars="200"/>
        <w:jc w:val="left"/>
        <w:rPr>
          <w:rFonts w:hint="eastAsia" w:hAnsi="宋体" w:cs="宋体"/>
          <w:color w:val="auto"/>
        </w:rPr>
      </w:pPr>
      <w:r>
        <w:rPr>
          <w:rFonts w:hint="eastAsia" w:hAnsi="宋体" w:cs="宋体"/>
          <w:color w:val="auto"/>
        </w:rPr>
        <w:t>预付款担保的形式为：</w:t>
      </w:r>
      <w:r>
        <w:rPr>
          <w:rFonts w:hint="eastAsia"/>
          <w:color w:val="auto"/>
        </w:rPr>
        <w:t>可以是</w:t>
      </w:r>
      <w:r>
        <w:rPr>
          <w:rFonts w:hint="eastAsia" w:hAnsi="宋体" w:cs="宋体"/>
          <w:color w:val="auto"/>
        </w:rPr>
        <w:t>银行转账、电汇或网上支付、保函（银行保函、电子保函、保证保险保函、工程担保保函）等形式。</w:t>
      </w:r>
    </w:p>
    <w:p w14:paraId="526C947C">
      <w:pPr>
        <w:spacing w:line="360" w:lineRule="auto"/>
        <w:ind w:firstLine="420"/>
        <w:jc w:val="left"/>
        <w:rPr>
          <w:rFonts w:ascii="宋体" w:hAnsi="宋体" w:cs="宋体"/>
          <w:color w:val="auto"/>
          <w:kern w:val="1"/>
          <w:szCs w:val="21"/>
        </w:rPr>
      </w:pPr>
      <w:r>
        <w:rPr>
          <w:rFonts w:ascii="宋体" w:hAnsi="宋体" w:cs="宋体"/>
          <w:color w:val="auto"/>
          <w:kern w:val="1"/>
          <w:szCs w:val="21"/>
        </w:rPr>
        <w:t>12.2.2 预付款担保</w:t>
      </w:r>
    </w:p>
    <w:p w14:paraId="40D15982">
      <w:pPr>
        <w:spacing w:line="360" w:lineRule="auto"/>
        <w:ind w:firstLine="420"/>
        <w:jc w:val="left"/>
        <w:rPr>
          <w:rFonts w:ascii="宋体" w:hAnsi="宋体" w:cs="宋体"/>
          <w:color w:val="auto"/>
          <w:kern w:val="1"/>
          <w:szCs w:val="21"/>
          <w:u w:val="single"/>
        </w:rPr>
      </w:pPr>
      <w:r>
        <w:rPr>
          <w:rFonts w:ascii="宋体" w:hAnsi="宋体" w:cs="宋体"/>
          <w:color w:val="auto"/>
          <w:kern w:val="1"/>
          <w:szCs w:val="21"/>
          <w:u w:val="single"/>
        </w:rPr>
        <w:t>承包人提交预付款担保的期限：</w:t>
      </w:r>
      <w:r>
        <w:rPr>
          <w:rFonts w:hint="eastAsia" w:ascii="宋体" w:hAnsi="宋体" w:cs="宋体"/>
          <w:color w:val="auto"/>
          <w:kern w:val="1"/>
          <w:szCs w:val="21"/>
          <w:u w:val="single"/>
        </w:rPr>
        <w:t>/</w:t>
      </w:r>
      <w:r>
        <w:rPr>
          <w:rFonts w:ascii="宋体" w:hAnsi="宋体" w:cs="宋体"/>
          <w:color w:val="auto"/>
          <w:kern w:val="1"/>
          <w:szCs w:val="21"/>
          <w:u w:val="single"/>
        </w:rPr>
        <w:t>。</w:t>
      </w:r>
    </w:p>
    <w:p w14:paraId="1BDFD786">
      <w:pPr>
        <w:pStyle w:val="5"/>
        <w:keepNext w:val="0"/>
        <w:spacing w:line="360" w:lineRule="auto"/>
        <w:rPr>
          <w:rFonts w:ascii="宋体" w:hAnsi="宋体" w:cs="宋体"/>
          <w:color w:val="auto"/>
          <w:sz w:val="21"/>
          <w:szCs w:val="21"/>
          <w:lang w:val="zh-CN"/>
        </w:rPr>
      </w:pPr>
      <w:bookmarkStart w:id="1144" w:name="_Toc373478398"/>
      <w:bookmarkEnd w:id="1144"/>
      <w:bookmarkStart w:id="1145" w:name="_Toc373227751"/>
      <w:bookmarkEnd w:id="1145"/>
      <w:bookmarkStart w:id="1146" w:name="_Toc406054792"/>
      <w:bookmarkEnd w:id="1146"/>
      <w:bookmarkStart w:id="1147" w:name="_Toc5567"/>
      <w:bookmarkStart w:id="1148" w:name="_Toc27246"/>
      <w:bookmarkStart w:id="1149" w:name="_Toc23525"/>
      <w:bookmarkStart w:id="1150" w:name="_Toc14946"/>
      <w:bookmarkStart w:id="1151" w:name="_Toc8755"/>
      <w:r>
        <w:rPr>
          <w:rFonts w:ascii="宋体" w:hAnsi="宋体" w:cs="宋体"/>
          <w:color w:val="auto"/>
          <w:sz w:val="21"/>
          <w:szCs w:val="21"/>
          <w:lang w:val="zh-CN"/>
        </w:rPr>
        <w:t>12.3 计量</w:t>
      </w:r>
      <w:bookmarkEnd w:id="1147"/>
      <w:bookmarkEnd w:id="1148"/>
      <w:bookmarkEnd w:id="1149"/>
      <w:bookmarkEnd w:id="1150"/>
      <w:bookmarkEnd w:id="1151"/>
    </w:p>
    <w:p w14:paraId="494156A1">
      <w:pPr>
        <w:spacing w:line="360" w:lineRule="exact"/>
        <w:ind w:firstLine="420"/>
        <w:jc w:val="left"/>
        <w:rPr>
          <w:rFonts w:ascii="宋体" w:hAnsi="宋体" w:cs="宋体"/>
          <w:color w:val="auto"/>
          <w:kern w:val="1"/>
          <w:szCs w:val="21"/>
        </w:rPr>
      </w:pPr>
      <w:r>
        <w:rPr>
          <w:rFonts w:ascii="宋体" w:hAnsi="宋体" w:cs="宋体"/>
          <w:color w:val="auto"/>
          <w:kern w:val="1"/>
          <w:szCs w:val="21"/>
        </w:rPr>
        <w:t>12.3.1 计量原则</w:t>
      </w:r>
    </w:p>
    <w:p w14:paraId="3FB0C4FF">
      <w:pPr>
        <w:spacing w:line="360" w:lineRule="exact"/>
        <w:ind w:firstLine="420"/>
        <w:jc w:val="left"/>
        <w:rPr>
          <w:rFonts w:ascii="宋体" w:hAnsi="宋体" w:cs="宋体"/>
          <w:color w:val="auto"/>
          <w:kern w:val="1"/>
          <w:szCs w:val="21"/>
        </w:rPr>
      </w:pPr>
      <w:r>
        <w:rPr>
          <w:rFonts w:ascii="宋体" w:hAnsi="宋体" w:cs="宋体"/>
          <w:color w:val="auto"/>
          <w:kern w:val="1"/>
          <w:szCs w:val="21"/>
        </w:rPr>
        <w:t>工程量计算规则：</w:t>
      </w:r>
      <w:r>
        <w:rPr>
          <w:rFonts w:ascii="宋体" w:hAnsi="宋体" w:cs="宋体"/>
          <w:color w:val="auto"/>
          <w:kern w:val="1"/>
          <w:szCs w:val="21"/>
          <w:u w:val="single"/>
        </w:rPr>
        <w:t>工程的计量均以《建设工程工程量清单计价规范》（GB50500－2013）和及其广西壮族自治区实施细则、《建设工程工程量清单计算规范》（GB50854</w:t>
      </w:r>
      <w:r>
        <w:rPr>
          <w:rFonts w:hint="eastAsia" w:ascii="宋体" w:hAnsi="宋体" w:cs="宋体"/>
          <w:color w:val="auto"/>
          <w:kern w:val="1"/>
          <w:szCs w:val="21"/>
          <w:u w:val="single"/>
        </w:rPr>
        <w:t>～</w:t>
      </w:r>
      <w:r>
        <w:rPr>
          <w:rFonts w:ascii="宋体" w:hAnsi="宋体" w:cs="宋体"/>
          <w:color w:val="auto"/>
          <w:kern w:val="1"/>
          <w:szCs w:val="21"/>
          <w:u w:val="single"/>
        </w:rPr>
        <w:t>50862－2013）及其广西实施细则、本工程补充项目清单为准。</w:t>
      </w:r>
    </w:p>
    <w:p w14:paraId="5D336300">
      <w:pPr>
        <w:spacing w:line="360" w:lineRule="exact"/>
        <w:ind w:firstLine="420"/>
        <w:jc w:val="left"/>
        <w:rPr>
          <w:rFonts w:ascii="宋体" w:hAnsi="宋体" w:cs="宋体"/>
          <w:color w:val="auto"/>
          <w:kern w:val="1"/>
          <w:szCs w:val="21"/>
        </w:rPr>
      </w:pPr>
      <w:r>
        <w:rPr>
          <w:rFonts w:ascii="宋体" w:hAnsi="宋体" w:cs="宋体"/>
          <w:color w:val="auto"/>
          <w:kern w:val="1"/>
          <w:szCs w:val="21"/>
        </w:rPr>
        <w:t>12.3.2 计量周期</w:t>
      </w:r>
    </w:p>
    <w:p w14:paraId="5DEBC8FD">
      <w:pPr>
        <w:spacing w:line="360" w:lineRule="exact"/>
        <w:ind w:firstLine="420"/>
        <w:jc w:val="left"/>
        <w:rPr>
          <w:rFonts w:ascii="宋体" w:hAnsi="宋体" w:cs="宋体"/>
          <w:color w:val="auto"/>
          <w:kern w:val="1"/>
          <w:szCs w:val="21"/>
        </w:rPr>
      </w:pPr>
      <w:r>
        <w:rPr>
          <w:rFonts w:ascii="宋体" w:hAnsi="宋体" w:cs="宋体"/>
          <w:color w:val="auto"/>
          <w:kern w:val="1"/>
          <w:szCs w:val="21"/>
        </w:rPr>
        <w:t>关于计量周期的约定：</w:t>
      </w:r>
      <w:r>
        <w:rPr>
          <w:rFonts w:ascii="宋体" w:hAnsi="宋体" w:cs="宋体"/>
          <w:color w:val="auto"/>
          <w:kern w:val="1"/>
          <w:szCs w:val="21"/>
          <w:u w:val="single"/>
        </w:rPr>
        <w:t>每月25日前</w:t>
      </w:r>
      <w:r>
        <w:rPr>
          <w:rFonts w:ascii="宋体" w:hAnsi="宋体" w:cs="宋体"/>
          <w:color w:val="auto"/>
          <w:kern w:val="1"/>
          <w:szCs w:val="21"/>
        </w:rPr>
        <w:t>。</w:t>
      </w:r>
    </w:p>
    <w:p w14:paraId="34EF9CCA">
      <w:pPr>
        <w:spacing w:line="360" w:lineRule="exact"/>
        <w:ind w:firstLine="420"/>
        <w:jc w:val="left"/>
        <w:rPr>
          <w:rFonts w:ascii="宋体" w:hAnsi="宋体" w:cs="宋体"/>
          <w:color w:val="auto"/>
          <w:kern w:val="1"/>
          <w:szCs w:val="21"/>
        </w:rPr>
      </w:pPr>
      <w:r>
        <w:rPr>
          <w:rFonts w:ascii="宋体" w:hAnsi="宋体" w:cs="宋体"/>
          <w:color w:val="auto"/>
          <w:kern w:val="1"/>
          <w:szCs w:val="21"/>
        </w:rPr>
        <w:t>12.3.4 总价合同的计量</w:t>
      </w:r>
    </w:p>
    <w:p w14:paraId="0DE8CC9E">
      <w:pPr>
        <w:spacing w:line="360" w:lineRule="exact"/>
        <w:ind w:firstLine="420"/>
        <w:jc w:val="left"/>
        <w:rPr>
          <w:rFonts w:ascii="宋体" w:hAnsi="宋体" w:cs="宋体"/>
          <w:color w:val="auto"/>
          <w:kern w:val="1"/>
          <w:szCs w:val="21"/>
        </w:rPr>
      </w:pPr>
      <w:r>
        <w:rPr>
          <w:rFonts w:ascii="宋体" w:hAnsi="宋体" w:cs="宋体"/>
          <w:color w:val="auto"/>
          <w:kern w:val="1"/>
          <w:szCs w:val="21"/>
        </w:rPr>
        <w:t>关于总价合同计量的约定：</w:t>
      </w:r>
      <w:r>
        <w:rPr>
          <w:rFonts w:hint="eastAsia" w:ascii="宋体" w:hAnsi="宋体" w:cs="宋体"/>
          <w:color w:val="auto"/>
          <w:kern w:val="1"/>
          <w:szCs w:val="21"/>
          <w:u w:val="single"/>
        </w:rPr>
        <w:t>按完成分部分项和图纸内容计量</w:t>
      </w:r>
      <w:r>
        <w:rPr>
          <w:rFonts w:ascii="宋体" w:hAnsi="宋体" w:cs="宋体"/>
          <w:color w:val="auto"/>
          <w:kern w:val="1"/>
          <w:szCs w:val="21"/>
        </w:rPr>
        <w:t>。</w:t>
      </w:r>
    </w:p>
    <w:p w14:paraId="38E943BB">
      <w:pPr>
        <w:spacing w:line="360" w:lineRule="exact"/>
        <w:ind w:firstLine="420"/>
        <w:jc w:val="left"/>
        <w:rPr>
          <w:rFonts w:ascii="宋体" w:hAnsi="宋体" w:cs="宋体"/>
          <w:color w:val="auto"/>
          <w:kern w:val="1"/>
          <w:szCs w:val="21"/>
        </w:rPr>
      </w:pPr>
      <w:r>
        <w:rPr>
          <w:rFonts w:ascii="宋体" w:hAnsi="宋体" w:cs="宋体"/>
          <w:color w:val="auto"/>
          <w:kern w:val="1"/>
          <w:szCs w:val="21"/>
        </w:rPr>
        <w:t>12.3.5总价合同采用支付分解表计量支付的，是否适用第12.3.4 项〔总价合同的计量〕约定进行计量：</w:t>
      </w:r>
      <w:r>
        <w:rPr>
          <w:rFonts w:hint="eastAsia" w:ascii="宋体" w:hAnsi="宋体" w:cs="宋体"/>
          <w:color w:val="auto"/>
          <w:kern w:val="1"/>
          <w:szCs w:val="21"/>
          <w:u w:val="single"/>
        </w:rPr>
        <w:t>适用</w:t>
      </w:r>
      <w:r>
        <w:rPr>
          <w:rFonts w:ascii="宋体" w:hAnsi="宋体" w:cs="宋体"/>
          <w:color w:val="auto"/>
          <w:kern w:val="1"/>
          <w:szCs w:val="21"/>
        </w:rPr>
        <w:t>。</w:t>
      </w:r>
    </w:p>
    <w:p w14:paraId="73935223">
      <w:pPr>
        <w:pStyle w:val="5"/>
        <w:keepNext w:val="0"/>
        <w:spacing w:line="360" w:lineRule="exact"/>
        <w:rPr>
          <w:rFonts w:ascii="宋体" w:hAnsi="宋体" w:cs="宋体"/>
          <w:color w:val="auto"/>
          <w:sz w:val="21"/>
          <w:szCs w:val="21"/>
          <w:lang w:val="zh-CN"/>
        </w:rPr>
      </w:pPr>
      <w:bookmarkStart w:id="1152" w:name="_Toc406054793"/>
      <w:bookmarkEnd w:id="1152"/>
      <w:bookmarkStart w:id="1153" w:name="_Toc373478399"/>
      <w:bookmarkEnd w:id="1153"/>
      <w:bookmarkStart w:id="1154" w:name="_Toc373227752"/>
      <w:bookmarkEnd w:id="1154"/>
      <w:bookmarkStart w:id="1155" w:name="_Toc15782"/>
      <w:bookmarkStart w:id="1156" w:name="_Toc28291"/>
      <w:bookmarkStart w:id="1157" w:name="_Toc2039"/>
      <w:bookmarkStart w:id="1158" w:name="_Toc19964"/>
      <w:bookmarkStart w:id="1159" w:name="_Toc3113"/>
      <w:r>
        <w:rPr>
          <w:rFonts w:ascii="宋体" w:hAnsi="宋体" w:cs="宋体"/>
          <w:color w:val="auto"/>
          <w:sz w:val="21"/>
          <w:szCs w:val="21"/>
          <w:lang w:val="zh-CN"/>
        </w:rPr>
        <w:t>12.4 工程进度款支付</w:t>
      </w:r>
      <w:bookmarkEnd w:id="1155"/>
      <w:bookmarkEnd w:id="1156"/>
      <w:bookmarkEnd w:id="1157"/>
      <w:bookmarkEnd w:id="1158"/>
      <w:bookmarkEnd w:id="1159"/>
    </w:p>
    <w:p w14:paraId="7E9915BC">
      <w:pPr>
        <w:spacing w:line="360" w:lineRule="exact"/>
        <w:ind w:firstLine="420"/>
        <w:jc w:val="left"/>
        <w:rPr>
          <w:rFonts w:ascii="宋体" w:hAnsi="宋体" w:cs="宋体"/>
          <w:color w:val="auto"/>
          <w:kern w:val="1"/>
          <w:szCs w:val="21"/>
        </w:rPr>
      </w:pPr>
      <w:bookmarkStart w:id="1160" w:name="_Toc297216215"/>
      <w:bookmarkEnd w:id="1160"/>
      <w:bookmarkStart w:id="1161" w:name="_Toc303539163"/>
      <w:bookmarkEnd w:id="1161"/>
      <w:bookmarkStart w:id="1162" w:name="_Toc297048397"/>
      <w:bookmarkEnd w:id="1162"/>
      <w:bookmarkStart w:id="1163" w:name="_Toc292559416"/>
      <w:bookmarkEnd w:id="1163"/>
      <w:bookmarkStart w:id="1164" w:name="_Toc297123556"/>
      <w:bookmarkEnd w:id="1164"/>
      <w:bookmarkStart w:id="1165" w:name="_Toc296347210"/>
      <w:bookmarkEnd w:id="1165"/>
      <w:bookmarkStart w:id="1166" w:name="_Toc296891039"/>
      <w:bookmarkEnd w:id="1166"/>
      <w:bookmarkStart w:id="1167" w:name="_Toc296503211"/>
      <w:bookmarkEnd w:id="1167"/>
      <w:bookmarkStart w:id="1168" w:name="_Toc297120511"/>
      <w:bookmarkEnd w:id="1168"/>
      <w:bookmarkStart w:id="1169" w:name="_Toc296891251"/>
      <w:bookmarkEnd w:id="1169"/>
      <w:bookmarkStart w:id="1170" w:name="_Toc300935006"/>
      <w:bookmarkEnd w:id="1170"/>
      <w:bookmarkStart w:id="1171" w:name="_Toc296944550"/>
      <w:bookmarkEnd w:id="1171"/>
      <w:bookmarkStart w:id="1172" w:name="_Toc296346712"/>
      <w:bookmarkEnd w:id="1172"/>
      <w:bookmarkStart w:id="1173" w:name="_Toc292559921"/>
      <w:bookmarkEnd w:id="1173"/>
      <w:r>
        <w:rPr>
          <w:rFonts w:ascii="宋体" w:hAnsi="宋体" w:cs="宋体"/>
          <w:color w:val="auto"/>
          <w:kern w:val="1"/>
          <w:szCs w:val="21"/>
        </w:rPr>
        <w:t>12.4.1 付款周期</w:t>
      </w:r>
    </w:p>
    <w:p w14:paraId="0E7EEC9F">
      <w:pPr>
        <w:spacing w:line="360" w:lineRule="exact"/>
        <w:ind w:firstLine="420"/>
        <w:jc w:val="left"/>
        <w:rPr>
          <w:rFonts w:ascii="宋体" w:hAnsi="宋体" w:cs="宋体"/>
          <w:color w:val="auto"/>
          <w:kern w:val="1"/>
          <w:szCs w:val="21"/>
        </w:rPr>
      </w:pPr>
      <w:r>
        <w:rPr>
          <w:rFonts w:ascii="宋体" w:hAnsi="宋体" w:cs="宋体"/>
          <w:color w:val="auto"/>
          <w:kern w:val="1"/>
          <w:szCs w:val="21"/>
        </w:rPr>
        <w:t>关于付款周期的约定：</w:t>
      </w:r>
      <w:r>
        <w:rPr>
          <w:rFonts w:hint="eastAsia" w:ascii="宋体" w:hAnsi="宋体" w:cs="宋体"/>
          <w:bCs/>
          <w:szCs w:val="21"/>
        </w:rPr>
        <w:t>合同签订后，凭</w:t>
      </w:r>
      <w:r>
        <w:rPr>
          <w:rFonts w:hint="eastAsia" w:ascii="宋体" w:hAnsi="宋体" w:cs="宋体"/>
          <w:bCs/>
          <w:szCs w:val="21"/>
          <w:lang w:val="en-US" w:eastAsia="zh-CN"/>
        </w:rPr>
        <w:t>承包人</w:t>
      </w:r>
      <w:r>
        <w:rPr>
          <w:rFonts w:hint="eastAsia" w:ascii="宋体" w:hAnsi="宋体" w:cs="宋体"/>
          <w:bCs/>
          <w:szCs w:val="21"/>
        </w:rPr>
        <w:t>提供的等额正式发票，</w:t>
      </w:r>
      <w:r>
        <w:rPr>
          <w:rFonts w:hint="eastAsia" w:ascii="宋体" w:hAnsi="宋体" w:cs="宋体"/>
          <w:bCs/>
          <w:szCs w:val="21"/>
          <w:lang w:val="en-US" w:eastAsia="zh-CN"/>
        </w:rPr>
        <w:t>发包人</w:t>
      </w:r>
      <w:r>
        <w:rPr>
          <w:rFonts w:hint="eastAsia" w:ascii="宋体" w:hAnsi="宋体" w:cs="宋体"/>
          <w:bCs/>
          <w:szCs w:val="21"/>
        </w:rPr>
        <w:t>10个工作日之内支付10%预付款</w:t>
      </w:r>
      <w:r>
        <w:rPr>
          <w:rFonts w:hint="eastAsia" w:ascii="宋体" w:hAnsi="宋体" w:cs="宋体"/>
          <w:bCs/>
          <w:szCs w:val="21"/>
          <w:lang w:eastAsia="zh-CN"/>
        </w:rPr>
        <w:t>；</w:t>
      </w:r>
      <w:r>
        <w:rPr>
          <w:rFonts w:hint="eastAsia" w:ascii="宋体" w:hAnsi="宋体" w:cs="宋体"/>
          <w:bCs/>
          <w:szCs w:val="21"/>
        </w:rPr>
        <w:t>工程进度完成工程量的50%时，工程款支付的限额标准为已完成工作量的80%</w:t>
      </w:r>
      <w:r>
        <w:rPr>
          <w:rFonts w:hint="eastAsia" w:ascii="宋体" w:hAnsi="宋体" w:cs="宋体"/>
          <w:bCs/>
          <w:szCs w:val="21"/>
          <w:lang w:eastAsia="zh-CN"/>
        </w:rPr>
        <w:t>；</w:t>
      </w:r>
      <w:r>
        <w:rPr>
          <w:rFonts w:hint="eastAsia" w:ascii="宋体" w:hAnsi="宋体" w:cs="宋体"/>
          <w:bCs/>
          <w:szCs w:val="21"/>
        </w:rPr>
        <w:t>施工完成并经验收合格结算后支付到结算价款的97%，余3%</w:t>
      </w:r>
      <w:r>
        <w:rPr>
          <w:rFonts w:hint="eastAsia" w:ascii="宋体" w:hAnsi="宋体" w:cs="宋体"/>
          <w:bCs/>
          <w:szCs w:val="21"/>
          <w:lang w:val="en-US" w:eastAsia="zh-CN"/>
        </w:rPr>
        <w:t>用作</w:t>
      </w:r>
      <w:r>
        <w:rPr>
          <w:rFonts w:hint="eastAsia" w:hAnsi="宋体" w:cs="宋体"/>
          <w:u w:val="none"/>
        </w:rPr>
        <w:t>工程质量保证金</w:t>
      </w:r>
      <w:r>
        <w:rPr>
          <w:rFonts w:hint="eastAsia" w:hAnsi="宋体" w:cs="宋体"/>
          <w:u w:val="none"/>
          <w:lang w:eastAsia="zh-CN"/>
        </w:rPr>
        <w:t>。【工程质量保证金可以采用保函（银行保函、电子保函、保证保险保函、工程担保保函）方式，但保函必须为无条件保函，保函有效期不得低于工程缺陷责任期。承包人采用保函方式提交质量保证金的，工程进度款支付至工程结算总价的100%】</w:t>
      </w:r>
      <w:r>
        <w:rPr>
          <w:rFonts w:hint="eastAsia" w:hAnsi="宋体" w:cs="宋体"/>
          <w:u w:val="none"/>
        </w:rPr>
        <w:t>。</w:t>
      </w:r>
      <w:r>
        <w:rPr>
          <w:rFonts w:hint="eastAsia" w:ascii="宋体" w:hAnsi="宋体" w:cs="宋体"/>
          <w:bCs/>
          <w:szCs w:val="21"/>
        </w:rPr>
        <w:t>待缺陷责任期满后15日内退还。</w:t>
      </w:r>
      <w:r>
        <w:rPr>
          <w:rFonts w:hint="eastAsia"/>
          <w:color w:val="auto"/>
          <w:szCs w:val="21"/>
        </w:rPr>
        <w:t>发包人在每笔款项支付前承包人会</w:t>
      </w:r>
      <w:r>
        <w:rPr>
          <w:rFonts w:hint="eastAsia" w:ascii="宋体" w:hAnsi="宋体" w:cs="宋体"/>
          <w:color w:val="auto"/>
          <w:szCs w:val="21"/>
        </w:rPr>
        <w:t>向发包人提供相关完税资料和足额、合法发票，且发票开具单位及收款账户应与承包人一致，否则发包人将暂停支付，造成延期付款的后果由承包人承担，发包人不承担任何违约责任</w:t>
      </w:r>
      <w:r>
        <w:rPr>
          <w:rFonts w:hint="eastAsia" w:ascii="宋体" w:hAnsi="宋体" w:cs="宋体"/>
          <w:color w:val="auto"/>
          <w:kern w:val="0"/>
          <w:szCs w:val="21"/>
        </w:rPr>
        <w:t>。</w:t>
      </w:r>
    </w:p>
    <w:p w14:paraId="77F9CC54">
      <w:pPr>
        <w:spacing w:line="360" w:lineRule="exact"/>
        <w:ind w:firstLine="420"/>
        <w:jc w:val="left"/>
        <w:rPr>
          <w:rFonts w:ascii="宋体" w:hAnsi="宋体" w:cs="宋体"/>
          <w:color w:val="auto"/>
          <w:kern w:val="1"/>
          <w:szCs w:val="21"/>
        </w:rPr>
      </w:pPr>
      <w:r>
        <w:rPr>
          <w:rFonts w:ascii="宋体" w:hAnsi="宋体" w:cs="宋体"/>
          <w:color w:val="auto"/>
          <w:kern w:val="1"/>
          <w:szCs w:val="21"/>
        </w:rPr>
        <w:t>12.4.2 进度付款申请单的编制</w:t>
      </w:r>
    </w:p>
    <w:p w14:paraId="501C7AD1">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关于进度付款申请单编制的约定：</w:t>
      </w:r>
      <w:r>
        <w:rPr>
          <w:rFonts w:hint="eastAsia" w:ascii="宋体" w:hAnsi="宋体" w:cs="宋体"/>
          <w:color w:val="auto"/>
          <w:kern w:val="1"/>
          <w:szCs w:val="21"/>
          <w:u w:val="single"/>
        </w:rPr>
        <w:t>符合财政部门的规定，一式肆份</w:t>
      </w:r>
      <w:r>
        <w:rPr>
          <w:rFonts w:ascii="宋体" w:hAnsi="宋体" w:cs="宋体"/>
          <w:color w:val="auto"/>
          <w:kern w:val="1"/>
          <w:szCs w:val="21"/>
        </w:rPr>
        <w:t>。</w:t>
      </w:r>
    </w:p>
    <w:p w14:paraId="451111D0">
      <w:pPr>
        <w:spacing w:line="360" w:lineRule="exact"/>
        <w:ind w:firstLine="420"/>
        <w:jc w:val="left"/>
        <w:rPr>
          <w:rFonts w:ascii="宋体" w:hAnsi="宋体" w:cs="宋体"/>
          <w:color w:val="auto"/>
          <w:kern w:val="1"/>
          <w:szCs w:val="21"/>
        </w:rPr>
      </w:pPr>
      <w:r>
        <w:rPr>
          <w:rFonts w:ascii="宋体" w:hAnsi="宋体" w:cs="宋体"/>
          <w:color w:val="auto"/>
          <w:kern w:val="1"/>
          <w:szCs w:val="21"/>
        </w:rPr>
        <w:t>12.4.3 进度付款申请单的提交</w:t>
      </w:r>
    </w:p>
    <w:p w14:paraId="50B32A9F">
      <w:pPr>
        <w:spacing w:line="360" w:lineRule="exact"/>
        <w:ind w:firstLine="420"/>
        <w:jc w:val="left"/>
        <w:rPr>
          <w:rFonts w:ascii="宋体" w:hAnsi="宋体" w:cs="宋体"/>
          <w:b/>
          <w:color w:val="auto"/>
          <w:kern w:val="1"/>
          <w:szCs w:val="21"/>
          <w:u w:val="single"/>
        </w:rPr>
      </w:pPr>
      <w:r>
        <w:rPr>
          <w:rFonts w:ascii="宋体" w:hAnsi="宋体" w:cs="宋体"/>
          <w:color w:val="auto"/>
          <w:kern w:val="1"/>
          <w:szCs w:val="21"/>
        </w:rPr>
        <w:t>（1）单价合同进度付款申请单提交的约定：</w:t>
      </w:r>
      <w:r>
        <w:rPr>
          <w:rFonts w:hint="eastAsia" w:ascii="宋体" w:hAnsi="宋体" w:cs="宋体"/>
          <w:color w:val="auto"/>
          <w:kern w:val="1"/>
          <w:szCs w:val="21"/>
          <w:u w:val="single"/>
        </w:rPr>
        <w:t>当月10日提交上个月的</w:t>
      </w:r>
      <w:r>
        <w:rPr>
          <w:rFonts w:ascii="宋体" w:hAnsi="宋体" w:cs="宋体"/>
          <w:color w:val="auto"/>
          <w:kern w:val="1"/>
          <w:szCs w:val="21"/>
        </w:rPr>
        <w:t>。</w:t>
      </w:r>
    </w:p>
    <w:p w14:paraId="50ACE37C">
      <w:pPr>
        <w:spacing w:line="360" w:lineRule="exact"/>
        <w:ind w:firstLine="420"/>
        <w:jc w:val="left"/>
        <w:rPr>
          <w:rFonts w:ascii="宋体" w:hAnsi="宋体" w:cs="宋体"/>
          <w:color w:val="auto"/>
          <w:kern w:val="1"/>
          <w:szCs w:val="21"/>
        </w:rPr>
      </w:pPr>
      <w:r>
        <w:rPr>
          <w:rFonts w:ascii="宋体" w:hAnsi="宋体" w:cs="宋体"/>
          <w:color w:val="auto"/>
          <w:kern w:val="1"/>
          <w:szCs w:val="21"/>
        </w:rPr>
        <w:t>（2）总价合同进度付款申请单提交的约定：</w:t>
      </w:r>
      <w:r>
        <w:rPr>
          <w:rFonts w:hint="eastAsia" w:ascii="宋体" w:hAnsi="宋体" w:cs="宋体"/>
          <w:color w:val="auto"/>
          <w:kern w:val="1"/>
          <w:szCs w:val="21"/>
          <w:u w:val="single"/>
        </w:rPr>
        <w:t>本部位（段）在下部位（段）施工时提交</w:t>
      </w:r>
      <w:r>
        <w:rPr>
          <w:rFonts w:ascii="宋体" w:hAnsi="宋体" w:cs="宋体"/>
          <w:color w:val="auto"/>
          <w:kern w:val="1"/>
          <w:szCs w:val="21"/>
        </w:rPr>
        <w:t>。</w:t>
      </w:r>
    </w:p>
    <w:p w14:paraId="14CC7373">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（3）其他价格形式合同进度付款申请单提交的约定：</w:t>
      </w:r>
      <w:r>
        <w:rPr>
          <w:rFonts w:hint="eastAsia" w:ascii="宋体" w:hAnsi="宋体" w:cs="宋体"/>
          <w:color w:val="auto"/>
          <w:kern w:val="1"/>
          <w:szCs w:val="21"/>
          <w:u w:val="single"/>
        </w:rPr>
        <w:t>待定</w:t>
      </w:r>
      <w:r>
        <w:rPr>
          <w:rFonts w:ascii="宋体" w:hAnsi="宋体" w:cs="宋体"/>
          <w:color w:val="auto"/>
          <w:kern w:val="1"/>
          <w:szCs w:val="21"/>
        </w:rPr>
        <w:t>。</w:t>
      </w:r>
    </w:p>
    <w:p w14:paraId="1A02AFBA">
      <w:pPr>
        <w:spacing w:line="360" w:lineRule="exact"/>
        <w:ind w:firstLine="420"/>
        <w:jc w:val="left"/>
        <w:rPr>
          <w:rFonts w:ascii="宋体" w:hAnsi="宋体" w:cs="宋体"/>
          <w:color w:val="auto"/>
          <w:kern w:val="1"/>
          <w:szCs w:val="21"/>
        </w:rPr>
      </w:pPr>
      <w:r>
        <w:rPr>
          <w:rFonts w:ascii="宋体" w:hAnsi="宋体" w:cs="宋体"/>
          <w:color w:val="auto"/>
          <w:kern w:val="1"/>
          <w:szCs w:val="21"/>
        </w:rPr>
        <w:t>12.4.4 进度款审核和支付</w:t>
      </w:r>
    </w:p>
    <w:p w14:paraId="692FBDDB">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（1）监理人审查并报送发包人的期限：</w:t>
      </w:r>
      <w:r>
        <w:rPr>
          <w:rFonts w:hint="eastAsia" w:ascii="宋体" w:hAnsi="宋体" w:cs="宋体"/>
          <w:color w:val="auto"/>
          <w:kern w:val="1"/>
          <w:szCs w:val="21"/>
          <w:u w:val="single"/>
        </w:rPr>
        <w:t>收到申请单后7天内</w:t>
      </w:r>
      <w:r>
        <w:rPr>
          <w:rFonts w:ascii="宋体" w:hAnsi="宋体" w:cs="宋体"/>
          <w:color w:val="auto"/>
          <w:kern w:val="1"/>
          <w:szCs w:val="21"/>
        </w:rPr>
        <w:t>。</w:t>
      </w:r>
    </w:p>
    <w:p w14:paraId="2525D087">
      <w:pPr>
        <w:spacing w:line="360" w:lineRule="exact"/>
        <w:ind w:firstLine="420"/>
        <w:jc w:val="left"/>
        <w:rPr>
          <w:rFonts w:ascii="宋体" w:hAnsi="宋体" w:cs="宋体"/>
          <w:color w:val="auto"/>
          <w:kern w:val="1"/>
          <w:szCs w:val="21"/>
        </w:rPr>
      </w:pPr>
      <w:r>
        <w:rPr>
          <w:rFonts w:ascii="宋体" w:hAnsi="宋体" w:cs="宋体"/>
          <w:color w:val="auto"/>
          <w:kern w:val="1"/>
          <w:szCs w:val="21"/>
        </w:rPr>
        <w:t>（2）发包人支付进度款的期限：</w:t>
      </w:r>
      <w:r>
        <w:rPr>
          <w:rFonts w:hint="eastAsia" w:ascii="宋体" w:hAnsi="宋体" w:cs="宋体"/>
          <w:color w:val="auto"/>
          <w:kern w:val="1"/>
          <w:szCs w:val="21"/>
          <w:u w:val="single"/>
        </w:rPr>
        <w:t>收到监理人的审核单后3天内审批完毕呈政府职能部门审定。收到政府部门的审定意见书后5天内支付</w:t>
      </w:r>
      <w:r>
        <w:rPr>
          <w:rFonts w:ascii="宋体" w:hAnsi="宋体" w:cs="宋体"/>
          <w:color w:val="auto"/>
          <w:kern w:val="1"/>
          <w:szCs w:val="21"/>
        </w:rPr>
        <w:t>。</w:t>
      </w:r>
    </w:p>
    <w:p w14:paraId="576F766C">
      <w:pPr>
        <w:spacing w:line="360" w:lineRule="exact"/>
        <w:ind w:firstLine="525"/>
        <w:jc w:val="left"/>
        <w:rPr>
          <w:rFonts w:ascii="宋体" w:hAnsi="宋体" w:cs="宋体"/>
          <w:color w:val="auto"/>
          <w:kern w:val="1"/>
          <w:szCs w:val="21"/>
        </w:rPr>
      </w:pPr>
      <w:r>
        <w:rPr>
          <w:rFonts w:ascii="宋体" w:hAnsi="宋体" w:cs="宋体"/>
          <w:color w:val="auto"/>
          <w:kern w:val="1"/>
          <w:szCs w:val="21"/>
        </w:rPr>
        <w:t>发包人逾期支付进度款的违约金的计算方式：</w:t>
      </w:r>
      <w:r>
        <w:rPr>
          <w:rFonts w:hint="eastAsia" w:ascii="宋体" w:hAnsi="宋体" w:cs="宋体"/>
          <w:color w:val="auto"/>
          <w:kern w:val="1"/>
          <w:szCs w:val="21"/>
          <w:u w:val="single"/>
        </w:rPr>
        <w:t>每逾期1天支付万分之一的违约金（应得工程款×1‱），上限不超过所欠应得工程款的5%</w:t>
      </w:r>
      <w:r>
        <w:rPr>
          <w:rFonts w:ascii="宋体" w:hAnsi="宋体" w:cs="宋体"/>
          <w:color w:val="auto"/>
          <w:kern w:val="1"/>
          <w:szCs w:val="21"/>
        </w:rPr>
        <w:t>。</w:t>
      </w:r>
    </w:p>
    <w:p w14:paraId="5D188431">
      <w:pPr>
        <w:spacing w:line="360" w:lineRule="exact"/>
        <w:ind w:firstLine="525"/>
        <w:jc w:val="left"/>
        <w:rPr>
          <w:rFonts w:ascii="宋体" w:hAnsi="宋体" w:cs="宋体"/>
          <w:color w:val="auto"/>
          <w:kern w:val="1"/>
          <w:szCs w:val="21"/>
        </w:rPr>
      </w:pPr>
      <w:r>
        <w:rPr>
          <w:rFonts w:ascii="宋体" w:hAnsi="宋体" w:cs="宋体"/>
          <w:color w:val="auto"/>
          <w:kern w:val="1"/>
          <w:szCs w:val="21"/>
        </w:rPr>
        <w:t>进度款支付方式：</w:t>
      </w:r>
      <w:r>
        <w:rPr>
          <w:rFonts w:ascii="宋体" w:hAnsi="宋体" w:cs="宋体"/>
          <w:color w:val="auto"/>
          <w:kern w:val="1"/>
          <w:szCs w:val="21"/>
          <w:u w:val="single"/>
        </w:rPr>
        <w:t>银行转账</w:t>
      </w:r>
      <w:r>
        <w:rPr>
          <w:rFonts w:ascii="宋体" w:hAnsi="宋体" w:cs="宋体"/>
          <w:color w:val="auto"/>
          <w:kern w:val="1"/>
          <w:szCs w:val="21"/>
        </w:rPr>
        <w:t>。</w:t>
      </w:r>
    </w:p>
    <w:p w14:paraId="17A8817C">
      <w:pPr>
        <w:spacing w:line="360" w:lineRule="exact"/>
        <w:ind w:firstLine="525" w:firstLineChars="250"/>
        <w:jc w:val="left"/>
        <w:rPr>
          <w:rFonts w:hint="eastAsia" w:hAnsi="宋体"/>
          <w:color w:val="auto"/>
          <w:szCs w:val="21"/>
        </w:rPr>
      </w:pPr>
      <w:r>
        <w:rPr>
          <w:rFonts w:hint="eastAsia" w:hAnsi="宋体"/>
          <w:color w:val="auto"/>
          <w:szCs w:val="21"/>
        </w:rPr>
        <w:t>（3） 农民工工资支付</w:t>
      </w:r>
    </w:p>
    <w:p w14:paraId="3AFAC4E0">
      <w:pPr>
        <w:autoSpaceDE w:val="0"/>
        <w:autoSpaceDN w:val="0"/>
        <w:adjustRightInd w:val="0"/>
        <w:spacing w:line="360" w:lineRule="exact"/>
        <w:ind w:firstLine="420" w:firstLineChars="200"/>
        <w:jc w:val="left"/>
        <w:rPr>
          <w:rFonts w:hint="eastAsia" w:hAnsi="宋体"/>
          <w:color w:val="auto"/>
          <w:szCs w:val="21"/>
        </w:rPr>
      </w:pPr>
      <w:r>
        <w:rPr>
          <w:rFonts w:hint="eastAsia" w:hAnsi="宋体" w:cs="宋体"/>
          <w:color w:val="auto"/>
          <w:kern w:val="0"/>
          <w:szCs w:val="21"/>
        </w:rPr>
        <w:t>1）农民工工资应与其它工程进度款分账管理。承包人向发包人申请工程进度款时必须把工人工资部分单独列明，如果未单独列明，监理单位不得签支付证书等支付工程款的手续，发包人单位有权拒绝审批和支付工程款。发包人必须把工程款分账出来的农民工工资转入承包人工人工资支付专用账户专户，转入专户环节必须有银行流水凭证。</w:t>
      </w:r>
    </w:p>
    <w:p w14:paraId="5527F154">
      <w:pPr>
        <w:spacing w:line="360" w:lineRule="exact"/>
        <w:ind w:firstLine="525" w:firstLineChars="250"/>
        <w:jc w:val="left"/>
        <w:rPr>
          <w:rFonts w:hint="eastAsia" w:hAnsi="宋体"/>
          <w:color w:val="auto"/>
          <w:szCs w:val="21"/>
        </w:rPr>
      </w:pPr>
      <w:r>
        <w:rPr>
          <w:rFonts w:hint="eastAsia" w:hAnsi="宋体"/>
          <w:color w:val="auto"/>
          <w:szCs w:val="21"/>
        </w:rPr>
        <w:t>2）发包人依据工程进度，按与承包人约定的农民工支付比例，将工程人工费分账支付到承包人的农民工工资专户，工程完工时发包人向承包人农民工工资专户支付的完工工程量的人工费支付比例不低于20%，其余工程进度款项由发包人支付到承包人的单位基本户。</w:t>
      </w:r>
    </w:p>
    <w:p w14:paraId="2CA777F2">
      <w:pPr>
        <w:spacing w:line="360" w:lineRule="exact"/>
        <w:ind w:firstLine="525" w:firstLineChars="250"/>
        <w:jc w:val="left"/>
        <w:rPr>
          <w:rFonts w:hint="eastAsia" w:hAnsi="宋体"/>
          <w:color w:val="auto"/>
          <w:szCs w:val="21"/>
        </w:rPr>
      </w:pPr>
      <w:r>
        <w:rPr>
          <w:rFonts w:hint="eastAsia" w:hAnsi="宋体"/>
          <w:color w:val="auto"/>
          <w:szCs w:val="21"/>
        </w:rPr>
        <w:t>3）凡未向付款单位提供农民工工资专户的，或者请款单位在申请工程进度款时未将人工费单列的，付款单位有权拒绝支付工程进度款。</w:t>
      </w:r>
    </w:p>
    <w:p w14:paraId="545174CD">
      <w:pPr>
        <w:autoSpaceDE w:val="0"/>
        <w:autoSpaceDN w:val="0"/>
        <w:adjustRightInd w:val="0"/>
        <w:spacing w:line="360" w:lineRule="exact"/>
        <w:ind w:firstLine="420" w:firstLineChars="200"/>
        <w:jc w:val="left"/>
        <w:rPr>
          <w:rFonts w:hint="eastAsia" w:hAnsi="宋体" w:cs="宋体"/>
          <w:color w:val="auto"/>
          <w:kern w:val="0"/>
          <w:szCs w:val="21"/>
        </w:rPr>
      </w:pPr>
      <w:r>
        <w:rPr>
          <w:rFonts w:hint="eastAsia" w:hAnsi="宋体" w:cs="宋体"/>
          <w:color w:val="auto"/>
          <w:kern w:val="0"/>
          <w:szCs w:val="21"/>
        </w:rPr>
        <w:t>4）农民工工资使用要求：专款专用，除发放工人工资外，不得用于其他用途。</w:t>
      </w:r>
    </w:p>
    <w:p w14:paraId="355840EE">
      <w:pPr>
        <w:autoSpaceDE w:val="0"/>
        <w:autoSpaceDN w:val="0"/>
        <w:adjustRightInd w:val="0"/>
        <w:spacing w:line="360" w:lineRule="exact"/>
        <w:ind w:firstLine="420" w:firstLineChars="200"/>
        <w:jc w:val="left"/>
        <w:rPr>
          <w:color w:val="auto"/>
        </w:rPr>
      </w:pPr>
      <w:r>
        <w:rPr>
          <w:rFonts w:hint="eastAsia" w:hAnsi="宋体" w:cs="宋体"/>
          <w:color w:val="auto"/>
          <w:kern w:val="0"/>
          <w:szCs w:val="21"/>
        </w:rPr>
        <w:t>5）承包人将农民工工资</w:t>
      </w:r>
      <w:r>
        <w:rPr>
          <w:rFonts w:hAnsi="宋体" w:cs="宋体"/>
          <w:color w:val="auto"/>
          <w:kern w:val="0"/>
          <w:szCs w:val="21"/>
        </w:rPr>
        <w:t>支付</w:t>
      </w:r>
      <w:r>
        <w:rPr>
          <w:rFonts w:hint="eastAsia" w:hAnsi="宋体" w:cs="宋体"/>
          <w:color w:val="auto"/>
          <w:kern w:val="0"/>
          <w:szCs w:val="21"/>
        </w:rPr>
        <w:t>情况定期报告发包人和监理单位，并提供相应的材料接受建设行政主管部门和劳动保障行政主管部门对此事项监管。</w:t>
      </w:r>
    </w:p>
    <w:p w14:paraId="7024C229">
      <w:pPr>
        <w:spacing w:line="360" w:lineRule="exact"/>
        <w:ind w:firstLine="525"/>
        <w:jc w:val="left"/>
        <w:rPr>
          <w:rFonts w:ascii="宋体" w:hAnsi="宋体" w:cs="宋体"/>
          <w:color w:val="auto"/>
          <w:kern w:val="1"/>
          <w:szCs w:val="21"/>
        </w:rPr>
      </w:pPr>
      <w:r>
        <w:rPr>
          <w:rFonts w:ascii="宋体" w:hAnsi="宋体" w:cs="宋体"/>
          <w:color w:val="auto"/>
          <w:kern w:val="1"/>
          <w:szCs w:val="21"/>
        </w:rPr>
        <w:t>12.4.6 支付分解表的编制</w:t>
      </w:r>
    </w:p>
    <w:p w14:paraId="73247E59">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2、总价合同支付分解表的编制与审批：</w:t>
      </w:r>
      <w:r>
        <w:rPr>
          <w:rFonts w:hint="eastAsia" w:ascii="宋体" w:hAnsi="宋体" w:cs="宋体"/>
          <w:color w:val="auto"/>
          <w:kern w:val="1"/>
          <w:szCs w:val="21"/>
          <w:u w:val="single"/>
        </w:rPr>
        <w:t>待定</w:t>
      </w:r>
      <w:r>
        <w:rPr>
          <w:rFonts w:ascii="宋体" w:hAnsi="宋体" w:cs="宋体"/>
          <w:color w:val="auto"/>
          <w:kern w:val="1"/>
          <w:szCs w:val="21"/>
        </w:rPr>
        <w:t>。</w:t>
      </w:r>
    </w:p>
    <w:p w14:paraId="0F6EFEED">
      <w:pPr>
        <w:pStyle w:val="5"/>
        <w:keepNext w:val="0"/>
        <w:spacing w:line="360" w:lineRule="exact"/>
        <w:rPr>
          <w:rFonts w:ascii="宋体" w:hAnsi="宋体" w:cs="宋体"/>
          <w:color w:val="auto"/>
          <w:sz w:val="21"/>
          <w:szCs w:val="21"/>
          <w:lang w:val="zh-CN"/>
        </w:rPr>
      </w:pPr>
      <w:bookmarkStart w:id="1174" w:name="_Toc373227753"/>
      <w:bookmarkEnd w:id="1174"/>
      <w:bookmarkStart w:id="1175" w:name="_Toc373478400"/>
      <w:bookmarkEnd w:id="1175"/>
      <w:bookmarkStart w:id="1176" w:name="_Toc406054794"/>
      <w:bookmarkEnd w:id="1176"/>
      <w:bookmarkStart w:id="1177" w:name="_Toc14341"/>
      <w:bookmarkStart w:id="1178" w:name="_Toc6573"/>
      <w:bookmarkStart w:id="1179" w:name="_Toc12488"/>
      <w:bookmarkStart w:id="1180" w:name="_Toc20295"/>
      <w:bookmarkStart w:id="1181" w:name="_Toc8829"/>
      <w:r>
        <w:rPr>
          <w:rFonts w:ascii="宋体" w:hAnsi="宋体" w:cs="宋体"/>
          <w:color w:val="auto"/>
          <w:sz w:val="21"/>
          <w:szCs w:val="21"/>
          <w:lang w:val="zh-CN"/>
        </w:rPr>
        <w:t>13. 验收和工程试车</w:t>
      </w:r>
      <w:bookmarkEnd w:id="1177"/>
      <w:bookmarkEnd w:id="1178"/>
      <w:bookmarkEnd w:id="1179"/>
      <w:bookmarkEnd w:id="1180"/>
      <w:bookmarkEnd w:id="1181"/>
    </w:p>
    <w:p w14:paraId="5D3E3758">
      <w:pPr>
        <w:pStyle w:val="5"/>
        <w:keepNext w:val="0"/>
        <w:spacing w:line="360" w:lineRule="exact"/>
        <w:rPr>
          <w:rFonts w:ascii="宋体" w:hAnsi="宋体" w:cs="宋体"/>
          <w:color w:val="auto"/>
          <w:sz w:val="21"/>
          <w:szCs w:val="21"/>
          <w:lang w:val="zh-CN"/>
        </w:rPr>
      </w:pPr>
      <w:bookmarkStart w:id="1182" w:name="_Toc406054795"/>
      <w:bookmarkEnd w:id="1182"/>
      <w:bookmarkStart w:id="1183" w:name="_Toc373227754"/>
      <w:bookmarkEnd w:id="1183"/>
      <w:bookmarkStart w:id="1184" w:name="_Toc373478401"/>
      <w:bookmarkEnd w:id="1184"/>
      <w:bookmarkStart w:id="1185" w:name="_Toc28007"/>
      <w:bookmarkStart w:id="1186" w:name="_Toc20757"/>
      <w:bookmarkStart w:id="1187" w:name="_Toc9810"/>
      <w:bookmarkStart w:id="1188" w:name="_Toc22830"/>
      <w:bookmarkStart w:id="1189" w:name="_Toc28817"/>
      <w:r>
        <w:rPr>
          <w:rFonts w:ascii="宋体" w:hAnsi="宋体" w:cs="宋体"/>
          <w:color w:val="auto"/>
          <w:sz w:val="21"/>
          <w:szCs w:val="21"/>
          <w:lang w:val="zh-CN"/>
        </w:rPr>
        <w:t>13.1 分部分项工程验收</w:t>
      </w:r>
      <w:bookmarkEnd w:id="1185"/>
      <w:bookmarkEnd w:id="1186"/>
      <w:bookmarkEnd w:id="1187"/>
      <w:bookmarkEnd w:id="1188"/>
      <w:bookmarkEnd w:id="1189"/>
    </w:p>
    <w:p w14:paraId="774FB444">
      <w:pPr>
        <w:spacing w:line="360" w:lineRule="exact"/>
        <w:ind w:firstLine="420"/>
        <w:jc w:val="left"/>
        <w:rPr>
          <w:rFonts w:ascii="宋体" w:hAnsi="宋体" w:cs="宋体"/>
          <w:color w:val="auto"/>
          <w:kern w:val="1"/>
          <w:szCs w:val="21"/>
        </w:rPr>
      </w:pPr>
      <w:r>
        <w:rPr>
          <w:rFonts w:ascii="宋体" w:hAnsi="宋体" w:cs="宋体"/>
          <w:color w:val="auto"/>
          <w:kern w:val="1"/>
          <w:szCs w:val="21"/>
        </w:rPr>
        <w:t>13.1.2监理人不能按时进行验收时，应提前</w:t>
      </w:r>
      <w:r>
        <w:rPr>
          <w:rFonts w:hint="eastAsia" w:ascii="宋体" w:hAnsi="宋体" w:cs="宋体"/>
          <w:color w:val="auto"/>
          <w:kern w:val="1"/>
          <w:szCs w:val="21"/>
          <w:u w:val="single"/>
        </w:rPr>
        <w:t>48</w:t>
      </w:r>
      <w:r>
        <w:rPr>
          <w:rFonts w:ascii="宋体" w:hAnsi="宋体" w:cs="宋体"/>
          <w:color w:val="auto"/>
          <w:kern w:val="1"/>
          <w:szCs w:val="21"/>
        </w:rPr>
        <w:t>小时提交书面延期要求。</w:t>
      </w:r>
    </w:p>
    <w:p w14:paraId="45F3C476">
      <w:pPr>
        <w:spacing w:line="360" w:lineRule="exact"/>
        <w:ind w:firstLine="420"/>
        <w:jc w:val="left"/>
        <w:rPr>
          <w:rFonts w:ascii="宋体" w:hAnsi="宋体" w:cs="宋体"/>
          <w:b/>
          <w:color w:val="auto"/>
          <w:kern w:val="1"/>
          <w:szCs w:val="21"/>
        </w:rPr>
      </w:pPr>
      <w:r>
        <w:rPr>
          <w:rFonts w:ascii="宋体" w:hAnsi="宋体" w:cs="宋体"/>
          <w:color w:val="auto"/>
          <w:kern w:val="1"/>
          <w:szCs w:val="21"/>
        </w:rPr>
        <w:t>关于延期最长不得超过：</w:t>
      </w:r>
      <w:r>
        <w:rPr>
          <w:rFonts w:hint="eastAsia" w:ascii="宋体" w:hAnsi="宋体" w:cs="宋体"/>
          <w:color w:val="auto"/>
          <w:kern w:val="1"/>
          <w:szCs w:val="21"/>
          <w:u w:val="single"/>
        </w:rPr>
        <w:t>48</w:t>
      </w:r>
      <w:r>
        <w:rPr>
          <w:rFonts w:ascii="宋体" w:hAnsi="宋体" w:cs="宋体"/>
          <w:color w:val="auto"/>
          <w:kern w:val="1"/>
          <w:szCs w:val="21"/>
        </w:rPr>
        <w:t>小时。</w:t>
      </w:r>
    </w:p>
    <w:p w14:paraId="654BDD2B">
      <w:pPr>
        <w:pStyle w:val="5"/>
        <w:keepNext w:val="0"/>
        <w:spacing w:line="360" w:lineRule="exact"/>
        <w:rPr>
          <w:rFonts w:ascii="宋体" w:hAnsi="宋体" w:cs="宋体"/>
          <w:color w:val="auto"/>
          <w:sz w:val="21"/>
          <w:szCs w:val="21"/>
          <w:lang w:val="zh-CN"/>
        </w:rPr>
      </w:pPr>
      <w:bookmarkStart w:id="1190" w:name="_Toc406054796"/>
      <w:bookmarkEnd w:id="1190"/>
      <w:bookmarkStart w:id="1191" w:name="_Toc373478402"/>
      <w:bookmarkEnd w:id="1191"/>
      <w:bookmarkStart w:id="1192" w:name="_Toc267251473"/>
      <w:bookmarkEnd w:id="1192"/>
      <w:bookmarkStart w:id="1193" w:name="_Toc267251474"/>
      <w:bookmarkEnd w:id="1193"/>
      <w:bookmarkStart w:id="1194" w:name="_Toc267251476"/>
      <w:bookmarkEnd w:id="1194"/>
      <w:bookmarkStart w:id="1195" w:name="_Toc267251472"/>
      <w:bookmarkEnd w:id="1195"/>
      <w:bookmarkStart w:id="1196" w:name="_Toc373227755"/>
      <w:bookmarkEnd w:id="1196"/>
      <w:bookmarkStart w:id="1197" w:name="_Toc267251471"/>
      <w:bookmarkEnd w:id="1197"/>
      <w:bookmarkStart w:id="1198" w:name="_Toc267251475"/>
      <w:bookmarkEnd w:id="1198"/>
      <w:bookmarkStart w:id="1199" w:name="_Toc267251470"/>
      <w:bookmarkEnd w:id="1199"/>
      <w:bookmarkStart w:id="1200" w:name="_Toc28774"/>
      <w:bookmarkStart w:id="1201" w:name="_Toc10184"/>
      <w:bookmarkStart w:id="1202" w:name="_Toc8260"/>
      <w:bookmarkStart w:id="1203" w:name="_Toc30479"/>
      <w:bookmarkStart w:id="1204" w:name="_Toc28552"/>
      <w:r>
        <w:rPr>
          <w:rFonts w:ascii="宋体" w:hAnsi="宋体" w:cs="宋体"/>
          <w:color w:val="auto"/>
          <w:sz w:val="21"/>
          <w:szCs w:val="21"/>
          <w:lang w:val="zh-CN"/>
        </w:rPr>
        <w:t>13.2 竣工验收</w:t>
      </w:r>
      <w:bookmarkEnd w:id="1200"/>
      <w:bookmarkEnd w:id="1201"/>
      <w:bookmarkEnd w:id="1202"/>
      <w:bookmarkEnd w:id="1203"/>
      <w:bookmarkEnd w:id="1204"/>
    </w:p>
    <w:p w14:paraId="71864331">
      <w:pPr>
        <w:spacing w:line="360" w:lineRule="exact"/>
        <w:ind w:firstLine="420"/>
        <w:jc w:val="left"/>
        <w:rPr>
          <w:rFonts w:ascii="宋体" w:hAnsi="宋体" w:cs="宋体"/>
          <w:color w:val="auto"/>
          <w:kern w:val="1"/>
          <w:szCs w:val="21"/>
        </w:rPr>
      </w:pPr>
      <w:bookmarkStart w:id="1205" w:name="_Toc280868708"/>
      <w:bookmarkEnd w:id="1205"/>
      <w:bookmarkStart w:id="1206" w:name="_Toc280868705"/>
      <w:bookmarkEnd w:id="1206"/>
      <w:bookmarkStart w:id="1207" w:name="_Toc280868706"/>
      <w:bookmarkEnd w:id="1207"/>
      <w:bookmarkStart w:id="1208" w:name="_Toc280868709"/>
      <w:bookmarkEnd w:id="1208"/>
      <w:bookmarkStart w:id="1209" w:name="_Toc280868707"/>
      <w:bookmarkEnd w:id="1209"/>
      <w:r>
        <w:rPr>
          <w:rFonts w:ascii="宋体" w:hAnsi="宋体" w:cs="宋体"/>
          <w:color w:val="auto"/>
          <w:kern w:val="1"/>
          <w:szCs w:val="21"/>
        </w:rPr>
        <w:t>13.2.1竣工验收条件</w:t>
      </w:r>
    </w:p>
    <w:p w14:paraId="6D97DC2A">
      <w:pPr>
        <w:spacing w:line="360" w:lineRule="exact"/>
        <w:ind w:firstLine="420"/>
        <w:rPr>
          <w:rFonts w:ascii="宋体" w:hAnsi="宋体" w:cs="宋体"/>
          <w:color w:val="auto"/>
          <w:kern w:val="1"/>
          <w:szCs w:val="21"/>
        </w:rPr>
      </w:pPr>
      <w:r>
        <w:rPr>
          <w:rFonts w:ascii="宋体" w:hAnsi="宋体" w:cs="宋体"/>
          <w:color w:val="auto"/>
          <w:kern w:val="1"/>
          <w:szCs w:val="21"/>
        </w:rPr>
        <w:t>(3) 承包人负责整理和提交的竣工验收资料应当符合工程所在地建设行政主管部门和(或)城市建设档案管理机构有关施工资料的要求，具体内容包括：</w:t>
      </w:r>
      <w:r>
        <w:rPr>
          <w:rFonts w:hint="eastAsia" w:ascii="宋体" w:hAnsi="宋体" w:cs="宋体"/>
          <w:color w:val="auto"/>
          <w:kern w:val="1"/>
          <w:szCs w:val="21"/>
          <w:u w:val="single"/>
        </w:rPr>
        <w:t xml:space="preserve">   按规定要求执行  </w:t>
      </w:r>
      <w:r>
        <w:rPr>
          <w:rFonts w:ascii="宋体" w:hAnsi="宋体" w:cs="宋体"/>
          <w:color w:val="auto"/>
          <w:kern w:val="1"/>
          <w:szCs w:val="21"/>
        </w:rPr>
        <w:t>。</w:t>
      </w:r>
    </w:p>
    <w:p w14:paraId="4EF079CA">
      <w:pPr>
        <w:spacing w:line="360" w:lineRule="exact"/>
        <w:ind w:firstLine="420"/>
        <w:rPr>
          <w:rFonts w:ascii="宋体" w:hAnsi="宋体" w:cs="宋体"/>
          <w:color w:val="auto"/>
          <w:kern w:val="1"/>
          <w:szCs w:val="21"/>
        </w:rPr>
      </w:pPr>
      <w:r>
        <w:rPr>
          <w:rFonts w:ascii="宋体" w:hAnsi="宋体" w:cs="宋体"/>
          <w:color w:val="auto"/>
          <w:kern w:val="1"/>
          <w:szCs w:val="21"/>
        </w:rPr>
        <w:t>竣工验收资料的份数：</w:t>
      </w:r>
      <w:r>
        <w:rPr>
          <w:rFonts w:hint="eastAsia" w:ascii="宋体" w:hAnsi="宋体" w:cs="宋体"/>
          <w:color w:val="auto"/>
          <w:kern w:val="1"/>
          <w:szCs w:val="21"/>
          <w:u w:val="single"/>
        </w:rPr>
        <w:t>肆份</w:t>
      </w:r>
      <w:r>
        <w:rPr>
          <w:rFonts w:ascii="宋体" w:hAnsi="宋体" w:cs="宋体"/>
          <w:color w:val="auto"/>
          <w:kern w:val="1"/>
          <w:szCs w:val="21"/>
        </w:rPr>
        <w:t>。</w:t>
      </w:r>
    </w:p>
    <w:p w14:paraId="508D6762">
      <w:pPr>
        <w:spacing w:line="360" w:lineRule="exact"/>
        <w:ind w:firstLine="420"/>
        <w:jc w:val="left"/>
        <w:rPr>
          <w:rFonts w:ascii="宋体" w:hAnsi="宋体" w:cs="宋体"/>
          <w:color w:val="auto"/>
          <w:kern w:val="1"/>
          <w:szCs w:val="21"/>
        </w:rPr>
      </w:pPr>
      <w:r>
        <w:rPr>
          <w:rFonts w:ascii="宋体" w:hAnsi="宋体" w:cs="宋体"/>
          <w:bCs/>
          <w:color w:val="auto"/>
          <w:kern w:val="1"/>
          <w:szCs w:val="21"/>
        </w:rPr>
        <w:t>承包人提供竣工图的约定：</w:t>
      </w:r>
      <w:r>
        <w:rPr>
          <w:rFonts w:ascii="宋体" w:hAnsi="宋体" w:cs="宋体"/>
          <w:bCs/>
          <w:color w:val="auto"/>
          <w:kern w:val="1"/>
          <w:szCs w:val="21"/>
          <w:u w:val="single"/>
        </w:rPr>
        <w:t>竣工验收正式通过后10天提供竣工图4套。</w:t>
      </w:r>
    </w:p>
    <w:p w14:paraId="0AB96D9F">
      <w:pPr>
        <w:spacing w:line="360" w:lineRule="exact"/>
        <w:ind w:firstLine="420"/>
        <w:jc w:val="left"/>
        <w:rPr>
          <w:rFonts w:ascii="宋体" w:hAnsi="宋体" w:cs="宋体"/>
          <w:color w:val="auto"/>
          <w:kern w:val="1"/>
          <w:szCs w:val="21"/>
        </w:rPr>
      </w:pPr>
      <w:r>
        <w:rPr>
          <w:rFonts w:ascii="宋体" w:hAnsi="宋体" w:cs="宋体"/>
          <w:color w:val="auto"/>
          <w:kern w:val="1"/>
          <w:szCs w:val="21"/>
        </w:rPr>
        <w:t>13.2.2竣工验收程序</w:t>
      </w:r>
    </w:p>
    <w:p w14:paraId="1420A355">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关于竣工验收程序的约定：</w:t>
      </w:r>
      <w:r>
        <w:rPr>
          <w:rFonts w:hint="eastAsia" w:ascii="宋体" w:hAnsi="宋体" w:cs="宋体"/>
          <w:color w:val="auto"/>
          <w:kern w:val="1"/>
          <w:szCs w:val="21"/>
          <w:u w:val="single"/>
        </w:rPr>
        <w:t>承包人准备的竣工验收资料齐全，并编制了竣工图（附电子文档）后向监理人提出预验收申请，预验收合格监理人签署同意验收后发包人在30天内组织有关部门竣工验收</w:t>
      </w:r>
      <w:r>
        <w:rPr>
          <w:rFonts w:ascii="宋体" w:hAnsi="宋体" w:cs="宋体"/>
          <w:color w:val="auto"/>
          <w:kern w:val="1"/>
          <w:szCs w:val="21"/>
        </w:rPr>
        <w:t>。</w:t>
      </w:r>
    </w:p>
    <w:p w14:paraId="4BB60F96">
      <w:pPr>
        <w:spacing w:line="360" w:lineRule="exact"/>
        <w:ind w:firstLine="420"/>
        <w:jc w:val="left"/>
        <w:rPr>
          <w:rFonts w:ascii="宋体" w:hAnsi="宋体" w:cs="宋体"/>
          <w:color w:val="auto"/>
          <w:kern w:val="1"/>
          <w:szCs w:val="21"/>
        </w:rPr>
      </w:pPr>
      <w:r>
        <w:rPr>
          <w:rFonts w:ascii="宋体" w:hAnsi="宋体" w:cs="宋体"/>
          <w:color w:val="auto"/>
          <w:kern w:val="1"/>
          <w:szCs w:val="21"/>
        </w:rPr>
        <w:t>发包人不按照本项约定组织竣工验收、颁发工程接收证书的违约金的计算方法：</w:t>
      </w:r>
      <w:r>
        <w:rPr>
          <w:rFonts w:hint="eastAsia" w:ascii="宋体" w:hAnsi="宋体" w:cs="宋体"/>
          <w:color w:val="auto"/>
          <w:kern w:val="1"/>
          <w:szCs w:val="21"/>
          <w:u w:val="single"/>
        </w:rPr>
        <w:t>每天按剩余合同工程价款的万分之一支付违约金（剩余工程款×1</w:t>
      </w:r>
      <w:r>
        <w:rPr>
          <w:rFonts w:hint="eastAsia" w:ascii="宋体" w:hAnsi="宋体" w:eastAsia="MS Mincho" w:cs="MS Mincho"/>
          <w:color w:val="auto"/>
          <w:kern w:val="1"/>
          <w:szCs w:val="21"/>
          <w:u w:val="single"/>
        </w:rPr>
        <w:t>‱</w:t>
      </w:r>
      <w:r>
        <w:rPr>
          <w:rFonts w:hint="eastAsia" w:ascii="宋体" w:hAnsi="宋体" w:cs="宋体"/>
          <w:color w:val="auto"/>
          <w:kern w:val="1"/>
          <w:szCs w:val="21"/>
          <w:u w:val="single"/>
        </w:rPr>
        <w:t>），上限不超过所欠工程款的5%</w:t>
      </w:r>
      <w:r>
        <w:rPr>
          <w:rFonts w:ascii="宋体" w:hAnsi="宋体" w:cs="宋体"/>
          <w:color w:val="auto"/>
          <w:kern w:val="1"/>
          <w:szCs w:val="21"/>
        </w:rPr>
        <w:t>。</w:t>
      </w:r>
    </w:p>
    <w:p w14:paraId="682F29F3">
      <w:pPr>
        <w:pStyle w:val="5"/>
        <w:spacing w:line="360" w:lineRule="exact"/>
        <w:ind w:firstLine="481"/>
        <w:jc w:val="left"/>
        <w:rPr>
          <w:color w:val="auto"/>
          <w:sz w:val="21"/>
          <w:szCs w:val="21"/>
        </w:rPr>
      </w:pPr>
      <w:bookmarkStart w:id="1210" w:name="_Toc29777"/>
      <w:bookmarkStart w:id="1211" w:name="_Toc3642"/>
      <w:bookmarkStart w:id="1212" w:name="_Toc21740"/>
      <w:bookmarkStart w:id="1213" w:name="_Toc13005"/>
      <w:r>
        <w:rPr>
          <w:rFonts w:hint="eastAsia" w:ascii="宋体" w:hAnsi="宋体" w:cs="宋体"/>
          <w:b w:val="0"/>
          <w:color w:val="auto"/>
          <w:kern w:val="1"/>
          <w:sz w:val="21"/>
          <w:szCs w:val="21"/>
        </w:rPr>
        <w:t>发包人在组织竣工验收过程中发现工程不符合验收合格条件，应在</w:t>
      </w:r>
      <w:r>
        <w:rPr>
          <w:rFonts w:ascii="宋体" w:hAnsi="宋体" w:cs="宋体"/>
          <w:b w:val="0"/>
          <w:color w:val="auto"/>
          <w:kern w:val="1"/>
          <w:sz w:val="21"/>
          <w:szCs w:val="21"/>
        </w:rPr>
        <w:t>7</w:t>
      </w:r>
      <w:r>
        <w:rPr>
          <w:rFonts w:hint="eastAsia" w:ascii="宋体" w:hAnsi="宋体" w:cs="宋体"/>
          <w:b w:val="0"/>
          <w:color w:val="auto"/>
          <w:kern w:val="1"/>
          <w:sz w:val="21"/>
          <w:szCs w:val="21"/>
        </w:rPr>
        <w:t>日内向承包人提出修改意见，承包人在收到修改意见后应当在15日内复工，以达到验收合格条件。</w:t>
      </w:r>
      <w:r>
        <w:rPr>
          <w:rFonts w:hint="eastAsia" w:ascii="宋体" w:hAnsi="宋体" w:cs="宋体"/>
          <w:b w:val="0"/>
          <w:color w:val="auto"/>
          <w:sz w:val="21"/>
          <w:szCs w:val="21"/>
        </w:rPr>
        <w:t>如进行更正后仍存在不符合验收合格的问题，发包人有权解除合同，承包人应当按本合同总价的30%向甲方支付违约金，给发包人造成损失的应予以赔偿；由发包人原因造成上述错误的除外。</w:t>
      </w:r>
      <w:bookmarkEnd w:id="1210"/>
      <w:bookmarkEnd w:id="1211"/>
      <w:bookmarkEnd w:id="1212"/>
      <w:bookmarkEnd w:id="1213"/>
    </w:p>
    <w:p w14:paraId="23818564">
      <w:pPr>
        <w:spacing w:line="360" w:lineRule="exact"/>
        <w:ind w:firstLine="420"/>
        <w:jc w:val="left"/>
        <w:rPr>
          <w:rFonts w:ascii="宋体" w:hAnsi="宋体" w:cs="宋体"/>
          <w:color w:val="auto"/>
          <w:kern w:val="1"/>
          <w:szCs w:val="21"/>
        </w:rPr>
      </w:pPr>
      <w:r>
        <w:rPr>
          <w:rFonts w:ascii="宋体" w:hAnsi="宋体" w:cs="宋体"/>
          <w:color w:val="auto"/>
          <w:kern w:val="1"/>
          <w:szCs w:val="21"/>
        </w:rPr>
        <w:t>13.2.5移交、接收全部与部分工程</w:t>
      </w:r>
    </w:p>
    <w:p w14:paraId="77120356">
      <w:pPr>
        <w:spacing w:line="360" w:lineRule="exact"/>
        <w:ind w:firstLine="420"/>
        <w:jc w:val="left"/>
        <w:rPr>
          <w:rFonts w:ascii="宋体" w:hAnsi="宋体" w:cs="宋体"/>
          <w:color w:val="auto"/>
          <w:kern w:val="1"/>
          <w:szCs w:val="21"/>
        </w:rPr>
      </w:pPr>
      <w:r>
        <w:rPr>
          <w:rFonts w:ascii="宋体" w:hAnsi="宋体" w:cs="宋体"/>
          <w:color w:val="auto"/>
          <w:kern w:val="1"/>
          <w:szCs w:val="21"/>
        </w:rPr>
        <w:t>承包人向发包人移交工程的期限：</w:t>
      </w:r>
      <w:r>
        <w:rPr>
          <w:rFonts w:hint="eastAsia" w:ascii="宋体" w:hAnsi="宋体" w:cs="宋体"/>
          <w:color w:val="auto"/>
          <w:kern w:val="1"/>
          <w:szCs w:val="21"/>
          <w:u w:val="single"/>
        </w:rPr>
        <w:t>竣工验收合格后10天内</w:t>
      </w:r>
      <w:r>
        <w:rPr>
          <w:rFonts w:ascii="宋体" w:hAnsi="宋体" w:cs="宋体"/>
          <w:color w:val="auto"/>
          <w:kern w:val="1"/>
          <w:szCs w:val="21"/>
        </w:rPr>
        <w:t>。</w:t>
      </w:r>
    </w:p>
    <w:p w14:paraId="4217AD00">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发包人未按本合同约定接收全部或部分工程的，违约金的计算方法为：</w:t>
      </w:r>
      <w:r>
        <w:rPr>
          <w:rFonts w:hint="eastAsia" w:ascii="宋体" w:hAnsi="宋体" w:cs="宋体"/>
          <w:color w:val="auto"/>
          <w:kern w:val="1"/>
          <w:szCs w:val="21"/>
          <w:u w:val="single"/>
        </w:rPr>
        <w:t>每日按10000元支付违约金，总额不超过合同价的5%</w:t>
      </w:r>
      <w:r>
        <w:rPr>
          <w:rFonts w:ascii="宋体" w:hAnsi="宋体" w:cs="宋体"/>
          <w:color w:val="auto"/>
          <w:kern w:val="1"/>
          <w:szCs w:val="21"/>
        </w:rPr>
        <w:t>。</w:t>
      </w:r>
    </w:p>
    <w:p w14:paraId="6F0266B9">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承包人未按时移交工程的，违约金的计算方法为：</w:t>
      </w:r>
      <w:r>
        <w:rPr>
          <w:rFonts w:hint="eastAsia" w:ascii="宋体" w:hAnsi="宋体" w:cs="宋体"/>
          <w:color w:val="auto"/>
          <w:kern w:val="1"/>
          <w:szCs w:val="21"/>
          <w:u w:val="single"/>
        </w:rPr>
        <w:t>每日按10000元支付违约金，总额不超过合同价的5%</w:t>
      </w:r>
      <w:r>
        <w:rPr>
          <w:rFonts w:ascii="宋体" w:hAnsi="宋体" w:cs="宋体"/>
          <w:color w:val="auto"/>
          <w:kern w:val="1"/>
          <w:szCs w:val="21"/>
        </w:rPr>
        <w:t>。</w:t>
      </w:r>
    </w:p>
    <w:p w14:paraId="59B6B35A">
      <w:pPr>
        <w:pStyle w:val="5"/>
        <w:keepNext w:val="0"/>
        <w:spacing w:line="360" w:lineRule="exact"/>
        <w:rPr>
          <w:rFonts w:ascii="宋体" w:hAnsi="宋体" w:cs="宋体"/>
          <w:color w:val="auto"/>
          <w:sz w:val="21"/>
          <w:szCs w:val="21"/>
          <w:lang w:val="zh-CN"/>
        </w:rPr>
      </w:pPr>
      <w:bookmarkStart w:id="1214" w:name="_Toc373227756"/>
      <w:bookmarkEnd w:id="1214"/>
      <w:bookmarkStart w:id="1215" w:name="_Toc406054797"/>
      <w:bookmarkEnd w:id="1215"/>
      <w:bookmarkStart w:id="1216" w:name="_Toc373478403"/>
      <w:bookmarkEnd w:id="1216"/>
      <w:bookmarkStart w:id="1217" w:name="_Toc4299"/>
      <w:bookmarkStart w:id="1218" w:name="_Toc27136"/>
      <w:bookmarkStart w:id="1219" w:name="_Toc30953"/>
      <w:bookmarkStart w:id="1220" w:name="_Toc30624"/>
      <w:bookmarkStart w:id="1221" w:name="_Toc24967"/>
      <w:r>
        <w:rPr>
          <w:rFonts w:ascii="宋体" w:hAnsi="宋体" w:cs="宋体"/>
          <w:color w:val="auto"/>
          <w:sz w:val="21"/>
          <w:szCs w:val="21"/>
          <w:lang w:val="zh-CN"/>
        </w:rPr>
        <w:t>13.3 工程试车</w:t>
      </w:r>
      <w:bookmarkEnd w:id="1217"/>
      <w:bookmarkEnd w:id="1218"/>
      <w:bookmarkEnd w:id="1219"/>
      <w:bookmarkEnd w:id="1220"/>
      <w:bookmarkEnd w:id="1221"/>
    </w:p>
    <w:p w14:paraId="4101F13D">
      <w:pPr>
        <w:spacing w:line="360" w:lineRule="exact"/>
        <w:ind w:firstLine="420"/>
        <w:jc w:val="left"/>
        <w:rPr>
          <w:rFonts w:ascii="宋体" w:hAnsi="宋体" w:cs="宋体"/>
          <w:color w:val="auto"/>
          <w:kern w:val="1"/>
          <w:szCs w:val="21"/>
          <w:u w:val="single"/>
        </w:rPr>
      </w:pPr>
      <w:r>
        <w:rPr>
          <w:rFonts w:hint="eastAsia" w:ascii="宋体" w:hAnsi="宋体" w:cs="宋体"/>
          <w:color w:val="auto"/>
          <w:kern w:val="1"/>
          <w:szCs w:val="21"/>
          <w:u w:val="single"/>
        </w:rPr>
        <w:t>无</w:t>
      </w:r>
      <w:r>
        <w:rPr>
          <w:rFonts w:ascii="宋体" w:hAnsi="宋体" w:cs="宋体"/>
          <w:color w:val="auto"/>
          <w:kern w:val="1"/>
          <w:szCs w:val="21"/>
        </w:rPr>
        <w:t>。</w:t>
      </w:r>
    </w:p>
    <w:p w14:paraId="435E7961">
      <w:pPr>
        <w:pStyle w:val="5"/>
        <w:keepNext w:val="0"/>
        <w:spacing w:line="360" w:lineRule="exact"/>
        <w:rPr>
          <w:rFonts w:ascii="宋体" w:hAnsi="宋体" w:cs="宋体"/>
          <w:color w:val="auto"/>
          <w:sz w:val="21"/>
          <w:szCs w:val="21"/>
          <w:lang w:val="zh-CN"/>
        </w:rPr>
      </w:pPr>
      <w:bookmarkStart w:id="1222" w:name="_Toc406054798"/>
      <w:bookmarkEnd w:id="1222"/>
      <w:bookmarkStart w:id="1223" w:name="_Toc373227757"/>
      <w:bookmarkEnd w:id="1223"/>
      <w:bookmarkStart w:id="1224" w:name="_Toc373478404"/>
      <w:bookmarkEnd w:id="1224"/>
      <w:bookmarkStart w:id="1225" w:name="_Toc31552"/>
      <w:bookmarkStart w:id="1226" w:name="_Toc31243"/>
      <w:bookmarkStart w:id="1227" w:name="_Toc16033"/>
      <w:bookmarkStart w:id="1228" w:name="_Toc25954"/>
      <w:bookmarkStart w:id="1229" w:name="_Toc22180"/>
      <w:r>
        <w:rPr>
          <w:rFonts w:ascii="宋体" w:hAnsi="宋体" w:cs="宋体"/>
          <w:color w:val="auto"/>
          <w:sz w:val="21"/>
          <w:szCs w:val="21"/>
          <w:lang w:val="zh-CN"/>
        </w:rPr>
        <w:t>13.6 竣工退场</w:t>
      </w:r>
      <w:bookmarkEnd w:id="1225"/>
      <w:bookmarkEnd w:id="1226"/>
      <w:bookmarkEnd w:id="1227"/>
      <w:bookmarkEnd w:id="1228"/>
      <w:bookmarkEnd w:id="1229"/>
    </w:p>
    <w:p w14:paraId="4BE9E420">
      <w:pPr>
        <w:spacing w:line="360" w:lineRule="exact"/>
        <w:ind w:firstLine="420"/>
        <w:jc w:val="left"/>
        <w:rPr>
          <w:rFonts w:ascii="宋体" w:hAnsi="宋体" w:cs="宋体"/>
          <w:color w:val="auto"/>
          <w:kern w:val="1"/>
          <w:szCs w:val="21"/>
        </w:rPr>
      </w:pPr>
      <w:r>
        <w:rPr>
          <w:rFonts w:ascii="宋体" w:hAnsi="宋体" w:cs="宋体"/>
          <w:color w:val="auto"/>
          <w:kern w:val="1"/>
          <w:szCs w:val="21"/>
        </w:rPr>
        <w:t>13.6.1 竣工退场</w:t>
      </w:r>
    </w:p>
    <w:p w14:paraId="24D117B9">
      <w:pPr>
        <w:spacing w:line="360" w:lineRule="exact"/>
        <w:ind w:firstLine="420"/>
        <w:jc w:val="left"/>
        <w:rPr>
          <w:rFonts w:ascii="宋体" w:hAnsi="宋体" w:cs="宋体"/>
          <w:color w:val="auto"/>
          <w:kern w:val="1"/>
          <w:szCs w:val="21"/>
        </w:rPr>
      </w:pPr>
      <w:r>
        <w:rPr>
          <w:rFonts w:ascii="宋体" w:hAnsi="宋体" w:cs="宋体"/>
          <w:color w:val="auto"/>
          <w:kern w:val="1"/>
          <w:szCs w:val="21"/>
        </w:rPr>
        <w:t>承包人完成竣工退场的期限：</w:t>
      </w:r>
      <w:r>
        <w:rPr>
          <w:rFonts w:hint="eastAsia" w:ascii="宋体" w:hAnsi="宋体" w:cs="宋体"/>
          <w:color w:val="auto"/>
          <w:kern w:val="1"/>
          <w:szCs w:val="21"/>
          <w:u w:val="single"/>
        </w:rPr>
        <w:t>竣工验收合格30天内</w:t>
      </w:r>
      <w:r>
        <w:rPr>
          <w:rFonts w:ascii="宋体" w:hAnsi="宋体" w:cs="宋体"/>
          <w:color w:val="auto"/>
          <w:kern w:val="1"/>
          <w:szCs w:val="21"/>
        </w:rPr>
        <w:t>。</w:t>
      </w:r>
    </w:p>
    <w:p w14:paraId="5EC38F47">
      <w:pPr>
        <w:pStyle w:val="5"/>
        <w:keepNext w:val="0"/>
        <w:spacing w:line="360" w:lineRule="exact"/>
        <w:rPr>
          <w:rFonts w:ascii="宋体" w:hAnsi="宋体" w:cs="宋体"/>
          <w:color w:val="auto"/>
          <w:sz w:val="21"/>
          <w:szCs w:val="21"/>
          <w:lang w:val="zh-CN"/>
        </w:rPr>
      </w:pPr>
      <w:bookmarkStart w:id="1230" w:name="_Toc373478405"/>
      <w:bookmarkEnd w:id="1230"/>
      <w:bookmarkStart w:id="1231" w:name="_Toc373227758"/>
      <w:bookmarkEnd w:id="1231"/>
      <w:bookmarkStart w:id="1232" w:name="_Toc406054799"/>
      <w:bookmarkEnd w:id="1232"/>
      <w:bookmarkStart w:id="1233" w:name="_Toc10737"/>
      <w:bookmarkStart w:id="1234" w:name="_Toc22408"/>
      <w:bookmarkStart w:id="1235" w:name="_Toc18445"/>
      <w:bookmarkStart w:id="1236" w:name="_Toc11722"/>
      <w:bookmarkStart w:id="1237" w:name="_Toc19292"/>
      <w:r>
        <w:rPr>
          <w:rFonts w:ascii="宋体" w:hAnsi="宋体" w:cs="宋体"/>
          <w:color w:val="auto"/>
          <w:sz w:val="21"/>
          <w:szCs w:val="21"/>
          <w:lang w:val="zh-CN"/>
        </w:rPr>
        <w:t>14. 竣工结算</w:t>
      </w:r>
      <w:bookmarkEnd w:id="1233"/>
      <w:bookmarkEnd w:id="1234"/>
      <w:bookmarkEnd w:id="1235"/>
      <w:bookmarkEnd w:id="1236"/>
      <w:bookmarkEnd w:id="1237"/>
    </w:p>
    <w:p w14:paraId="1E481AD1">
      <w:pPr>
        <w:pStyle w:val="5"/>
        <w:keepNext w:val="0"/>
        <w:spacing w:line="360" w:lineRule="exact"/>
        <w:rPr>
          <w:rFonts w:ascii="宋体" w:hAnsi="宋体" w:cs="宋体"/>
          <w:color w:val="auto"/>
          <w:sz w:val="21"/>
          <w:szCs w:val="21"/>
          <w:lang w:val="zh-CN"/>
        </w:rPr>
      </w:pPr>
      <w:bookmarkStart w:id="1238" w:name="_Toc373227759"/>
      <w:bookmarkEnd w:id="1238"/>
      <w:bookmarkStart w:id="1239" w:name="_Toc373478406"/>
      <w:bookmarkEnd w:id="1239"/>
      <w:bookmarkStart w:id="1240" w:name="_Toc406054800"/>
      <w:bookmarkEnd w:id="1240"/>
      <w:bookmarkStart w:id="1241" w:name="_Toc13549"/>
      <w:bookmarkStart w:id="1242" w:name="_Toc9035"/>
      <w:bookmarkStart w:id="1243" w:name="_Toc19574"/>
      <w:bookmarkStart w:id="1244" w:name="_Toc15646"/>
      <w:bookmarkStart w:id="1245" w:name="_Toc3624"/>
      <w:r>
        <w:rPr>
          <w:rFonts w:ascii="宋体" w:hAnsi="宋体" w:cs="宋体"/>
          <w:color w:val="auto"/>
          <w:sz w:val="21"/>
          <w:szCs w:val="21"/>
          <w:lang w:val="zh-CN"/>
        </w:rPr>
        <w:t>14.1 竣工付款申请</w:t>
      </w:r>
      <w:bookmarkEnd w:id="1241"/>
      <w:bookmarkEnd w:id="1242"/>
      <w:bookmarkEnd w:id="1243"/>
      <w:bookmarkEnd w:id="1244"/>
      <w:bookmarkEnd w:id="1245"/>
    </w:p>
    <w:p w14:paraId="0DC8BA4A">
      <w:pPr>
        <w:spacing w:line="360" w:lineRule="exact"/>
        <w:ind w:firstLine="420"/>
        <w:jc w:val="left"/>
        <w:rPr>
          <w:rFonts w:ascii="宋体" w:hAnsi="宋体" w:cs="宋体"/>
          <w:color w:val="auto"/>
          <w:kern w:val="1"/>
          <w:szCs w:val="21"/>
        </w:rPr>
      </w:pPr>
      <w:r>
        <w:rPr>
          <w:rFonts w:ascii="宋体" w:hAnsi="宋体" w:cs="宋体"/>
          <w:color w:val="auto"/>
          <w:kern w:val="1"/>
          <w:szCs w:val="21"/>
        </w:rPr>
        <w:t>承包人提交竣工付款申请单的期限：</w:t>
      </w:r>
      <w:r>
        <w:rPr>
          <w:rFonts w:hint="eastAsia" w:ascii="宋体" w:hAnsi="宋体" w:cs="宋体"/>
          <w:color w:val="auto"/>
          <w:kern w:val="1"/>
          <w:szCs w:val="21"/>
          <w:u w:val="single"/>
        </w:rPr>
        <w:t>竣工验收合格后60天内</w:t>
      </w:r>
      <w:r>
        <w:rPr>
          <w:rFonts w:ascii="宋体" w:hAnsi="宋体" w:cs="宋体"/>
          <w:color w:val="auto"/>
          <w:kern w:val="1"/>
          <w:szCs w:val="21"/>
        </w:rPr>
        <w:t>。</w:t>
      </w:r>
    </w:p>
    <w:p w14:paraId="2DF8B699">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竣工付款申请单应包括的内容：</w:t>
      </w:r>
      <w:r>
        <w:rPr>
          <w:rFonts w:hint="eastAsia" w:ascii="宋体" w:hAnsi="宋体" w:cs="宋体"/>
          <w:color w:val="auto"/>
          <w:kern w:val="1"/>
          <w:szCs w:val="21"/>
          <w:u w:val="single"/>
        </w:rPr>
        <w:t>结算书、签证资料、竣工图、会议纪要、施工组织设计、多项施工方案、采购文件、响应文件、施工合同、施工日记等，并应符合审计部门的要求</w:t>
      </w:r>
      <w:r>
        <w:rPr>
          <w:rFonts w:ascii="宋体" w:hAnsi="宋体" w:cs="宋体"/>
          <w:color w:val="auto"/>
          <w:kern w:val="1"/>
          <w:szCs w:val="21"/>
        </w:rPr>
        <w:t>。</w:t>
      </w:r>
    </w:p>
    <w:p w14:paraId="1639CFC5">
      <w:pPr>
        <w:pStyle w:val="5"/>
        <w:keepNext w:val="0"/>
        <w:spacing w:line="360" w:lineRule="exact"/>
        <w:rPr>
          <w:rFonts w:ascii="宋体" w:hAnsi="宋体" w:cs="宋体"/>
          <w:color w:val="auto"/>
          <w:sz w:val="21"/>
          <w:szCs w:val="21"/>
          <w:lang w:val="zh-CN"/>
        </w:rPr>
      </w:pPr>
      <w:bookmarkStart w:id="1246" w:name="_Toc406054801"/>
      <w:bookmarkEnd w:id="1246"/>
      <w:bookmarkStart w:id="1247" w:name="_Toc373478407"/>
      <w:bookmarkEnd w:id="1247"/>
      <w:bookmarkStart w:id="1248" w:name="_Toc373227760"/>
      <w:bookmarkEnd w:id="1248"/>
      <w:bookmarkStart w:id="1249" w:name="_Toc19679"/>
      <w:bookmarkStart w:id="1250" w:name="_Toc4317"/>
      <w:bookmarkStart w:id="1251" w:name="_Toc24066"/>
      <w:bookmarkStart w:id="1252" w:name="_Toc3829"/>
      <w:bookmarkStart w:id="1253" w:name="_Toc11962"/>
      <w:r>
        <w:rPr>
          <w:rFonts w:ascii="宋体" w:hAnsi="宋体" w:cs="宋体"/>
          <w:color w:val="auto"/>
          <w:sz w:val="21"/>
          <w:szCs w:val="21"/>
          <w:lang w:val="zh-CN"/>
        </w:rPr>
        <w:t>14.2 竣工结算审核</w:t>
      </w:r>
      <w:bookmarkEnd w:id="1249"/>
      <w:bookmarkEnd w:id="1250"/>
      <w:bookmarkEnd w:id="1251"/>
      <w:bookmarkEnd w:id="1252"/>
      <w:bookmarkEnd w:id="1253"/>
    </w:p>
    <w:p w14:paraId="1FBADE57">
      <w:pPr>
        <w:spacing w:line="360" w:lineRule="exact"/>
        <w:ind w:firstLine="420"/>
        <w:jc w:val="left"/>
        <w:rPr>
          <w:rFonts w:ascii="宋体" w:hAnsi="宋体" w:cs="宋体"/>
          <w:color w:val="auto"/>
          <w:kern w:val="1"/>
          <w:szCs w:val="21"/>
        </w:rPr>
      </w:pPr>
      <w:r>
        <w:rPr>
          <w:rFonts w:ascii="宋体" w:hAnsi="宋体" w:cs="宋体"/>
          <w:color w:val="auto"/>
          <w:kern w:val="1"/>
          <w:szCs w:val="21"/>
        </w:rPr>
        <w:t>发包人审批竣工付款申请单的期限：</w:t>
      </w:r>
    </w:p>
    <w:tbl>
      <w:tblPr>
        <w:tblStyle w:val="45"/>
        <w:tblW w:w="0" w:type="auto"/>
        <w:tblInd w:w="196" w:type="dxa"/>
        <w:tblLayout w:type="fixed"/>
        <w:tblCellMar>
          <w:top w:w="0" w:type="dxa"/>
          <w:left w:w="108" w:type="dxa"/>
          <w:bottom w:w="0" w:type="dxa"/>
          <w:right w:w="108" w:type="dxa"/>
        </w:tblCellMar>
      </w:tblPr>
      <w:tblGrid>
        <w:gridCol w:w="765"/>
        <w:gridCol w:w="2408"/>
        <w:gridCol w:w="5328"/>
      </w:tblGrid>
      <w:tr w14:paraId="4A5CA6D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noWrap w:val="0"/>
            <w:vAlign w:val="center"/>
          </w:tcPr>
          <w:p w14:paraId="3288A43D">
            <w:pPr>
              <w:spacing w:line="360" w:lineRule="exact"/>
              <w:rPr>
                <w:rFonts w:ascii="宋体" w:hAnsi="宋体" w:cs="宋体"/>
                <w:color w:val="auto"/>
                <w:kern w:val="1"/>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14:paraId="449C4A1C">
            <w:pPr>
              <w:spacing w:line="360" w:lineRule="exact"/>
              <w:ind w:firstLine="27"/>
              <w:jc w:val="center"/>
              <w:rPr>
                <w:rFonts w:ascii="宋体" w:hAnsi="宋体" w:cs="宋体"/>
                <w:color w:val="auto"/>
                <w:kern w:val="1"/>
                <w:szCs w:val="21"/>
              </w:rPr>
            </w:pPr>
            <w:r>
              <w:rPr>
                <w:rFonts w:ascii="宋体" w:hAnsi="宋体" w:cs="宋体"/>
                <w:color w:val="auto"/>
                <w:kern w:val="1"/>
                <w:szCs w:val="21"/>
              </w:rPr>
              <w:t>工程竣工结算报告金额</w:t>
            </w:r>
          </w:p>
        </w:tc>
        <w:tc>
          <w:tcPr>
            <w:tcW w:w="5328" w:type="dxa"/>
            <w:tcBorders>
              <w:top w:val="single" w:color="000000" w:sz="4" w:space="0"/>
              <w:left w:val="single" w:color="000000" w:sz="4" w:space="0"/>
              <w:bottom w:val="single" w:color="000000" w:sz="4" w:space="0"/>
              <w:right w:val="single" w:color="000000" w:sz="4" w:space="0"/>
            </w:tcBorders>
            <w:noWrap w:val="0"/>
            <w:vAlign w:val="center"/>
          </w:tcPr>
          <w:p w14:paraId="0B99603C">
            <w:pPr>
              <w:spacing w:line="360" w:lineRule="exact"/>
              <w:ind w:firstLine="441"/>
              <w:jc w:val="center"/>
              <w:rPr>
                <w:rFonts w:ascii="宋体" w:hAnsi="宋体" w:cs="宋体"/>
                <w:color w:val="auto"/>
                <w:kern w:val="1"/>
                <w:szCs w:val="21"/>
              </w:rPr>
            </w:pPr>
            <w:r>
              <w:rPr>
                <w:rFonts w:ascii="宋体" w:hAnsi="宋体" w:cs="宋体"/>
                <w:color w:val="auto"/>
                <w:kern w:val="1"/>
                <w:szCs w:val="21"/>
              </w:rPr>
              <w:t>发包人审查时间</w:t>
            </w:r>
          </w:p>
        </w:tc>
      </w:tr>
      <w:tr w14:paraId="6D69E51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BA23F1">
            <w:pPr>
              <w:spacing w:line="360" w:lineRule="exact"/>
              <w:jc w:val="center"/>
              <w:rPr>
                <w:rFonts w:ascii="宋体" w:hAnsi="宋体" w:cs="宋体"/>
                <w:color w:val="auto"/>
                <w:kern w:val="1"/>
                <w:szCs w:val="21"/>
              </w:rPr>
            </w:pPr>
            <w:r>
              <w:rPr>
                <w:rFonts w:ascii="宋体" w:hAnsi="宋体" w:cs="宋体"/>
                <w:color w:val="auto"/>
                <w:kern w:val="1"/>
                <w:szCs w:val="21"/>
              </w:rPr>
              <w:t>1</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14:paraId="55C762CD">
            <w:pPr>
              <w:spacing w:line="360" w:lineRule="exact"/>
              <w:ind w:firstLine="27"/>
              <w:jc w:val="center"/>
              <w:rPr>
                <w:rFonts w:ascii="宋体" w:hAnsi="宋体" w:cs="宋体"/>
                <w:color w:val="auto"/>
                <w:kern w:val="1"/>
                <w:szCs w:val="21"/>
              </w:rPr>
            </w:pPr>
            <w:r>
              <w:rPr>
                <w:rFonts w:ascii="宋体" w:hAnsi="宋体" w:cs="宋体"/>
                <w:color w:val="auto"/>
                <w:kern w:val="1"/>
                <w:szCs w:val="21"/>
              </w:rPr>
              <w:t>500万元以下</w:t>
            </w:r>
          </w:p>
        </w:tc>
        <w:tc>
          <w:tcPr>
            <w:tcW w:w="5328" w:type="dxa"/>
            <w:tcBorders>
              <w:top w:val="single" w:color="000000" w:sz="4" w:space="0"/>
              <w:left w:val="single" w:color="000000" w:sz="4" w:space="0"/>
              <w:bottom w:val="single" w:color="000000" w:sz="4" w:space="0"/>
              <w:right w:val="single" w:color="000000" w:sz="4" w:space="0"/>
            </w:tcBorders>
            <w:noWrap w:val="0"/>
            <w:vAlign w:val="center"/>
          </w:tcPr>
          <w:p w14:paraId="6A6AEF0B">
            <w:pPr>
              <w:spacing w:line="360" w:lineRule="exact"/>
              <w:rPr>
                <w:rFonts w:ascii="宋体" w:hAnsi="宋体" w:cs="宋体"/>
                <w:color w:val="auto"/>
                <w:kern w:val="1"/>
                <w:szCs w:val="21"/>
              </w:rPr>
            </w:pPr>
            <w:r>
              <w:rPr>
                <w:rFonts w:ascii="宋体" w:hAnsi="宋体" w:cs="宋体"/>
                <w:color w:val="auto"/>
                <w:kern w:val="1"/>
                <w:szCs w:val="21"/>
              </w:rPr>
              <w:t>从接到竣工结算报告和完整的竣工结算资料之日起20天</w:t>
            </w:r>
          </w:p>
        </w:tc>
      </w:tr>
      <w:tr w14:paraId="78B727A4">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4153A0">
            <w:pPr>
              <w:spacing w:line="360" w:lineRule="exact"/>
              <w:jc w:val="center"/>
              <w:rPr>
                <w:rFonts w:ascii="宋体" w:hAnsi="宋体" w:cs="宋体"/>
                <w:color w:val="auto"/>
                <w:kern w:val="1"/>
                <w:szCs w:val="21"/>
              </w:rPr>
            </w:pPr>
            <w:r>
              <w:rPr>
                <w:rFonts w:ascii="宋体" w:hAnsi="宋体" w:cs="宋体"/>
                <w:color w:val="auto"/>
                <w:kern w:val="1"/>
                <w:szCs w:val="21"/>
              </w:rPr>
              <w:t>2</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14:paraId="5D9702B0">
            <w:pPr>
              <w:spacing w:line="360" w:lineRule="exact"/>
              <w:ind w:firstLine="27"/>
              <w:jc w:val="center"/>
              <w:rPr>
                <w:rFonts w:ascii="宋体" w:hAnsi="宋体" w:cs="宋体"/>
                <w:color w:val="auto"/>
                <w:kern w:val="1"/>
                <w:szCs w:val="21"/>
              </w:rPr>
            </w:pPr>
            <w:r>
              <w:rPr>
                <w:rFonts w:ascii="宋体" w:hAnsi="宋体" w:cs="宋体"/>
                <w:color w:val="auto"/>
                <w:kern w:val="1"/>
                <w:szCs w:val="21"/>
              </w:rPr>
              <w:t>500万元-2000万元</w:t>
            </w:r>
          </w:p>
        </w:tc>
        <w:tc>
          <w:tcPr>
            <w:tcW w:w="5328" w:type="dxa"/>
            <w:tcBorders>
              <w:top w:val="single" w:color="000000" w:sz="4" w:space="0"/>
              <w:left w:val="single" w:color="000000" w:sz="4" w:space="0"/>
              <w:bottom w:val="single" w:color="000000" w:sz="4" w:space="0"/>
              <w:right w:val="single" w:color="000000" w:sz="4" w:space="0"/>
            </w:tcBorders>
            <w:noWrap w:val="0"/>
            <w:vAlign w:val="center"/>
          </w:tcPr>
          <w:p w14:paraId="7DF2550A">
            <w:pPr>
              <w:spacing w:line="360" w:lineRule="exact"/>
              <w:rPr>
                <w:rFonts w:ascii="宋体" w:hAnsi="宋体" w:cs="宋体"/>
                <w:color w:val="auto"/>
                <w:kern w:val="1"/>
                <w:szCs w:val="21"/>
              </w:rPr>
            </w:pPr>
            <w:r>
              <w:rPr>
                <w:rFonts w:ascii="宋体" w:hAnsi="宋体" w:cs="宋体"/>
                <w:color w:val="auto"/>
                <w:kern w:val="1"/>
                <w:szCs w:val="21"/>
              </w:rPr>
              <w:t>从接到竣工结算报告和完整的竣工结算资料之日起30天</w:t>
            </w:r>
          </w:p>
        </w:tc>
      </w:tr>
      <w:tr w14:paraId="198076CE">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noWrap w:val="0"/>
            <w:vAlign w:val="center"/>
          </w:tcPr>
          <w:p w14:paraId="7F2B3207">
            <w:pPr>
              <w:spacing w:line="360" w:lineRule="exact"/>
              <w:jc w:val="center"/>
              <w:rPr>
                <w:rFonts w:ascii="宋体" w:hAnsi="宋体" w:cs="宋体"/>
                <w:color w:val="auto"/>
                <w:kern w:val="1"/>
                <w:szCs w:val="21"/>
              </w:rPr>
            </w:pPr>
            <w:r>
              <w:rPr>
                <w:rFonts w:ascii="宋体" w:hAnsi="宋体" w:cs="宋体"/>
                <w:color w:val="auto"/>
                <w:kern w:val="1"/>
                <w:szCs w:val="21"/>
              </w:rPr>
              <w:t>3</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14:paraId="2EA2E7DB">
            <w:pPr>
              <w:spacing w:line="360" w:lineRule="exact"/>
              <w:ind w:firstLine="27"/>
              <w:jc w:val="center"/>
              <w:rPr>
                <w:rFonts w:ascii="宋体" w:hAnsi="宋体" w:cs="宋体"/>
                <w:color w:val="auto"/>
                <w:kern w:val="1"/>
                <w:szCs w:val="21"/>
              </w:rPr>
            </w:pPr>
            <w:r>
              <w:rPr>
                <w:rFonts w:ascii="宋体" w:hAnsi="宋体" w:cs="宋体"/>
                <w:color w:val="auto"/>
                <w:kern w:val="1"/>
                <w:szCs w:val="21"/>
              </w:rPr>
              <w:t>2000万元-5000万元</w:t>
            </w:r>
          </w:p>
        </w:tc>
        <w:tc>
          <w:tcPr>
            <w:tcW w:w="5328" w:type="dxa"/>
            <w:tcBorders>
              <w:top w:val="single" w:color="000000" w:sz="4" w:space="0"/>
              <w:left w:val="single" w:color="000000" w:sz="4" w:space="0"/>
              <w:bottom w:val="single" w:color="000000" w:sz="4" w:space="0"/>
              <w:right w:val="single" w:color="000000" w:sz="4" w:space="0"/>
            </w:tcBorders>
            <w:noWrap w:val="0"/>
            <w:vAlign w:val="center"/>
          </w:tcPr>
          <w:p w14:paraId="091DC92D">
            <w:pPr>
              <w:spacing w:line="360" w:lineRule="exact"/>
              <w:rPr>
                <w:rFonts w:ascii="宋体" w:hAnsi="宋体" w:cs="宋体"/>
                <w:color w:val="auto"/>
                <w:kern w:val="1"/>
                <w:szCs w:val="21"/>
              </w:rPr>
            </w:pPr>
            <w:r>
              <w:rPr>
                <w:rFonts w:ascii="宋体" w:hAnsi="宋体" w:cs="宋体"/>
                <w:color w:val="auto"/>
                <w:kern w:val="1"/>
                <w:szCs w:val="21"/>
              </w:rPr>
              <w:t>从接到竣工结算报告和完整的竣工结算资料之日起45天</w:t>
            </w:r>
          </w:p>
        </w:tc>
      </w:tr>
      <w:tr w14:paraId="1FE746CF">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noWrap w:val="0"/>
            <w:vAlign w:val="center"/>
          </w:tcPr>
          <w:p w14:paraId="45D22D0A">
            <w:pPr>
              <w:spacing w:line="360" w:lineRule="exact"/>
              <w:jc w:val="center"/>
              <w:rPr>
                <w:rFonts w:ascii="宋体" w:hAnsi="宋体" w:cs="宋体"/>
                <w:color w:val="auto"/>
                <w:kern w:val="1"/>
                <w:szCs w:val="21"/>
              </w:rPr>
            </w:pPr>
            <w:r>
              <w:rPr>
                <w:rFonts w:ascii="宋体" w:hAnsi="宋体" w:cs="宋体"/>
                <w:color w:val="auto"/>
                <w:kern w:val="1"/>
                <w:szCs w:val="21"/>
              </w:rPr>
              <w:t>4</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14:paraId="6E915E2E">
            <w:pPr>
              <w:spacing w:line="360" w:lineRule="exact"/>
              <w:ind w:firstLine="27"/>
              <w:jc w:val="center"/>
              <w:rPr>
                <w:rFonts w:ascii="宋体" w:hAnsi="宋体" w:cs="宋体"/>
                <w:color w:val="auto"/>
                <w:kern w:val="1"/>
                <w:szCs w:val="21"/>
              </w:rPr>
            </w:pPr>
            <w:r>
              <w:rPr>
                <w:rFonts w:ascii="宋体" w:hAnsi="宋体" w:cs="宋体"/>
                <w:color w:val="auto"/>
                <w:kern w:val="1"/>
                <w:szCs w:val="21"/>
              </w:rPr>
              <w:t>5000万元以上</w:t>
            </w:r>
          </w:p>
        </w:tc>
        <w:tc>
          <w:tcPr>
            <w:tcW w:w="5328" w:type="dxa"/>
            <w:tcBorders>
              <w:top w:val="single" w:color="000000" w:sz="4" w:space="0"/>
              <w:left w:val="single" w:color="000000" w:sz="4" w:space="0"/>
              <w:bottom w:val="single" w:color="000000" w:sz="4" w:space="0"/>
              <w:right w:val="single" w:color="000000" w:sz="4" w:space="0"/>
            </w:tcBorders>
            <w:noWrap w:val="0"/>
            <w:vAlign w:val="center"/>
          </w:tcPr>
          <w:p w14:paraId="0E62F1D3">
            <w:pPr>
              <w:spacing w:line="360" w:lineRule="exact"/>
              <w:rPr>
                <w:rFonts w:ascii="宋体" w:hAnsi="宋体" w:cs="宋体"/>
                <w:color w:val="auto"/>
                <w:kern w:val="1"/>
                <w:szCs w:val="21"/>
              </w:rPr>
            </w:pPr>
            <w:r>
              <w:rPr>
                <w:rFonts w:ascii="宋体" w:hAnsi="宋体" w:cs="宋体"/>
                <w:color w:val="auto"/>
                <w:kern w:val="1"/>
                <w:szCs w:val="21"/>
              </w:rPr>
              <w:t>从接到竣工结算报告和完整的竣工结算资料之日起60天</w:t>
            </w:r>
          </w:p>
        </w:tc>
      </w:tr>
    </w:tbl>
    <w:p w14:paraId="38590660">
      <w:pPr>
        <w:spacing w:line="360" w:lineRule="exact"/>
        <w:ind w:firstLine="420"/>
        <w:jc w:val="left"/>
        <w:rPr>
          <w:rFonts w:ascii="宋体" w:hAnsi="宋体" w:cs="宋体"/>
          <w:color w:val="auto"/>
          <w:kern w:val="1"/>
          <w:szCs w:val="21"/>
        </w:rPr>
      </w:pPr>
      <w:r>
        <w:rPr>
          <w:rFonts w:ascii="宋体" w:hAnsi="宋体" w:cs="宋体"/>
          <w:bCs/>
          <w:color w:val="auto"/>
          <w:kern w:val="1"/>
          <w:szCs w:val="21"/>
        </w:rPr>
        <w:t>因承包人提供的结算资料不完整而需要补充或承包人不按时对账耽误时间时，审查时间应相应顺延</w:t>
      </w:r>
      <w:r>
        <w:rPr>
          <w:rFonts w:ascii="宋体" w:hAnsi="宋体" w:cs="宋体"/>
          <w:color w:val="auto"/>
          <w:kern w:val="1"/>
          <w:szCs w:val="21"/>
        </w:rPr>
        <w:t>。</w:t>
      </w:r>
    </w:p>
    <w:p w14:paraId="6CD31926">
      <w:pPr>
        <w:spacing w:line="360" w:lineRule="exact"/>
        <w:ind w:firstLine="420"/>
        <w:jc w:val="left"/>
        <w:rPr>
          <w:rFonts w:ascii="宋体" w:hAnsi="宋体" w:cs="宋体"/>
          <w:color w:val="auto"/>
          <w:kern w:val="1"/>
          <w:szCs w:val="21"/>
        </w:rPr>
      </w:pPr>
      <w:r>
        <w:rPr>
          <w:rFonts w:ascii="宋体" w:hAnsi="宋体" w:cs="宋体"/>
          <w:color w:val="auto"/>
          <w:kern w:val="1"/>
          <w:szCs w:val="21"/>
        </w:rPr>
        <w:t>发包人完成竣工付款的期限：</w:t>
      </w:r>
      <w:r>
        <w:rPr>
          <w:rFonts w:hint="eastAsia" w:ascii="宋体" w:hAnsi="宋体" w:cs="宋体"/>
          <w:color w:val="auto"/>
          <w:kern w:val="1"/>
          <w:szCs w:val="21"/>
          <w:u w:val="single"/>
        </w:rPr>
        <w:t>审计部门审定出具审计结论承包人提交发票后30天内</w:t>
      </w:r>
      <w:r>
        <w:rPr>
          <w:rFonts w:ascii="宋体" w:hAnsi="宋体" w:cs="宋体"/>
          <w:color w:val="auto"/>
          <w:kern w:val="1"/>
          <w:szCs w:val="21"/>
        </w:rPr>
        <w:t>。</w:t>
      </w:r>
    </w:p>
    <w:p w14:paraId="125C8EF3">
      <w:pPr>
        <w:spacing w:line="360" w:lineRule="exact"/>
        <w:ind w:firstLine="420"/>
        <w:jc w:val="left"/>
        <w:rPr>
          <w:rFonts w:ascii="宋体" w:hAnsi="宋体" w:cs="宋体"/>
          <w:color w:val="auto"/>
          <w:kern w:val="1"/>
          <w:szCs w:val="21"/>
        </w:rPr>
      </w:pPr>
      <w:r>
        <w:rPr>
          <w:rFonts w:ascii="宋体" w:hAnsi="宋体" w:cs="宋体"/>
          <w:color w:val="auto"/>
          <w:kern w:val="1"/>
          <w:szCs w:val="21"/>
        </w:rPr>
        <w:t>关于竣工付款证书异议部分复核的方式和程序：</w:t>
      </w:r>
      <w:r>
        <w:rPr>
          <w:rFonts w:hint="eastAsia" w:ascii="宋体" w:hAnsi="宋体" w:cs="宋体"/>
          <w:color w:val="auto"/>
          <w:kern w:val="1"/>
          <w:szCs w:val="21"/>
          <w:u w:val="single"/>
        </w:rPr>
        <w:t>向监理人提出申请复议，监理人签署意见后30天内答复</w:t>
      </w:r>
      <w:r>
        <w:rPr>
          <w:rFonts w:ascii="宋体" w:hAnsi="宋体" w:cs="宋体"/>
          <w:color w:val="auto"/>
          <w:kern w:val="1"/>
          <w:szCs w:val="21"/>
        </w:rPr>
        <w:t>。</w:t>
      </w:r>
    </w:p>
    <w:p w14:paraId="6305A2F0">
      <w:pPr>
        <w:spacing w:line="360" w:lineRule="exact"/>
        <w:ind w:firstLine="420"/>
        <w:jc w:val="left"/>
        <w:rPr>
          <w:rFonts w:ascii="宋体" w:hAnsi="宋体" w:cs="宋体"/>
          <w:color w:val="auto"/>
          <w:kern w:val="1"/>
          <w:szCs w:val="21"/>
          <w:u w:val="single"/>
        </w:rPr>
      </w:pPr>
      <w:r>
        <w:rPr>
          <w:rFonts w:hint="eastAsia" w:ascii="宋体" w:hAnsi="宋体" w:cs="宋体"/>
          <w:color w:val="auto"/>
          <w:kern w:val="1"/>
          <w:szCs w:val="21"/>
          <w:u w:val="single"/>
        </w:rPr>
        <w:t>双方按照《审计法》的规定，审计机关对政府投资和以政府投资为主的建设项目的预算执行情况和决算进行审计监督。各方结算（决算）工程价款必须以审计机关作出的审计结论为结算（决算）依据。</w:t>
      </w:r>
    </w:p>
    <w:p w14:paraId="28892633">
      <w:pPr>
        <w:spacing w:line="360" w:lineRule="exact"/>
        <w:ind w:firstLine="420"/>
        <w:jc w:val="left"/>
        <w:rPr>
          <w:rFonts w:ascii="宋体" w:hAnsi="宋体" w:cs="宋体"/>
          <w:color w:val="auto"/>
          <w:kern w:val="1"/>
          <w:szCs w:val="21"/>
          <w:u w:val="single"/>
        </w:rPr>
      </w:pPr>
    </w:p>
    <w:p w14:paraId="1C2F95A8">
      <w:pPr>
        <w:pStyle w:val="5"/>
        <w:keepNext w:val="0"/>
        <w:spacing w:line="360" w:lineRule="exact"/>
        <w:rPr>
          <w:rFonts w:ascii="宋体" w:hAnsi="宋体" w:cs="宋体"/>
          <w:color w:val="auto"/>
          <w:sz w:val="21"/>
          <w:szCs w:val="21"/>
          <w:lang w:val="zh-CN"/>
        </w:rPr>
      </w:pPr>
      <w:bookmarkStart w:id="1254" w:name="_Toc406054802"/>
      <w:bookmarkEnd w:id="1254"/>
      <w:bookmarkStart w:id="1255" w:name="_Toc373478408"/>
      <w:bookmarkEnd w:id="1255"/>
      <w:bookmarkStart w:id="1256" w:name="_Toc373227761"/>
      <w:bookmarkEnd w:id="1256"/>
      <w:bookmarkStart w:id="1257" w:name="_Toc23973"/>
      <w:bookmarkStart w:id="1258" w:name="_Toc3942"/>
      <w:bookmarkStart w:id="1259" w:name="_Toc1530"/>
      <w:bookmarkStart w:id="1260" w:name="_Toc27664"/>
      <w:bookmarkStart w:id="1261" w:name="_Toc1251"/>
      <w:r>
        <w:rPr>
          <w:rFonts w:ascii="宋体" w:hAnsi="宋体" w:cs="宋体"/>
          <w:color w:val="auto"/>
          <w:sz w:val="21"/>
          <w:szCs w:val="21"/>
          <w:lang w:val="zh-CN"/>
        </w:rPr>
        <w:t>14.4 最终结清</w:t>
      </w:r>
      <w:bookmarkEnd w:id="1257"/>
      <w:bookmarkEnd w:id="1258"/>
      <w:bookmarkEnd w:id="1259"/>
      <w:bookmarkEnd w:id="1260"/>
      <w:bookmarkEnd w:id="1261"/>
    </w:p>
    <w:p w14:paraId="3DF389DA">
      <w:pPr>
        <w:spacing w:line="360" w:lineRule="exact"/>
        <w:ind w:firstLine="420"/>
        <w:jc w:val="left"/>
        <w:rPr>
          <w:rFonts w:ascii="宋体" w:hAnsi="宋体" w:cs="宋体"/>
          <w:color w:val="auto"/>
          <w:kern w:val="1"/>
          <w:szCs w:val="21"/>
        </w:rPr>
      </w:pPr>
      <w:r>
        <w:rPr>
          <w:rFonts w:ascii="宋体" w:hAnsi="宋体" w:cs="宋体"/>
          <w:color w:val="auto"/>
          <w:kern w:val="1"/>
          <w:szCs w:val="21"/>
        </w:rPr>
        <w:t>14.4.1 最终结清申请单</w:t>
      </w:r>
    </w:p>
    <w:p w14:paraId="66CA9A80">
      <w:pPr>
        <w:spacing w:line="360" w:lineRule="exact"/>
        <w:ind w:firstLine="420"/>
        <w:jc w:val="left"/>
        <w:rPr>
          <w:rFonts w:ascii="宋体" w:hAnsi="宋体" w:cs="宋体"/>
          <w:color w:val="auto"/>
          <w:kern w:val="1"/>
          <w:szCs w:val="21"/>
        </w:rPr>
      </w:pPr>
      <w:r>
        <w:rPr>
          <w:rFonts w:ascii="宋体" w:hAnsi="宋体" w:cs="宋体"/>
          <w:color w:val="auto"/>
          <w:kern w:val="1"/>
          <w:szCs w:val="21"/>
        </w:rPr>
        <w:t>承包人提交最终结清申请单的份数：</w:t>
      </w:r>
      <w:r>
        <w:rPr>
          <w:rFonts w:hint="eastAsia" w:ascii="宋体" w:hAnsi="宋体" w:cs="宋体"/>
          <w:color w:val="auto"/>
          <w:kern w:val="1"/>
          <w:szCs w:val="21"/>
          <w:u w:val="single"/>
        </w:rPr>
        <w:t>一式肆份</w:t>
      </w:r>
      <w:r>
        <w:rPr>
          <w:rFonts w:ascii="宋体" w:hAnsi="宋体" w:cs="宋体"/>
          <w:color w:val="auto"/>
          <w:kern w:val="1"/>
          <w:szCs w:val="21"/>
        </w:rPr>
        <w:t>。</w:t>
      </w:r>
    </w:p>
    <w:p w14:paraId="056B2D7E">
      <w:pPr>
        <w:spacing w:line="360" w:lineRule="exact"/>
        <w:ind w:firstLine="420"/>
        <w:jc w:val="left"/>
        <w:rPr>
          <w:rFonts w:ascii="宋体" w:hAnsi="宋体" w:cs="宋体"/>
          <w:color w:val="auto"/>
          <w:kern w:val="1"/>
          <w:szCs w:val="21"/>
        </w:rPr>
      </w:pPr>
      <w:r>
        <w:rPr>
          <w:rFonts w:ascii="宋体" w:hAnsi="宋体" w:cs="宋体"/>
          <w:color w:val="auto"/>
          <w:kern w:val="1"/>
          <w:szCs w:val="21"/>
        </w:rPr>
        <w:t>承包人提交最终结算申请单的期限：</w:t>
      </w:r>
      <w:r>
        <w:rPr>
          <w:rFonts w:hint="eastAsia" w:ascii="宋体" w:hAnsi="宋体" w:cs="宋体"/>
          <w:color w:val="auto"/>
          <w:kern w:val="1"/>
          <w:szCs w:val="21"/>
          <w:u w:val="single"/>
        </w:rPr>
        <w:t>审计结论出后30天内</w:t>
      </w:r>
      <w:r>
        <w:rPr>
          <w:rFonts w:ascii="宋体" w:hAnsi="宋体" w:cs="宋体"/>
          <w:color w:val="auto"/>
          <w:kern w:val="1"/>
          <w:szCs w:val="21"/>
        </w:rPr>
        <w:t xml:space="preserve">。 </w:t>
      </w:r>
    </w:p>
    <w:p w14:paraId="5BBD1C33">
      <w:pPr>
        <w:spacing w:line="360" w:lineRule="exact"/>
        <w:ind w:firstLine="420"/>
        <w:jc w:val="left"/>
        <w:rPr>
          <w:rFonts w:ascii="宋体" w:hAnsi="宋体" w:cs="宋体"/>
          <w:color w:val="auto"/>
          <w:kern w:val="1"/>
          <w:szCs w:val="21"/>
        </w:rPr>
      </w:pPr>
      <w:r>
        <w:rPr>
          <w:rFonts w:ascii="宋体" w:hAnsi="宋体" w:cs="宋体"/>
          <w:color w:val="auto"/>
          <w:kern w:val="1"/>
          <w:szCs w:val="21"/>
        </w:rPr>
        <w:t>14.4.2 最终结清证书和支付</w:t>
      </w:r>
    </w:p>
    <w:p w14:paraId="37FD63AD">
      <w:pPr>
        <w:spacing w:line="360" w:lineRule="exact"/>
        <w:ind w:firstLine="420"/>
        <w:jc w:val="left"/>
        <w:rPr>
          <w:rFonts w:ascii="宋体" w:hAnsi="宋体" w:cs="宋体"/>
          <w:color w:val="auto"/>
          <w:kern w:val="1"/>
          <w:szCs w:val="21"/>
        </w:rPr>
      </w:pPr>
      <w:r>
        <w:rPr>
          <w:rFonts w:ascii="宋体" w:hAnsi="宋体" w:cs="宋体"/>
          <w:color w:val="auto"/>
          <w:kern w:val="1"/>
          <w:szCs w:val="21"/>
        </w:rPr>
        <w:t>（1）发包人完成最终结清申请单的审批并颁发最终结清证书的期限：</w:t>
      </w:r>
      <w:r>
        <w:rPr>
          <w:rFonts w:hint="eastAsia" w:ascii="宋体" w:hAnsi="宋体" w:cs="宋体"/>
          <w:color w:val="auto"/>
          <w:kern w:val="1"/>
          <w:szCs w:val="21"/>
          <w:u w:val="single"/>
        </w:rPr>
        <w:t>经政府职能部门审定后30天内</w:t>
      </w:r>
      <w:r>
        <w:rPr>
          <w:rFonts w:ascii="宋体" w:hAnsi="宋体" w:cs="宋体"/>
          <w:color w:val="auto"/>
          <w:kern w:val="1"/>
          <w:szCs w:val="21"/>
        </w:rPr>
        <w:t>。</w:t>
      </w:r>
    </w:p>
    <w:p w14:paraId="07BDB5F4">
      <w:pPr>
        <w:spacing w:line="360" w:lineRule="exact"/>
        <w:ind w:firstLine="420"/>
        <w:jc w:val="left"/>
        <w:rPr>
          <w:rFonts w:ascii="宋体" w:hAnsi="宋体" w:cs="宋体"/>
          <w:color w:val="auto"/>
          <w:kern w:val="1"/>
          <w:szCs w:val="21"/>
        </w:rPr>
      </w:pPr>
      <w:r>
        <w:rPr>
          <w:rFonts w:ascii="宋体" w:hAnsi="宋体" w:cs="宋体"/>
          <w:color w:val="auto"/>
          <w:kern w:val="1"/>
          <w:szCs w:val="21"/>
        </w:rPr>
        <w:t>（2）发包人完成支付的期限：</w:t>
      </w:r>
      <w:r>
        <w:rPr>
          <w:rFonts w:hint="eastAsia" w:ascii="宋体" w:hAnsi="宋体" w:cs="宋体"/>
          <w:color w:val="auto"/>
          <w:kern w:val="1"/>
          <w:szCs w:val="21"/>
          <w:u w:val="single"/>
        </w:rPr>
        <w:t>政府职能部门审定后45天内</w:t>
      </w:r>
      <w:r>
        <w:rPr>
          <w:rFonts w:ascii="宋体" w:hAnsi="宋体" w:cs="宋体"/>
          <w:color w:val="auto"/>
          <w:kern w:val="1"/>
          <w:szCs w:val="21"/>
        </w:rPr>
        <w:t>。</w:t>
      </w:r>
    </w:p>
    <w:p w14:paraId="6300D11E">
      <w:pPr>
        <w:pStyle w:val="5"/>
        <w:keepNext w:val="0"/>
        <w:spacing w:line="360" w:lineRule="exact"/>
        <w:rPr>
          <w:rFonts w:ascii="宋体" w:hAnsi="宋体" w:cs="宋体"/>
          <w:color w:val="auto"/>
          <w:sz w:val="21"/>
          <w:szCs w:val="21"/>
          <w:lang w:val="zh-CN"/>
        </w:rPr>
      </w:pPr>
      <w:bookmarkStart w:id="1262" w:name="_Toc267251503"/>
      <w:bookmarkEnd w:id="1262"/>
      <w:bookmarkStart w:id="1263" w:name="_Toc267251506"/>
      <w:bookmarkEnd w:id="1263"/>
      <w:bookmarkStart w:id="1264" w:name="_Toc267251513"/>
      <w:bookmarkEnd w:id="1264"/>
      <w:bookmarkStart w:id="1265" w:name="_Toc351203647"/>
      <w:bookmarkEnd w:id="1265"/>
      <w:bookmarkStart w:id="1266" w:name="_Toc267251502"/>
      <w:bookmarkEnd w:id="1266"/>
      <w:bookmarkStart w:id="1267" w:name="_Toc267251494"/>
      <w:bookmarkEnd w:id="1267"/>
      <w:bookmarkStart w:id="1268" w:name="_Toc267251501"/>
      <w:bookmarkEnd w:id="1268"/>
      <w:bookmarkStart w:id="1269" w:name="_Toc267251485"/>
      <w:bookmarkEnd w:id="1269"/>
      <w:bookmarkStart w:id="1270" w:name="_Toc267251490"/>
      <w:bookmarkEnd w:id="1270"/>
      <w:bookmarkStart w:id="1271" w:name="_Toc267251497"/>
      <w:bookmarkEnd w:id="1271"/>
      <w:bookmarkStart w:id="1272" w:name="_Toc267251498"/>
      <w:bookmarkEnd w:id="1272"/>
      <w:bookmarkStart w:id="1273" w:name="_Toc267251511"/>
      <w:bookmarkEnd w:id="1273"/>
      <w:bookmarkStart w:id="1274" w:name="_Toc267251482"/>
      <w:bookmarkEnd w:id="1274"/>
      <w:bookmarkStart w:id="1275" w:name="_Toc267251491"/>
      <w:bookmarkEnd w:id="1275"/>
      <w:bookmarkStart w:id="1276" w:name="_Toc267251493"/>
      <w:bookmarkEnd w:id="1276"/>
      <w:bookmarkStart w:id="1277" w:name="_Toc267251488"/>
      <w:bookmarkEnd w:id="1277"/>
      <w:bookmarkStart w:id="1278" w:name="_Toc267251486"/>
      <w:bookmarkEnd w:id="1278"/>
      <w:bookmarkStart w:id="1279" w:name="_Toc267251496"/>
      <w:bookmarkEnd w:id="1279"/>
      <w:bookmarkStart w:id="1280" w:name="_Toc267251499"/>
      <w:bookmarkEnd w:id="1280"/>
      <w:bookmarkStart w:id="1281" w:name="_Toc267251515"/>
      <w:bookmarkEnd w:id="1281"/>
      <w:bookmarkStart w:id="1282" w:name="_Toc267251504"/>
      <w:bookmarkEnd w:id="1282"/>
      <w:bookmarkStart w:id="1283" w:name="_Toc267251510"/>
      <w:bookmarkEnd w:id="1283"/>
      <w:bookmarkStart w:id="1284" w:name="_Toc267251492"/>
      <w:bookmarkEnd w:id="1284"/>
      <w:bookmarkStart w:id="1285" w:name="_Toc267251483"/>
      <w:bookmarkEnd w:id="1285"/>
      <w:bookmarkStart w:id="1286" w:name="_Toc373478409"/>
      <w:bookmarkEnd w:id="1286"/>
      <w:bookmarkStart w:id="1287" w:name="_Toc267251508"/>
      <w:bookmarkEnd w:id="1287"/>
      <w:bookmarkStart w:id="1288" w:name="_Toc267251489"/>
      <w:bookmarkEnd w:id="1288"/>
      <w:bookmarkStart w:id="1289" w:name="_Toc267251495"/>
      <w:bookmarkEnd w:id="1289"/>
      <w:bookmarkStart w:id="1290" w:name="_Toc373227762"/>
      <w:bookmarkEnd w:id="1290"/>
      <w:bookmarkStart w:id="1291" w:name="_Toc267251484"/>
      <w:bookmarkEnd w:id="1291"/>
      <w:bookmarkStart w:id="1292" w:name="_Toc267251509"/>
      <w:bookmarkEnd w:id="1292"/>
      <w:bookmarkStart w:id="1293" w:name="_Toc406054803"/>
      <w:bookmarkEnd w:id="1293"/>
      <w:bookmarkStart w:id="1294" w:name="_Toc267251507"/>
      <w:bookmarkEnd w:id="1294"/>
      <w:bookmarkStart w:id="1295" w:name="_Toc267251514"/>
      <w:bookmarkEnd w:id="1295"/>
      <w:bookmarkStart w:id="1296" w:name="_Toc3430"/>
      <w:bookmarkStart w:id="1297" w:name="_Toc19471"/>
      <w:bookmarkStart w:id="1298" w:name="_Toc15420"/>
      <w:bookmarkStart w:id="1299" w:name="_Toc29414"/>
      <w:bookmarkStart w:id="1300" w:name="_Toc5635"/>
      <w:r>
        <w:rPr>
          <w:rFonts w:ascii="宋体" w:hAnsi="宋体" w:cs="宋体"/>
          <w:color w:val="auto"/>
          <w:sz w:val="21"/>
          <w:szCs w:val="21"/>
          <w:lang w:val="zh-CN"/>
        </w:rPr>
        <w:t>15. 缺陷责任期与保修</w:t>
      </w:r>
      <w:bookmarkEnd w:id="1296"/>
      <w:bookmarkEnd w:id="1297"/>
      <w:bookmarkEnd w:id="1298"/>
      <w:bookmarkEnd w:id="1299"/>
      <w:bookmarkEnd w:id="1300"/>
    </w:p>
    <w:p w14:paraId="3EB9D6CF">
      <w:pPr>
        <w:pStyle w:val="5"/>
        <w:keepNext w:val="0"/>
        <w:spacing w:line="360" w:lineRule="exact"/>
        <w:rPr>
          <w:rFonts w:ascii="宋体" w:hAnsi="宋体" w:cs="宋体"/>
          <w:color w:val="auto"/>
          <w:sz w:val="21"/>
          <w:szCs w:val="21"/>
          <w:lang w:val="zh-CN"/>
        </w:rPr>
      </w:pPr>
      <w:bookmarkStart w:id="1301" w:name="_Toc406054804"/>
      <w:bookmarkEnd w:id="1301"/>
      <w:bookmarkStart w:id="1302" w:name="_Toc373478410"/>
      <w:bookmarkEnd w:id="1302"/>
      <w:bookmarkStart w:id="1303" w:name="_Toc373227763"/>
      <w:bookmarkEnd w:id="1303"/>
      <w:bookmarkStart w:id="1304" w:name="_Toc8722"/>
      <w:bookmarkStart w:id="1305" w:name="_Toc5800"/>
      <w:bookmarkStart w:id="1306" w:name="_Toc30838"/>
      <w:bookmarkStart w:id="1307" w:name="_Toc10395"/>
      <w:bookmarkStart w:id="1308" w:name="_Toc14483"/>
      <w:r>
        <w:rPr>
          <w:rFonts w:ascii="宋体" w:hAnsi="宋体" w:cs="宋体"/>
          <w:color w:val="auto"/>
          <w:sz w:val="21"/>
          <w:szCs w:val="21"/>
          <w:lang w:val="zh-CN"/>
        </w:rPr>
        <w:t>15.2缺陷责任期</w:t>
      </w:r>
      <w:bookmarkEnd w:id="1304"/>
      <w:bookmarkEnd w:id="1305"/>
      <w:bookmarkEnd w:id="1306"/>
      <w:bookmarkEnd w:id="1307"/>
      <w:bookmarkEnd w:id="1308"/>
    </w:p>
    <w:p w14:paraId="75A96F4F">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缺陷责任期的具体期限：</w:t>
      </w:r>
      <w:r>
        <w:rPr>
          <w:rFonts w:hint="eastAsia" w:ascii="宋体" w:hAnsi="宋体" w:cs="宋体"/>
          <w:color w:val="auto"/>
          <w:kern w:val="1"/>
          <w:szCs w:val="21"/>
          <w:u w:val="single"/>
        </w:rPr>
        <w:t>12个月</w:t>
      </w:r>
      <w:r>
        <w:rPr>
          <w:rFonts w:ascii="宋体" w:hAnsi="宋体" w:cs="宋体"/>
          <w:color w:val="auto"/>
          <w:kern w:val="1"/>
          <w:szCs w:val="21"/>
        </w:rPr>
        <w:t>。</w:t>
      </w:r>
    </w:p>
    <w:p w14:paraId="1A0A6F60">
      <w:pPr>
        <w:pStyle w:val="5"/>
        <w:keepNext w:val="0"/>
        <w:spacing w:line="360" w:lineRule="exact"/>
        <w:rPr>
          <w:rFonts w:ascii="宋体" w:hAnsi="宋体" w:cs="宋体"/>
          <w:color w:val="auto"/>
          <w:sz w:val="21"/>
          <w:szCs w:val="21"/>
          <w:lang w:val="zh-CN"/>
        </w:rPr>
      </w:pPr>
      <w:bookmarkStart w:id="1309" w:name="_Toc406054805"/>
      <w:bookmarkEnd w:id="1309"/>
      <w:bookmarkStart w:id="1310" w:name="_Toc373478411"/>
      <w:bookmarkEnd w:id="1310"/>
      <w:bookmarkStart w:id="1311" w:name="_Toc373227764"/>
      <w:bookmarkEnd w:id="1311"/>
      <w:bookmarkStart w:id="1312" w:name="_Toc31439"/>
      <w:bookmarkStart w:id="1313" w:name="_Toc14181"/>
      <w:bookmarkStart w:id="1314" w:name="_Toc10353"/>
      <w:bookmarkStart w:id="1315" w:name="_Toc15405"/>
      <w:bookmarkStart w:id="1316" w:name="_Toc15858"/>
      <w:r>
        <w:rPr>
          <w:rFonts w:ascii="宋体" w:hAnsi="宋体" w:cs="宋体"/>
          <w:color w:val="auto"/>
          <w:sz w:val="21"/>
          <w:szCs w:val="21"/>
          <w:lang w:val="zh-CN"/>
        </w:rPr>
        <w:t>15.3 质量保证金</w:t>
      </w:r>
      <w:bookmarkEnd w:id="1312"/>
      <w:bookmarkEnd w:id="1313"/>
      <w:bookmarkEnd w:id="1314"/>
      <w:bookmarkEnd w:id="1315"/>
      <w:bookmarkEnd w:id="1316"/>
    </w:p>
    <w:p w14:paraId="200BC3E0">
      <w:pPr>
        <w:spacing w:line="360" w:lineRule="exact"/>
        <w:ind w:firstLine="420"/>
        <w:jc w:val="left"/>
        <w:rPr>
          <w:rFonts w:ascii="宋体" w:hAnsi="宋体" w:cs="宋体"/>
          <w:color w:val="auto"/>
          <w:kern w:val="1"/>
          <w:szCs w:val="21"/>
        </w:rPr>
      </w:pPr>
      <w:r>
        <w:rPr>
          <w:rFonts w:ascii="宋体" w:hAnsi="宋体" w:cs="宋体"/>
          <w:color w:val="auto"/>
          <w:kern w:val="1"/>
          <w:szCs w:val="21"/>
        </w:rPr>
        <w:t>关于是否扣留质量保证金的约定：</w:t>
      </w:r>
      <w:r>
        <w:rPr>
          <w:rFonts w:hint="eastAsia" w:ascii="宋体" w:hAnsi="宋体" w:cs="宋体"/>
          <w:color w:val="auto"/>
          <w:kern w:val="1"/>
          <w:szCs w:val="21"/>
          <w:u w:val="single"/>
        </w:rPr>
        <w:t>按结算价的3%扣留</w:t>
      </w:r>
      <w:r>
        <w:rPr>
          <w:rFonts w:ascii="宋体" w:hAnsi="宋体" w:cs="宋体"/>
          <w:color w:val="auto"/>
          <w:kern w:val="1"/>
          <w:szCs w:val="21"/>
        </w:rPr>
        <w:t>。</w:t>
      </w:r>
    </w:p>
    <w:p w14:paraId="6B68535E">
      <w:pPr>
        <w:spacing w:line="360" w:lineRule="exact"/>
        <w:ind w:firstLine="420"/>
        <w:jc w:val="left"/>
        <w:rPr>
          <w:rFonts w:ascii="宋体" w:hAnsi="宋体" w:cs="宋体"/>
          <w:color w:val="auto"/>
          <w:kern w:val="1"/>
          <w:szCs w:val="21"/>
        </w:rPr>
      </w:pPr>
      <w:r>
        <w:rPr>
          <w:rFonts w:ascii="宋体" w:hAnsi="宋体" w:cs="宋体"/>
          <w:color w:val="auto"/>
          <w:kern w:val="1"/>
          <w:szCs w:val="21"/>
        </w:rPr>
        <w:t>15.3.1 承包人提供质量保证金的方式</w:t>
      </w:r>
    </w:p>
    <w:p w14:paraId="72BB4791">
      <w:pPr>
        <w:spacing w:line="360" w:lineRule="exact"/>
        <w:ind w:firstLine="420"/>
        <w:jc w:val="left"/>
        <w:rPr>
          <w:rFonts w:ascii="宋体" w:hAnsi="宋体" w:cs="宋体"/>
          <w:color w:val="auto"/>
          <w:kern w:val="1"/>
          <w:szCs w:val="21"/>
        </w:rPr>
      </w:pPr>
      <w:r>
        <w:rPr>
          <w:rFonts w:ascii="宋体" w:hAnsi="宋体" w:cs="宋体"/>
          <w:color w:val="auto"/>
          <w:kern w:val="1"/>
          <w:szCs w:val="21"/>
        </w:rPr>
        <w:t>质量保证金采用以下第</w:t>
      </w:r>
      <w:r>
        <w:rPr>
          <w:rFonts w:hint="eastAsia" w:ascii="宋体" w:hAnsi="宋体" w:cs="宋体"/>
          <w:color w:val="auto"/>
          <w:kern w:val="1"/>
          <w:szCs w:val="21"/>
          <w:u w:val="single"/>
        </w:rPr>
        <w:t>（3）</w:t>
      </w:r>
      <w:r>
        <w:rPr>
          <w:rFonts w:ascii="宋体" w:hAnsi="宋体" w:cs="宋体"/>
          <w:color w:val="auto"/>
          <w:kern w:val="1"/>
          <w:szCs w:val="21"/>
        </w:rPr>
        <w:t>种方式：</w:t>
      </w:r>
    </w:p>
    <w:p w14:paraId="3300671E">
      <w:pPr>
        <w:spacing w:line="360" w:lineRule="exact"/>
        <w:ind w:firstLine="420"/>
        <w:jc w:val="left"/>
        <w:rPr>
          <w:rFonts w:ascii="宋体" w:hAnsi="宋体" w:cs="宋体"/>
          <w:color w:val="auto"/>
          <w:kern w:val="1"/>
          <w:szCs w:val="21"/>
        </w:rPr>
      </w:pPr>
      <w:r>
        <w:rPr>
          <w:rFonts w:ascii="宋体" w:hAnsi="宋体" w:cs="宋体"/>
          <w:color w:val="auto"/>
          <w:kern w:val="1"/>
          <w:szCs w:val="21"/>
        </w:rPr>
        <w:t>（1）质量保证金保函，保证金额为：</w:t>
      </w:r>
      <w:r>
        <w:rPr>
          <w:rFonts w:hint="eastAsia" w:ascii="宋体" w:hAnsi="宋体" w:cs="宋体"/>
          <w:color w:val="auto"/>
          <w:kern w:val="1"/>
          <w:szCs w:val="21"/>
          <w:u w:val="single"/>
        </w:rPr>
        <w:t>无</w:t>
      </w:r>
      <w:r>
        <w:rPr>
          <w:rFonts w:ascii="宋体" w:hAnsi="宋体" w:cs="宋体"/>
          <w:color w:val="auto"/>
          <w:kern w:val="1"/>
          <w:szCs w:val="21"/>
        </w:rPr>
        <w:t xml:space="preserve">； </w:t>
      </w:r>
    </w:p>
    <w:p w14:paraId="4839B459">
      <w:pPr>
        <w:spacing w:line="360" w:lineRule="exact"/>
        <w:ind w:firstLine="420"/>
        <w:jc w:val="left"/>
        <w:rPr>
          <w:rFonts w:ascii="宋体" w:hAnsi="宋体" w:cs="宋体"/>
          <w:color w:val="auto"/>
          <w:kern w:val="1"/>
          <w:szCs w:val="21"/>
        </w:rPr>
      </w:pPr>
      <w:r>
        <w:rPr>
          <w:rFonts w:ascii="宋体" w:hAnsi="宋体" w:cs="宋体"/>
          <w:color w:val="auto"/>
          <w:kern w:val="1"/>
          <w:szCs w:val="21"/>
        </w:rPr>
        <w:t>（2）</w:t>
      </w:r>
      <w:r>
        <w:rPr>
          <w:rFonts w:hint="eastAsia" w:ascii="宋体" w:hAnsi="宋体" w:cs="宋体"/>
          <w:color w:val="auto"/>
          <w:kern w:val="1"/>
          <w:szCs w:val="21"/>
          <w:u w:val="single"/>
        </w:rPr>
        <w:t xml:space="preserve">     </w:t>
      </w:r>
      <w:r>
        <w:rPr>
          <w:rFonts w:ascii="宋体" w:hAnsi="宋体" w:cs="宋体"/>
          <w:color w:val="auto"/>
          <w:kern w:val="1"/>
          <w:szCs w:val="21"/>
        </w:rPr>
        <w:t>%的工程款；</w:t>
      </w:r>
    </w:p>
    <w:p w14:paraId="339177B9">
      <w:pPr>
        <w:spacing w:line="360" w:lineRule="exact"/>
        <w:ind w:firstLine="420"/>
        <w:jc w:val="left"/>
        <w:rPr>
          <w:rFonts w:ascii="宋体" w:hAnsi="宋体" w:cs="宋体"/>
          <w:color w:val="auto"/>
          <w:kern w:val="1"/>
          <w:szCs w:val="21"/>
        </w:rPr>
      </w:pPr>
      <w:r>
        <w:rPr>
          <w:rFonts w:ascii="宋体" w:hAnsi="宋体" w:cs="宋体"/>
          <w:color w:val="auto"/>
          <w:kern w:val="1"/>
          <w:szCs w:val="21"/>
        </w:rPr>
        <w:t>（3）其他方式:</w:t>
      </w:r>
      <w:r>
        <w:rPr>
          <w:rFonts w:ascii="宋体" w:hAnsi="宋体" w:cs="宋体"/>
          <w:bCs/>
          <w:color w:val="auto"/>
          <w:kern w:val="1"/>
          <w:szCs w:val="21"/>
          <w:u w:val="single"/>
        </w:rPr>
        <w:t>发包人按工程价款结算总额的</w:t>
      </w:r>
      <w:r>
        <w:rPr>
          <w:rFonts w:hint="eastAsia" w:ascii="宋体" w:hAnsi="宋体" w:cs="宋体"/>
          <w:bCs/>
          <w:color w:val="auto"/>
          <w:kern w:val="1"/>
          <w:szCs w:val="21"/>
          <w:u w:val="single"/>
        </w:rPr>
        <w:t>3</w:t>
      </w:r>
      <w:r>
        <w:rPr>
          <w:rFonts w:ascii="宋体" w:hAnsi="宋体" w:cs="宋体"/>
          <w:bCs/>
          <w:color w:val="auto"/>
          <w:kern w:val="1"/>
          <w:szCs w:val="21"/>
          <w:u w:val="single"/>
        </w:rPr>
        <w:t>%预留工程质量保</w:t>
      </w:r>
      <w:r>
        <w:rPr>
          <w:rFonts w:hint="eastAsia" w:ascii="宋体" w:hAnsi="宋体" w:cs="宋体"/>
          <w:bCs/>
          <w:color w:val="auto"/>
          <w:kern w:val="1"/>
          <w:szCs w:val="21"/>
          <w:u w:val="single"/>
          <w:lang w:val="en-US" w:eastAsia="zh-CN"/>
        </w:rPr>
        <w:t>证</w:t>
      </w:r>
      <w:r>
        <w:rPr>
          <w:rFonts w:ascii="宋体" w:hAnsi="宋体" w:cs="宋体"/>
          <w:bCs/>
          <w:color w:val="auto"/>
          <w:kern w:val="1"/>
          <w:szCs w:val="21"/>
          <w:u w:val="single"/>
        </w:rPr>
        <w:t>金，待</w:t>
      </w:r>
      <w:r>
        <w:rPr>
          <w:rFonts w:hint="eastAsia" w:ascii="宋体" w:hAnsi="宋体" w:cs="宋体"/>
          <w:bCs/>
          <w:color w:val="auto"/>
          <w:kern w:val="1"/>
          <w:szCs w:val="21"/>
          <w:u w:val="single"/>
        </w:rPr>
        <w:t>缺陷责任期</w:t>
      </w:r>
      <w:r>
        <w:rPr>
          <w:rFonts w:ascii="宋体" w:hAnsi="宋体" w:cs="宋体"/>
          <w:bCs/>
          <w:color w:val="auto"/>
          <w:kern w:val="1"/>
          <w:szCs w:val="21"/>
          <w:u w:val="single"/>
        </w:rPr>
        <w:t>满后</w:t>
      </w:r>
      <w:r>
        <w:rPr>
          <w:rFonts w:hint="eastAsia" w:ascii="宋体" w:hAnsi="宋体" w:cs="宋体"/>
          <w:bCs/>
          <w:color w:val="auto"/>
          <w:kern w:val="1"/>
          <w:szCs w:val="21"/>
          <w:u w:val="single"/>
        </w:rPr>
        <w:t>15日内</w:t>
      </w:r>
      <w:r>
        <w:rPr>
          <w:rFonts w:ascii="宋体" w:hAnsi="宋体" w:cs="宋体"/>
          <w:bCs/>
          <w:color w:val="auto"/>
          <w:kern w:val="1"/>
          <w:szCs w:val="21"/>
          <w:u w:val="single"/>
        </w:rPr>
        <w:t>返还。</w:t>
      </w:r>
    </w:p>
    <w:p w14:paraId="468D6A74">
      <w:pPr>
        <w:spacing w:line="360" w:lineRule="exact"/>
        <w:ind w:firstLine="420"/>
        <w:jc w:val="left"/>
        <w:rPr>
          <w:rFonts w:ascii="宋体" w:hAnsi="宋体" w:cs="宋体"/>
          <w:color w:val="auto"/>
          <w:kern w:val="1"/>
          <w:szCs w:val="21"/>
        </w:rPr>
      </w:pPr>
      <w:r>
        <w:rPr>
          <w:rFonts w:ascii="宋体" w:hAnsi="宋体" w:cs="宋体"/>
          <w:color w:val="auto"/>
          <w:kern w:val="1"/>
          <w:szCs w:val="21"/>
        </w:rPr>
        <w:t xml:space="preserve">15.3.2 质量保证金的扣留 </w:t>
      </w:r>
    </w:p>
    <w:p w14:paraId="3CC6627A">
      <w:pPr>
        <w:spacing w:line="360" w:lineRule="exact"/>
        <w:ind w:firstLine="420"/>
        <w:jc w:val="left"/>
        <w:rPr>
          <w:rFonts w:ascii="宋体" w:hAnsi="宋体" w:cs="宋体"/>
          <w:color w:val="auto"/>
          <w:kern w:val="1"/>
          <w:szCs w:val="21"/>
        </w:rPr>
      </w:pPr>
      <w:r>
        <w:rPr>
          <w:rFonts w:ascii="宋体" w:hAnsi="宋体" w:cs="宋体"/>
          <w:color w:val="auto"/>
          <w:kern w:val="1"/>
          <w:szCs w:val="21"/>
        </w:rPr>
        <w:t>质量保证金的扣留采取以下第</w:t>
      </w:r>
      <w:r>
        <w:rPr>
          <w:rFonts w:hint="eastAsia" w:ascii="宋体" w:hAnsi="宋体" w:cs="宋体"/>
          <w:color w:val="auto"/>
          <w:kern w:val="1"/>
          <w:szCs w:val="21"/>
          <w:u w:val="single"/>
        </w:rPr>
        <w:t>（2）</w:t>
      </w:r>
      <w:r>
        <w:rPr>
          <w:rFonts w:ascii="宋体" w:hAnsi="宋体" w:cs="宋体"/>
          <w:color w:val="auto"/>
          <w:kern w:val="1"/>
          <w:szCs w:val="21"/>
        </w:rPr>
        <w:t>种方式：</w:t>
      </w:r>
    </w:p>
    <w:p w14:paraId="0B630A2C">
      <w:pPr>
        <w:spacing w:line="360" w:lineRule="exact"/>
        <w:ind w:firstLine="420"/>
        <w:jc w:val="left"/>
        <w:rPr>
          <w:rFonts w:ascii="宋体" w:hAnsi="宋体" w:cs="宋体"/>
          <w:color w:val="auto"/>
          <w:kern w:val="1"/>
          <w:szCs w:val="21"/>
        </w:rPr>
      </w:pPr>
      <w:r>
        <w:rPr>
          <w:rFonts w:ascii="宋体" w:hAnsi="宋体" w:cs="宋体"/>
          <w:color w:val="auto"/>
          <w:kern w:val="1"/>
          <w:szCs w:val="21"/>
        </w:rPr>
        <w:t>（1）在支付工程进度款时逐次扣留，在此情形下，质量保证金的计算基数不包括预付款的支付、扣回以及价格调整的金额；</w:t>
      </w:r>
    </w:p>
    <w:p w14:paraId="4DCF5CB8">
      <w:pPr>
        <w:spacing w:line="360" w:lineRule="exact"/>
        <w:ind w:firstLine="420"/>
        <w:jc w:val="left"/>
        <w:rPr>
          <w:rFonts w:ascii="宋体" w:hAnsi="宋体" w:cs="宋体"/>
          <w:color w:val="auto"/>
          <w:kern w:val="1"/>
          <w:szCs w:val="21"/>
        </w:rPr>
      </w:pPr>
      <w:r>
        <w:rPr>
          <w:rFonts w:ascii="宋体" w:hAnsi="宋体" w:cs="宋体"/>
          <w:color w:val="auto"/>
          <w:kern w:val="1"/>
          <w:szCs w:val="21"/>
        </w:rPr>
        <w:t>（2）工程竣工结算时一次性扣留质量保证金；</w:t>
      </w:r>
    </w:p>
    <w:p w14:paraId="4746A67D">
      <w:pPr>
        <w:spacing w:line="360" w:lineRule="exact"/>
        <w:ind w:firstLine="420"/>
        <w:jc w:val="left"/>
        <w:rPr>
          <w:rFonts w:ascii="宋体" w:hAnsi="宋体" w:cs="宋体"/>
          <w:color w:val="auto"/>
          <w:kern w:val="1"/>
          <w:szCs w:val="21"/>
        </w:rPr>
      </w:pPr>
      <w:r>
        <w:rPr>
          <w:rFonts w:ascii="宋体" w:hAnsi="宋体" w:cs="宋体"/>
          <w:color w:val="auto"/>
          <w:kern w:val="1"/>
          <w:szCs w:val="21"/>
        </w:rPr>
        <w:t>（3）其他扣留方式:</w:t>
      </w:r>
      <w:r>
        <w:rPr>
          <w:rFonts w:hint="eastAsia" w:ascii="宋体" w:hAnsi="宋体" w:cs="宋体"/>
          <w:color w:val="auto"/>
          <w:kern w:val="1"/>
          <w:szCs w:val="21"/>
          <w:u w:val="single"/>
        </w:rPr>
        <w:t>无</w:t>
      </w:r>
      <w:r>
        <w:rPr>
          <w:rFonts w:ascii="宋体" w:hAnsi="宋体" w:cs="宋体"/>
          <w:color w:val="auto"/>
          <w:kern w:val="1"/>
          <w:szCs w:val="21"/>
        </w:rPr>
        <w:t>。</w:t>
      </w:r>
    </w:p>
    <w:p w14:paraId="65A9CCFF">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关于质量保证金的补充约定：</w:t>
      </w:r>
      <w:r>
        <w:rPr>
          <w:rFonts w:hint="eastAsia" w:ascii="宋体" w:hAnsi="宋体" w:cs="宋体"/>
          <w:color w:val="auto"/>
          <w:kern w:val="1"/>
          <w:szCs w:val="21"/>
          <w:u w:val="single"/>
        </w:rPr>
        <w:t>无</w:t>
      </w:r>
      <w:r>
        <w:rPr>
          <w:rFonts w:ascii="宋体" w:hAnsi="宋体" w:cs="宋体"/>
          <w:color w:val="auto"/>
          <w:kern w:val="1"/>
          <w:szCs w:val="21"/>
        </w:rPr>
        <w:t>。</w:t>
      </w:r>
    </w:p>
    <w:p w14:paraId="3B3BB3B5">
      <w:pPr>
        <w:pStyle w:val="5"/>
        <w:keepNext w:val="0"/>
        <w:spacing w:line="360" w:lineRule="exact"/>
        <w:rPr>
          <w:rFonts w:ascii="宋体" w:hAnsi="宋体" w:cs="宋体"/>
          <w:color w:val="auto"/>
          <w:sz w:val="21"/>
          <w:szCs w:val="21"/>
          <w:lang w:val="zh-CN"/>
        </w:rPr>
      </w:pPr>
      <w:bookmarkStart w:id="1317" w:name="_Toc373478412"/>
      <w:bookmarkEnd w:id="1317"/>
      <w:bookmarkStart w:id="1318" w:name="_Toc373227765"/>
      <w:bookmarkEnd w:id="1318"/>
      <w:bookmarkStart w:id="1319" w:name="_Toc406054806"/>
      <w:bookmarkEnd w:id="1319"/>
      <w:bookmarkStart w:id="1320" w:name="_Toc11882"/>
      <w:bookmarkStart w:id="1321" w:name="_Toc19125"/>
      <w:bookmarkStart w:id="1322" w:name="_Toc15296"/>
      <w:bookmarkStart w:id="1323" w:name="_Toc14497"/>
      <w:bookmarkStart w:id="1324" w:name="_Toc27890"/>
      <w:r>
        <w:rPr>
          <w:rFonts w:ascii="宋体" w:hAnsi="宋体" w:cs="宋体"/>
          <w:color w:val="auto"/>
          <w:sz w:val="21"/>
          <w:szCs w:val="21"/>
          <w:lang w:val="zh-CN"/>
        </w:rPr>
        <w:t>15.4保修</w:t>
      </w:r>
      <w:bookmarkEnd w:id="1320"/>
      <w:bookmarkEnd w:id="1321"/>
      <w:bookmarkEnd w:id="1322"/>
      <w:bookmarkEnd w:id="1323"/>
      <w:bookmarkEnd w:id="1324"/>
    </w:p>
    <w:p w14:paraId="439FA394">
      <w:pPr>
        <w:spacing w:line="360" w:lineRule="exact"/>
        <w:ind w:firstLine="409"/>
        <w:jc w:val="left"/>
        <w:rPr>
          <w:rFonts w:ascii="宋体" w:hAnsi="宋体" w:cs="宋体"/>
          <w:color w:val="auto"/>
          <w:kern w:val="1"/>
          <w:szCs w:val="21"/>
        </w:rPr>
      </w:pPr>
      <w:r>
        <w:rPr>
          <w:rFonts w:ascii="宋体" w:hAnsi="宋体" w:cs="宋体"/>
          <w:color w:val="auto"/>
          <w:kern w:val="1"/>
          <w:szCs w:val="21"/>
        </w:rPr>
        <w:t>15.4.1 保修责任</w:t>
      </w:r>
    </w:p>
    <w:p w14:paraId="17E1E7ED">
      <w:pPr>
        <w:spacing w:line="360" w:lineRule="exact"/>
        <w:ind w:firstLine="409"/>
        <w:jc w:val="left"/>
        <w:rPr>
          <w:rFonts w:ascii="宋体" w:hAnsi="宋体" w:cs="宋体"/>
          <w:color w:val="auto"/>
          <w:kern w:val="1"/>
          <w:szCs w:val="21"/>
          <w:u w:val="single"/>
        </w:rPr>
      </w:pPr>
      <w:r>
        <w:rPr>
          <w:rFonts w:ascii="宋体" w:hAnsi="宋体" w:cs="宋体"/>
          <w:color w:val="auto"/>
          <w:kern w:val="1"/>
          <w:szCs w:val="21"/>
        </w:rPr>
        <w:t>工程保修期为：</w:t>
      </w:r>
      <w:r>
        <w:rPr>
          <w:rFonts w:hint="eastAsia" w:ascii="宋体" w:hAnsi="宋体" w:cs="宋体"/>
          <w:color w:val="auto"/>
          <w:kern w:val="1"/>
          <w:szCs w:val="21"/>
          <w:u w:val="single"/>
        </w:rPr>
        <w:t>（ 详见附件《工程质量保修书》 ）</w:t>
      </w:r>
      <w:r>
        <w:rPr>
          <w:rFonts w:ascii="宋体" w:hAnsi="宋体" w:cs="宋体"/>
          <w:color w:val="auto"/>
          <w:kern w:val="1"/>
          <w:szCs w:val="21"/>
        </w:rPr>
        <w:t>。</w:t>
      </w:r>
    </w:p>
    <w:p w14:paraId="67005D32">
      <w:pPr>
        <w:spacing w:line="360" w:lineRule="exact"/>
        <w:ind w:firstLine="409"/>
        <w:jc w:val="left"/>
        <w:rPr>
          <w:rFonts w:ascii="宋体" w:hAnsi="宋体" w:cs="宋体"/>
          <w:color w:val="auto"/>
          <w:kern w:val="1"/>
          <w:szCs w:val="21"/>
        </w:rPr>
      </w:pPr>
      <w:r>
        <w:rPr>
          <w:rFonts w:ascii="宋体" w:hAnsi="宋体" w:cs="宋体"/>
          <w:color w:val="auto"/>
          <w:kern w:val="1"/>
          <w:szCs w:val="21"/>
        </w:rPr>
        <w:t>15.4.3 修复通知</w:t>
      </w:r>
    </w:p>
    <w:p w14:paraId="04288E8C">
      <w:pPr>
        <w:spacing w:line="360" w:lineRule="exact"/>
        <w:ind w:firstLine="409"/>
        <w:jc w:val="left"/>
        <w:rPr>
          <w:rFonts w:ascii="宋体" w:hAnsi="宋体" w:cs="宋体"/>
          <w:color w:val="auto"/>
          <w:kern w:val="1"/>
          <w:szCs w:val="21"/>
          <w:u w:val="single"/>
        </w:rPr>
      </w:pPr>
      <w:r>
        <w:rPr>
          <w:rFonts w:ascii="宋体" w:hAnsi="宋体" w:cs="宋体"/>
          <w:color w:val="auto"/>
          <w:kern w:val="1"/>
          <w:szCs w:val="21"/>
        </w:rPr>
        <w:t>承包人收到保修通知并到达工程现场的合理时间：</w:t>
      </w:r>
      <w:r>
        <w:rPr>
          <w:rFonts w:hint="eastAsia" w:ascii="宋体" w:hAnsi="宋体" w:cs="宋体"/>
          <w:color w:val="auto"/>
          <w:kern w:val="1"/>
          <w:szCs w:val="21"/>
          <w:u w:val="single"/>
        </w:rPr>
        <w:t>3天内</w:t>
      </w:r>
      <w:r>
        <w:rPr>
          <w:rFonts w:ascii="宋体" w:hAnsi="宋体" w:cs="宋体"/>
          <w:color w:val="auto"/>
          <w:kern w:val="1"/>
          <w:szCs w:val="21"/>
        </w:rPr>
        <w:t>。</w:t>
      </w:r>
    </w:p>
    <w:p w14:paraId="03308286">
      <w:pPr>
        <w:pStyle w:val="5"/>
        <w:keepNext w:val="0"/>
        <w:spacing w:line="360" w:lineRule="exact"/>
        <w:rPr>
          <w:rFonts w:ascii="宋体" w:hAnsi="宋体" w:cs="宋体"/>
          <w:color w:val="auto"/>
          <w:sz w:val="21"/>
          <w:szCs w:val="21"/>
          <w:lang w:val="zh-CN"/>
        </w:rPr>
      </w:pPr>
      <w:bookmarkStart w:id="1325" w:name="_Toc373227766"/>
      <w:bookmarkEnd w:id="1325"/>
      <w:bookmarkStart w:id="1326" w:name="_Toc373478413"/>
      <w:bookmarkEnd w:id="1326"/>
      <w:bookmarkStart w:id="1327" w:name="_Toc406054807"/>
      <w:bookmarkEnd w:id="1327"/>
      <w:bookmarkStart w:id="1328" w:name="_Toc3293"/>
      <w:bookmarkStart w:id="1329" w:name="_Toc17838"/>
      <w:bookmarkStart w:id="1330" w:name="_Toc3204"/>
      <w:bookmarkStart w:id="1331" w:name="_Toc2441"/>
      <w:bookmarkStart w:id="1332" w:name="_Toc18533"/>
      <w:r>
        <w:rPr>
          <w:rFonts w:ascii="宋体" w:hAnsi="宋体" w:cs="宋体"/>
          <w:color w:val="auto"/>
          <w:sz w:val="21"/>
          <w:szCs w:val="21"/>
          <w:lang w:val="zh-CN"/>
        </w:rPr>
        <w:t>16. 违约</w:t>
      </w:r>
      <w:bookmarkEnd w:id="1328"/>
      <w:bookmarkEnd w:id="1329"/>
      <w:bookmarkEnd w:id="1330"/>
      <w:bookmarkEnd w:id="1331"/>
      <w:bookmarkEnd w:id="1332"/>
    </w:p>
    <w:p w14:paraId="161E0D35">
      <w:pPr>
        <w:pStyle w:val="5"/>
        <w:keepNext w:val="0"/>
        <w:spacing w:line="360" w:lineRule="exact"/>
        <w:rPr>
          <w:rFonts w:ascii="宋体" w:hAnsi="宋体" w:cs="宋体"/>
          <w:color w:val="auto"/>
          <w:sz w:val="21"/>
          <w:szCs w:val="21"/>
          <w:lang w:val="zh-CN"/>
        </w:rPr>
      </w:pPr>
      <w:bookmarkStart w:id="1333" w:name="_Toc373227767"/>
      <w:bookmarkEnd w:id="1333"/>
      <w:bookmarkStart w:id="1334" w:name="_Toc406054808"/>
      <w:bookmarkEnd w:id="1334"/>
      <w:bookmarkStart w:id="1335" w:name="_Toc373478414"/>
      <w:bookmarkEnd w:id="1335"/>
      <w:bookmarkStart w:id="1336" w:name="_Toc444"/>
      <w:bookmarkStart w:id="1337" w:name="_Toc8166"/>
      <w:bookmarkStart w:id="1338" w:name="_Toc30131"/>
      <w:bookmarkStart w:id="1339" w:name="_Toc7678"/>
      <w:bookmarkStart w:id="1340" w:name="_Toc5812"/>
      <w:r>
        <w:rPr>
          <w:rFonts w:ascii="宋体" w:hAnsi="宋体" w:cs="宋体"/>
          <w:color w:val="auto"/>
          <w:sz w:val="21"/>
          <w:szCs w:val="21"/>
          <w:lang w:val="zh-CN"/>
        </w:rPr>
        <w:t>16.1 发包人违约</w:t>
      </w:r>
      <w:bookmarkEnd w:id="1336"/>
      <w:bookmarkEnd w:id="1337"/>
      <w:bookmarkEnd w:id="1338"/>
      <w:bookmarkEnd w:id="1339"/>
      <w:bookmarkEnd w:id="1340"/>
    </w:p>
    <w:p w14:paraId="643B05E5">
      <w:pPr>
        <w:spacing w:line="360" w:lineRule="exact"/>
        <w:ind w:firstLine="420"/>
        <w:jc w:val="left"/>
        <w:rPr>
          <w:rFonts w:ascii="宋体" w:hAnsi="宋体" w:cs="宋体"/>
          <w:color w:val="auto"/>
          <w:kern w:val="1"/>
          <w:szCs w:val="21"/>
        </w:rPr>
      </w:pPr>
      <w:r>
        <w:rPr>
          <w:rFonts w:ascii="宋体" w:hAnsi="宋体" w:cs="宋体"/>
          <w:color w:val="auto"/>
          <w:kern w:val="1"/>
          <w:szCs w:val="21"/>
        </w:rPr>
        <w:t>16.1.1发包人违约的情形</w:t>
      </w:r>
    </w:p>
    <w:p w14:paraId="3D4B3B5D">
      <w:pPr>
        <w:spacing w:line="360" w:lineRule="exact"/>
        <w:ind w:firstLine="420"/>
        <w:jc w:val="left"/>
        <w:rPr>
          <w:rFonts w:ascii="宋体" w:hAnsi="宋体" w:cs="宋体"/>
          <w:color w:val="auto"/>
          <w:kern w:val="1"/>
          <w:szCs w:val="21"/>
        </w:rPr>
      </w:pPr>
      <w:r>
        <w:rPr>
          <w:rFonts w:ascii="宋体" w:hAnsi="宋体" w:cs="宋体"/>
          <w:color w:val="auto"/>
          <w:kern w:val="1"/>
          <w:szCs w:val="21"/>
        </w:rPr>
        <w:t>发包人违约的其他情形：</w:t>
      </w:r>
      <w:r>
        <w:rPr>
          <w:rFonts w:hint="eastAsia" w:ascii="宋体" w:hAnsi="宋体" w:cs="宋体"/>
          <w:color w:val="auto"/>
          <w:kern w:val="1"/>
          <w:szCs w:val="21"/>
          <w:u w:val="single"/>
        </w:rPr>
        <w:t>无</w:t>
      </w:r>
      <w:r>
        <w:rPr>
          <w:rFonts w:ascii="宋体" w:hAnsi="宋体" w:cs="宋体"/>
          <w:color w:val="auto"/>
          <w:kern w:val="1"/>
          <w:szCs w:val="21"/>
        </w:rPr>
        <w:t>。</w:t>
      </w:r>
    </w:p>
    <w:p w14:paraId="7B2DF0ED">
      <w:pPr>
        <w:spacing w:line="360" w:lineRule="exact"/>
        <w:ind w:firstLine="420"/>
        <w:jc w:val="left"/>
        <w:rPr>
          <w:rFonts w:ascii="宋体" w:hAnsi="宋体" w:cs="宋体"/>
          <w:color w:val="auto"/>
          <w:kern w:val="1"/>
          <w:szCs w:val="21"/>
        </w:rPr>
      </w:pPr>
      <w:r>
        <w:rPr>
          <w:rFonts w:ascii="宋体" w:hAnsi="宋体" w:cs="宋体"/>
          <w:color w:val="auto"/>
          <w:kern w:val="1"/>
          <w:szCs w:val="21"/>
        </w:rPr>
        <w:t>16.1.2 发包人违约的责任</w:t>
      </w:r>
    </w:p>
    <w:p w14:paraId="1ED390FD">
      <w:pPr>
        <w:spacing w:line="360" w:lineRule="exact"/>
        <w:ind w:firstLine="420"/>
        <w:jc w:val="left"/>
        <w:rPr>
          <w:rFonts w:ascii="宋体" w:hAnsi="宋体" w:cs="宋体"/>
          <w:color w:val="auto"/>
          <w:kern w:val="1"/>
          <w:szCs w:val="21"/>
        </w:rPr>
      </w:pPr>
      <w:r>
        <w:rPr>
          <w:rFonts w:ascii="宋体" w:hAnsi="宋体" w:cs="宋体"/>
          <w:color w:val="auto"/>
          <w:kern w:val="1"/>
          <w:szCs w:val="21"/>
        </w:rPr>
        <w:t>发包人违约责任的承担方式和计算方法：</w:t>
      </w:r>
    </w:p>
    <w:p w14:paraId="7E0E8DC4">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（1）因发包人原因未能在计划开工日期前7天内下达开工通知的违约责任：</w:t>
      </w:r>
      <w:r>
        <w:rPr>
          <w:rFonts w:hint="eastAsia" w:ascii="宋体" w:hAnsi="宋体" w:cs="宋体"/>
          <w:color w:val="auto"/>
          <w:kern w:val="1"/>
          <w:szCs w:val="21"/>
          <w:u w:val="single"/>
        </w:rPr>
        <w:t>无</w:t>
      </w:r>
      <w:r>
        <w:rPr>
          <w:rFonts w:ascii="宋体" w:hAnsi="宋体" w:cs="宋体"/>
          <w:color w:val="auto"/>
          <w:kern w:val="1"/>
          <w:szCs w:val="21"/>
        </w:rPr>
        <w:t>。</w:t>
      </w:r>
    </w:p>
    <w:p w14:paraId="59B7E8F3">
      <w:pPr>
        <w:spacing w:line="360" w:lineRule="exact"/>
        <w:ind w:firstLine="420"/>
        <w:jc w:val="left"/>
        <w:rPr>
          <w:rFonts w:ascii="宋体" w:hAnsi="宋体" w:cs="宋体"/>
          <w:color w:val="auto"/>
          <w:kern w:val="1"/>
          <w:szCs w:val="21"/>
        </w:rPr>
      </w:pPr>
      <w:r>
        <w:rPr>
          <w:rFonts w:ascii="宋体" w:hAnsi="宋体" w:cs="宋体"/>
          <w:color w:val="auto"/>
          <w:kern w:val="1"/>
          <w:szCs w:val="21"/>
        </w:rPr>
        <w:t>（2）因发包人原因未能按合同约定支付合同价款的违约责任：</w:t>
      </w:r>
      <w:r>
        <w:rPr>
          <w:rFonts w:hint="eastAsia" w:ascii="宋体" w:hAnsi="宋体" w:cs="宋体"/>
          <w:color w:val="auto"/>
          <w:kern w:val="1"/>
          <w:szCs w:val="21"/>
          <w:u w:val="single"/>
        </w:rPr>
        <w:t>无</w:t>
      </w:r>
      <w:r>
        <w:rPr>
          <w:rFonts w:ascii="宋体" w:hAnsi="宋体" w:cs="宋体"/>
          <w:color w:val="auto"/>
          <w:kern w:val="1"/>
          <w:szCs w:val="21"/>
        </w:rPr>
        <w:t>。</w:t>
      </w:r>
    </w:p>
    <w:p w14:paraId="5309F2B9">
      <w:pPr>
        <w:spacing w:line="360" w:lineRule="exact"/>
        <w:ind w:firstLine="420"/>
        <w:jc w:val="left"/>
        <w:rPr>
          <w:rFonts w:ascii="宋体" w:hAnsi="宋体" w:cs="宋体"/>
          <w:color w:val="auto"/>
          <w:kern w:val="1"/>
          <w:szCs w:val="21"/>
        </w:rPr>
      </w:pPr>
      <w:r>
        <w:rPr>
          <w:rFonts w:ascii="宋体" w:hAnsi="宋体" w:cs="宋体"/>
          <w:color w:val="auto"/>
          <w:kern w:val="1"/>
          <w:szCs w:val="21"/>
        </w:rPr>
        <w:t>（3）发包人违反第10.1款〔变更的范围〕第（2）项约定，自行实施被取消的工作或转由他人实施的违约责任：</w:t>
      </w:r>
      <w:r>
        <w:rPr>
          <w:rFonts w:hint="eastAsia" w:ascii="宋体" w:hAnsi="宋体" w:cs="宋体"/>
          <w:color w:val="auto"/>
          <w:kern w:val="1"/>
          <w:szCs w:val="21"/>
          <w:u w:val="single"/>
        </w:rPr>
        <w:t>无</w:t>
      </w:r>
      <w:r>
        <w:rPr>
          <w:rFonts w:ascii="宋体" w:hAnsi="宋体" w:cs="宋体"/>
          <w:color w:val="auto"/>
          <w:kern w:val="1"/>
          <w:szCs w:val="21"/>
        </w:rPr>
        <w:t>。</w:t>
      </w:r>
    </w:p>
    <w:p w14:paraId="6EFD70EA">
      <w:pPr>
        <w:spacing w:line="360" w:lineRule="exact"/>
        <w:ind w:firstLine="420"/>
        <w:jc w:val="left"/>
        <w:rPr>
          <w:rFonts w:ascii="宋体" w:hAnsi="宋体" w:cs="宋体"/>
          <w:color w:val="auto"/>
          <w:kern w:val="1"/>
          <w:szCs w:val="21"/>
        </w:rPr>
      </w:pPr>
      <w:r>
        <w:rPr>
          <w:rFonts w:ascii="宋体" w:hAnsi="宋体" w:cs="宋体"/>
          <w:color w:val="auto"/>
          <w:kern w:val="1"/>
          <w:szCs w:val="21"/>
        </w:rPr>
        <w:t>（4）发包人提供的材料、工程设备的规格、数量或质量不符合合同约定，或因发包人原因导致交货日期延误或交货地点变更等情况的违约责任：</w:t>
      </w:r>
      <w:r>
        <w:rPr>
          <w:rFonts w:hint="eastAsia" w:ascii="宋体" w:hAnsi="宋体" w:cs="宋体"/>
          <w:color w:val="auto"/>
          <w:kern w:val="1"/>
          <w:szCs w:val="21"/>
          <w:u w:val="single"/>
        </w:rPr>
        <w:t>发包人负责退货，工期顺延，但不承担工期延误的费用</w:t>
      </w:r>
      <w:r>
        <w:rPr>
          <w:rFonts w:ascii="宋体" w:hAnsi="宋体" w:cs="宋体"/>
          <w:color w:val="auto"/>
          <w:kern w:val="1"/>
          <w:szCs w:val="21"/>
        </w:rPr>
        <w:t>。</w:t>
      </w:r>
    </w:p>
    <w:p w14:paraId="7A37BA84">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（5）因发包人违反合同约定造成暂停施工的违约责任：</w:t>
      </w:r>
      <w:r>
        <w:rPr>
          <w:rFonts w:hint="eastAsia" w:ascii="宋体" w:hAnsi="宋体" w:cs="宋体"/>
          <w:color w:val="auto"/>
          <w:kern w:val="1"/>
          <w:szCs w:val="21"/>
          <w:u w:val="single"/>
        </w:rPr>
        <w:t>工期顺延，不承担费用补偿</w:t>
      </w:r>
      <w:r>
        <w:rPr>
          <w:rFonts w:ascii="宋体" w:hAnsi="宋体" w:cs="宋体"/>
          <w:color w:val="auto"/>
          <w:kern w:val="1"/>
          <w:szCs w:val="21"/>
        </w:rPr>
        <w:t>。</w:t>
      </w:r>
    </w:p>
    <w:p w14:paraId="6B40B17A">
      <w:pPr>
        <w:spacing w:line="360" w:lineRule="exact"/>
        <w:ind w:firstLine="420"/>
        <w:jc w:val="left"/>
        <w:rPr>
          <w:rFonts w:ascii="宋体" w:hAnsi="宋体" w:cs="宋体"/>
          <w:color w:val="auto"/>
          <w:kern w:val="1"/>
          <w:szCs w:val="21"/>
        </w:rPr>
      </w:pPr>
      <w:r>
        <w:rPr>
          <w:rFonts w:ascii="宋体" w:hAnsi="宋体" w:cs="宋体"/>
          <w:color w:val="auto"/>
          <w:kern w:val="1"/>
          <w:szCs w:val="21"/>
        </w:rPr>
        <w:t>（6）发包人无正当理由没有在约定期限内发出复工指示，导致承包人无法复工的违约责任：</w:t>
      </w:r>
      <w:r>
        <w:rPr>
          <w:rFonts w:hint="eastAsia" w:ascii="宋体" w:hAnsi="宋体" w:cs="宋体"/>
          <w:color w:val="auto"/>
          <w:kern w:val="1"/>
          <w:szCs w:val="21"/>
          <w:u w:val="single"/>
        </w:rPr>
        <w:t>工期顺延，但不承担费用补偿</w:t>
      </w:r>
      <w:r>
        <w:rPr>
          <w:rFonts w:ascii="宋体" w:hAnsi="宋体" w:cs="宋体"/>
          <w:color w:val="auto"/>
          <w:kern w:val="1"/>
          <w:szCs w:val="21"/>
        </w:rPr>
        <w:t>。</w:t>
      </w:r>
    </w:p>
    <w:p w14:paraId="28F119C4">
      <w:pPr>
        <w:spacing w:line="360" w:lineRule="exact"/>
        <w:ind w:firstLine="420"/>
        <w:jc w:val="left"/>
        <w:rPr>
          <w:rFonts w:ascii="宋体" w:hAnsi="宋体" w:cs="宋体"/>
          <w:color w:val="auto"/>
          <w:kern w:val="1"/>
          <w:szCs w:val="21"/>
        </w:rPr>
      </w:pPr>
      <w:r>
        <w:rPr>
          <w:rFonts w:ascii="宋体" w:hAnsi="宋体" w:cs="宋体"/>
          <w:color w:val="auto"/>
          <w:kern w:val="1"/>
          <w:szCs w:val="21"/>
        </w:rPr>
        <w:t>（7）其他：</w:t>
      </w:r>
      <w:r>
        <w:rPr>
          <w:rFonts w:hint="eastAsia" w:ascii="宋体" w:hAnsi="宋体" w:cs="宋体"/>
          <w:color w:val="auto"/>
          <w:kern w:val="1"/>
          <w:szCs w:val="21"/>
          <w:u w:val="single"/>
        </w:rPr>
        <w:t>无</w:t>
      </w:r>
      <w:r>
        <w:rPr>
          <w:rFonts w:ascii="宋体" w:hAnsi="宋体" w:cs="宋体"/>
          <w:color w:val="auto"/>
          <w:kern w:val="1"/>
          <w:szCs w:val="21"/>
        </w:rPr>
        <w:t>。</w:t>
      </w:r>
    </w:p>
    <w:p w14:paraId="0061E6E5">
      <w:pPr>
        <w:spacing w:line="360" w:lineRule="exact"/>
        <w:ind w:firstLine="420"/>
        <w:jc w:val="left"/>
        <w:rPr>
          <w:rFonts w:ascii="宋体" w:hAnsi="宋体" w:cs="宋体"/>
          <w:color w:val="auto"/>
          <w:kern w:val="1"/>
          <w:szCs w:val="21"/>
        </w:rPr>
      </w:pPr>
      <w:r>
        <w:rPr>
          <w:rFonts w:ascii="宋体" w:hAnsi="宋体" w:cs="宋体"/>
          <w:color w:val="auto"/>
          <w:kern w:val="1"/>
          <w:szCs w:val="21"/>
        </w:rPr>
        <w:t>16.1.3 因发包人违约解除合同</w:t>
      </w:r>
    </w:p>
    <w:p w14:paraId="023BECDB">
      <w:pPr>
        <w:spacing w:line="360" w:lineRule="exact"/>
        <w:ind w:firstLine="420"/>
        <w:jc w:val="left"/>
        <w:rPr>
          <w:rFonts w:ascii="宋体" w:hAnsi="宋体" w:cs="宋体"/>
          <w:color w:val="auto"/>
          <w:kern w:val="1"/>
          <w:szCs w:val="21"/>
        </w:rPr>
      </w:pPr>
      <w:r>
        <w:rPr>
          <w:rFonts w:ascii="宋体" w:hAnsi="宋体" w:cs="宋体"/>
          <w:color w:val="auto"/>
          <w:kern w:val="1"/>
          <w:szCs w:val="21"/>
        </w:rPr>
        <w:t>承包人按16.1.1项〔发包人违约的情形〕约定暂停施工满</w:t>
      </w:r>
      <w:r>
        <w:rPr>
          <w:rFonts w:hint="eastAsia" w:ascii="宋体" w:hAnsi="宋体" w:cs="宋体"/>
          <w:color w:val="auto"/>
          <w:kern w:val="1"/>
          <w:szCs w:val="21"/>
          <w:u w:val="single"/>
        </w:rPr>
        <w:t xml:space="preserve"> 五</w:t>
      </w:r>
      <w:r>
        <w:rPr>
          <w:rFonts w:hint="eastAsia"/>
          <w:color w:val="auto"/>
          <w:u w:val="single"/>
        </w:rPr>
        <w:t xml:space="preserve"> </w:t>
      </w:r>
      <w:r>
        <w:rPr>
          <w:rFonts w:ascii="宋体" w:hAnsi="宋体" w:cs="宋体"/>
          <w:color w:val="auto"/>
          <w:kern w:val="1"/>
          <w:szCs w:val="21"/>
        </w:rPr>
        <w:t>天后发包人仍不纠正其违约行为并致使合同目的不能实现的，承包人有权解除合同。</w:t>
      </w:r>
    </w:p>
    <w:p w14:paraId="50F98C3F">
      <w:pPr>
        <w:pStyle w:val="5"/>
        <w:keepNext w:val="0"/>
        <w:spacing w:line="360" w:lineRule="exact"/>
        <w:rPr>
          <w:rFonts w:ascii="宋体" w:hAnsi="宋体" w:cs="宋体"/>
          <w:color w:val="auto"/>
          <w:sz w:val="21"/>
          <w:szCs w:val="21"/>
          <w:lang w:val="zh-CN"/>
        </w:rPr>
      </w:pPr>
      <w:bookmarkStart w:id="1341" w:name="_Toc373478415"/>
      <w:bookmarkEnd w:id="1341"/>
      <w:bookmarkStart w:id="1342" w:name="_Toc373227768"/>
      <w:bookmarkEnd w:id="1342"/>
      <w:bookmarkStart w:id="1343" w:name="_Toc406054809"/>
      <w:bookmarkEnd w:id="1343"/>
      <w:bookmarkStart w:id="1344" w:name="_Toc28351"/>
      <w:bookmarkStart w:id="1345" w:name="_Toc3795"/>
      <w:bookmarkStart w:id="1346" w:name="_Toc16753"/>
      <w:bookmarkStart w:id="1347" w:name="_Toc26661"/>
      <w:bookmarkStart w:id="1348" w:name="_Toc14189"/>
      <w:r>
        <w:rPr>
          <w:rFonts w:ascii="宋体" w:hAnsi="宋体" w:cs="宋体"/>
          <w:color w:val="auto"/>
          <w:sz w:val="21"/>
          <w:szCs w:val="21"/>
          <w:lang w:val="zh-CN"/>
        </w:rPr>
        <w:t>16.2 承包人违约</w:t>
      </w:r>
      <w:bookmarkEnd w:id="1344"/>
      <w:bookmarkEnd w:id="1345"/>
      <w:bookmarkEnd w:id="1346"/>
      <w:bookmarkEnd w:id="1347"/>
      <w:bookmarkEnd w:id="1348"/>
    </w:p>
    <w:p w14:paraId="44935B8D">
      <w:pPr>
        <w:spacing w:line="360" w:lineRule="exact"/>
        <w:ind w:firstLine="420"/>
        <w:jc w:val="left"/>
        <w:rPr>
          <w:rFonts w:ascii="宋体" w:hAnsi="宋体" w:cs="宋体"/>
          <w:color w:val="auto"/>
          <w:kern w:val="1"/>
          <w:szCs w:val="21"/>
        </w:rPr>
      </w:pPr>
      <w:r>
        <w:rPr>
          <w:rFonts w:ascii="宋体" w:hAnsi="宋体" w:cs="宋体"/>
          <w:color w:val="auto"/>
          <w:kern w:val="1"/>
          <w:szCs w:val="21"/>
        </w:rPr>
        <w:t>16.2.1 承包人违约的情形</w:t>
      </w:r>
    </w:p>
    <w:p w14:paraId="7CDC41F3">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承包人违约的其他情形：</w:t>
      </w:r>
      <w:r>
        <w:rPr>
          <w:rFonts w:hint="eastAsia" w:ascii="宋体" w:hAnsi="宋体" w:cs="宋体"/>
          <w:color w:val="auto"/>
          <w:kern w:val="1"/>
          <w:szCs w:val="21"/>
          <w:u w:val="single"/>
        </w:rPr>
        <w:t>非承包人原因发生的工程事故，承包人不积极采取措施，导致经济损失扩大</w:t>
      </w:r>
      <w:r>
        <w:rPr>
          <w:rFonts w:ascii="宋体" w:hAnsi="宋体" w:cs="宋体"/>
          <w:color w:val="auto"/>
          <w:kern w:val="1"/>
          <w:szCs w:val="21"/>
        </w:rPr>
        <w:t>。</w:t>
      </w:r>
    </w:p>
    <w:p w14:paraId="6226264F">
      <w:pPr>
        <w:spacing w:line="360" w:lineRule="exact"/>
        <w:ind w:firstLine="420"/>
        <w:jc w:val="left"/>
        <w:rPr>
          <w:rFonts w:ascii="宋体" w:hAnsi="宋体" w:cs="宋体"/>
          <w:color w:val="auto"/>
          <w:kern w:val="1"/>
          <w:szCs w:val="21"/>
        </w:rPr>
      </w:pPr>
      <w:r>
        <w:rPr>
          <w:rFonts w:ascii="宋体" w:hAnsi="宋体" w:cs="宋体"/>
          <w:color w:val="auto"/>
          <w:kern w:val="1"/>
          <w:szCs w:val="21"/>
        </w:rPr>
        <w:t>16.2.2承包人违约的责任</w:t>
      </w:r>
    </w:p>
    <w:p w14:paraId="69BF89B4">
      <w:pPr>
        <w:spacing w:line="360" w:lineRule="exact"/>
        <w:ind w:firstLine="420"/>
        <w:jc w:val="left"/>
        <w:rPr>
          <w:rFonts w:ascii="宋体" w:hAnsi="宋体" w:cs="宋体"/>
          <w:color w:val="auto"/>
          <w:kern w:val="1"/>
          <w:szCs w:val="21"/>
        </w:rPr>
      </w:pPr>
      <w:r>
        <w:rPr>
          <w:rFonts w:ascii="宋体" w:hAnsi="宋体" w:cs="宋体"/>
          <w:color w:val="auto"/>
          <w:kern w:val="1"/>
          <w:szCs w:val="21"/>
        </w:rPr>
        <w:t>承包人违约责任的承担方式和计算方法：</w:t>
      </w:r>
    </w:p>
    <w:p w14:paraId="2D2412A6">
      <w:pPr>
        <w:spacing w:line="360" w:lineRule="exact"/>
        <w:ind w:firstLine="420"/>
        <w:jc w:val="left"/>
        <w:rPr>
          <w:rFonts w:ascii="宋体" w:hAnsi="宋体" w:cs="宋体"/>
          <w:color w:val="auto"/>
          <w:kern w:val="1"/>
          <w:szCs w:val="21"/>
        </w:rPr>
      </w:pPr>
      <w:r>
        <w:rPr>
          <w:rFonts w:hint="eastAsia" w:ascii="宋体" w:hAnsi="宋体" w:cs="宋体"/>
          <w:color w:val="auto"/>
          <w:kern w:val="1"/>
          <w:szCs w:val="21"/>
        </w:rPr>
        <w:t>（1）承包人未按本合同通用条款第16.2.1条内容完成的，承包人无条件返工处理，修复至工程质量要求并承担相关费用，并在发包人规定的时间内完成返工，否则发包人有权要求承包人按该分项工程10%的工程款支付违约金。</w:t>
      </w:r>
    </w:p>
    <w:p w14:paraId="4A50032E">
      <w:pPr>
        <w:spacing w:line="360" w:lineRule="exact"/>
        <w:ind w:firstLine="420"/>
        <w:jc w:val="left"/>
        <w:rPr>
          <w:rFonts w:ascii="宋体" w:hAnsi="宋体" w:cs="宋体"/>
          <w:color w:val="auto"/>
          <w:kern w:val="1"/>
          <w:szCs w:val="21"/>
        </w:rPr>
      </w:pPr>
      <w:r>
        <w:rPr>
          <w:rFonts w:hint="eastAsia" w:ascii="宋体" w:hAnsi="宋体" w:cs="宋体"/>
          <w:color w:val="auto"/>
          <w:kern w:val="1"/>
          <w:szCs w:val="21"/>
        </w:rPr>
        <w:t>（2）承包人有本合同通用条款第16.2.1情形的，或经监理人检验认为修复质量不合格而承包人拒绝再进行修补的，发包人将扣除承包人全部质量保修金。</w:t>
      </w:r>
    </w:p>
    <w:p w14:paraId="7CB7469D">
      <w:pPr>
        <w:spacing w:line="360" w:lineRule="exact"/>
        <w:ind w:firstLine="420"/>
        <w:jc w:val="left"/>
        <w:rPr>
          <w:rFonts w:ascii="宋体" w:hAnsi="宋体" w:cs="宋体"/>
          <w:color w:val="auto"/>
          <w:kern w:val="1"/>
          <w:szCs w:val="21"/>
        </w:rPr>
      </w:pPr>
      <w:r>
        <w:rPr>
          <w:rFonts w:hint="eastAsia" w:ascii="宋体" w:hAnsi="宋体" w:cs="宋体"/>
          <w:color w:val="auto"/>
          <w:kern w:val="1"/>
          <w:szCs w:val="21"/>
        </w:rPr>
        <w:t>（3）</w:t>
      </w:r>
      <w:r>
        <w:rPr>
          <w:rFonts w:ascii="宋体" w:hAnsi="宋体" w:cs="宋体"/>
          <w:color w:val="auto"/>
          <w:kern w:val="1"/>
          <w:szCs w:val="21"/>
        </w:rPr>
        <w:t>承包人有本专用合同条款3.2、3.3条违约责任的，发包人有权扣除承包人的违约金。违约金金额</w:t>
      </w:r>
      <w:r>
        <w:rPr>
          <w:rFonts w:hint="eastAsia" w:ascii="宋体" w:hAnsi="宋体" w:cs="宋体"/>
          <w:color w:val="auto"/>
          <w:kern w:val="1"/>
          <w:szCs w:val="21"/>
        </w:rPr>
        <w:t>可</w:t>
      </w:r>
      <w:r>
        <w:rPr>
          <w:rFonts w:ascii="宋体" w:hAnsi="宋体" w:cs="宋体"/>
          <w:color w:val="auto"/>
          <w:kern w:val="1"/>
          <w:szCs w:val="21"/>
        </w:rPr>
        <w:t>在承包人的履约保证金及计量支付款内扣除。监理人预先下发含有</w:t>
      </w:r>
      <w:r>
        <w:rPr>
          <w:rFonts w:hint="eastAsia" w:ascii="宋体" w:hAnsi="宋体" w:cs="宋体"/>
          <w:color w:val="auto"/>
          <w:kern w:val="1"/>
          <w:szCs w:val="21"/>
        </w:rPr>
        <w:t>认定违约</w:t>
      </w:r>
      <w:r>
        <w:rPr>
          <w:rFonts w:ascii="宋体" w:hAnsi="宋体" w:cs="宋体"/>
          <w:color w:val="auto"/>
          <w:kern w:val="1"/>
          <w:szCs w:val="21"/>
        </w:rPr>
        <w:t>意向的指令，如承包人不及时采取措施纠正，则在指令下达后十五天下</w:t>
      </w:r>
      <w:r>
        <w:rPr>
          <w:rFonts w:hint="eastAsia" w:ascii="宋体" w:hAnsi="宋体" w:cs="宋体"/>
          <w:color w:val="auto"/>
          <w:kern w:val="1"/>
          <w:szCs w:val="21"/>
        </w:rPr>
        <w:t>达支付违约金</w:t>
      </w:r>
      <w:r>
        <w:rPr>
          <w:rFonts w:ascii="宋体" w:hAnsi="宋体" w:cs="宋体"/>
          <w:color w:val="auto"/>
          <w:kern w:val="1"/>
          <w:szCs w:val="21"/>
        </w:rPr>
        <w:t>通知书（不再陈述</w:t>
      </w:r>
      <w:r>
        <w:rPr>
          <w:rFonts w:hint="eastAsia" w:ascii="宋体" w:hAnsi="宋体" w:cs="宋体"/>
          <w:color w:val="auto"/>
          <w:kern w:val="1"/>
          <w:szCs w:val="21"/>
        </w:rPr>
        <w:t>违约情形</w:t>
      </w:r>
      <w:r>
        <w:rPr>
          <w:rFonts w:ascii="宋体" w:hAnsi="宋体" w:cs="宋体"/>
          <w:color w:val="auto"/>
          <w:kern w:val="1"/>
          <w:szCs w:val="21"/>
        </w:rPr>
        <w:t>）。承包人履约保证金被</w:t>
      </w:r>
      <w:r>
        <w:rPr>
          <w:rFonts w:hint="eastAsia" w:ascii="宋体" w:hAnsi="宋体" w:cs="宋体"/>
          <w:color w:val="auto"/>
          <w:kern w:val="1"/>
          <w:szCs w:val="21"/>
        </w:rPr>
        <w:t>扣除</w:t>
      </w:r>
      <w:r>
        <w:rPr>
          <w:rFonts w:ascii="宋体" w:hAnsi="宋体" w:cs="宋体"/>
          <w:color w:val="auto"/>
          <w:kern w:val="1"/>
          <w:szCs w:val="21"/>
        </w:rPr>
        <w:t>后由发包人从最后一次计量时</w:t>
      </w:r>
      <w:r>
        <w:rPr>
          <w:rFonts w:hint="eastAsia" w:ascii="宋体" w:hAnsi="宋体" w:cs="宋体"/>
          <w:color w:val="auto"/>
          <w:kern w:val="1"/>
          <w:szCs w:val="21"/>
        </w:rPr>
        <w:t>扣除</w:t>
      </w:r>
      <w:r>
        <w:rPr>
          <w:rFonts w:ascii="宋体" w:hAnsi="宋体" w:cs="宋体"/>
          <w:color w:val="auto"/>
          <w:kern w:val="1"/>
          <w:szCs w:val="21"/>
        </w:rPr>
        <w:t>相应金额补足履约保证金。承包人在合同期内，完成合同规定的全部工程，且质量合格，在本工程施工竣工验收后十五天内可申请返还全部或部分</w:t>
      </w:r>
      <w:r>
        <w:rPr>
          <w:rFonts w:hint="eastAsia" w:ascii="宋体" w:hAnsi="宋体" w:cs="宋体"/>
          <w:color w:val="auto"/>
          <w:kern w:val="1"/>
          <w:szCs w:val="21"/>
        </w:rPr>
        <w:t>违约金</w:t>
      </w:r>
      <w:r>
        <w:rPr>
          <w:rFonts w:ascii="宋体" w:hAnsi="宋体" w:cs="宋体"/>
          <w:color w:val="auto"/>
          <w:kern w:val="1"/>
          <w:szCs w:val="21"/>
        </w:rPr>
        <w:t>，返还金额由监理人审核，发包人批准。</w:t>
      </w:r>
      <w:r>
        <w:rPr>
          <w:rFonts w:hint="eastAsia" w:ascii="宋体" w:hAnsi="宋体" w:cs="宋体"/>
          <w:color w:val="auto"/>
          <w:kern w:val="1"/>
          <w:szCs w:val="21"/>
        </w:rPr>
        <w:t>违约金</w:t>
      </w:r>
      <w:r>
        <w:rPr>
          <w:rFonts w:ascii="宋体" w:hAnsi="宋体" w:cs="宋体"/>
          <w:color w:val="auto"/>
          <w:kern w:val="1"/>
          <w:szCs w:val="21"/>
        </w:rPr>
        <w:t>额返还时不</w:t>
      </w:r>
      <w:r>
        <w:rPr>
          <w:rFonts w:hint="eastAsia" w:ascii="宋体" w:hAnsi="宋体" w:cs="宋体"/>
          <w:color w:val="auto"/>
          <w:kern w:val="1"/>
          <w:szCs w:val="21"/>
        </w:rPr>
        <w:t>计</w:t>
      </w:r>
      <w:r>
        <w:rPr>
          <w:rFonts w:ascii="宋体" w:hAnsi="宋体" w:cs="宋体"/>
          <w:color w:val="auto"/>
          <w:kern w:val="1"/>
          <w:szCs w:val="21"/>
        </w:rPr>
        <w:t>利息。</w:t>
      </w:r>
    </w:p>
    <w:p w14:paraId="4927C5A2">
      <w:pPr>
        <w:spacing w:line="360" w:lineRule="exact"/>
        <w:ind w:firstLine="420"/>
        <w:jc w:val="left"/>
        <w:rPr>
          <w:rFonts w:ascii="宋体" w:hAnsi="宋体" w:cs="宋体"/>
          <w:color w:val="auto"/>
          <w:kern w:val="1"/>
          <w:szCs w:val="21"/>
        </w:rPr>
      </w:pPr>
      <w:r>
        <w:rPr>
          <w:rFonts w:ascii="宋体" w:hAnsi="宋体" w:cs="宋体"/>
          <w:color w:val="auto"/>
          <w:kern w:val="1"/>
          <w:szCs w:val="21"/>
        </w:rPr>
        <w:t>16.2.3 因承包人违约解除合同</w:t>
      </w:r>
    </w:p>
    <w:p w14:paraId="2D426C99">
      <w:pPr>
        <w:spacing w:line="360" w:lineRule="exact"/>
        <w:ind w:firstLine="420"/>
        <w:jc w:val="left"/>
        <w:rPr>
          <w:rFonts w:hint="eastAsia" w:ascii="宋体" w:hAnsi="宋体" w:cs="宋体"/>
          <w:color w:val="auto"/>
          <w:kern w:val="1"/>
          <w:szCs w:val="21"/>
          <w:u w:val="single"/>
        </w:rPr>
      </w:pPr>
      <w:r>
        <w:rPr>
          <w:rFonts w:ascii="宋体" w:hAnsi="宋体" w:cs="宋体"/>
          <w:color w:val="auto"/>
          <w:kern w:val="1"/>
          <w:szCs w:val="21"/>
        </w:rPr>
        <w:t>关于承包人违约解除合同的特别约定：</w:t>
      </w:r>
      <w:r>
        <w:rPr>
          <w:rFonts w:ascii="宋体" w:hAnsi="宋体" w:cs="宋体"/>
          <w:color w:val="auto"/>
          <w:kern w:val="1"/>
          <w:szCs w:val="21"/>
          <w:u w:val="single"/>
        </w:rPr>
        <w:t>承包人有违反以下情况之一的，发包人有权解除合同，并没收其全部履约保证金</w:t>
      </w:r>
      <w:r>
        <w:rPr>
          <w:rFonts w:hint="eastAsia" w:ascii="宋体" w:hAnsi="宋体" w:cs="宋体"/>
          <w:color w:val="auto"/>
          <w:kern w:val="1"/>
          <w:szCs w:val="21"/>
          <w:u w:val="single"/>
        </w:rPr>
        <w:t>；解除合同后，已完成的工程量一律80%计付工程款。</w:t>
      </w:r>
    </w:p>
    <w:p w14:paraId="0729868E">
      <w:pPr>
        <w:spacing w:line="360" w:lineRule="exact"/>
        <w:ind w:firstLine="420"/>
        <w:jc w:val="left"/>
        <w:rPr>
          <w:rFonts w:ascii="宋体" w:hAnsi="宋体" w:cs="宋体"/>
          <w:color w:val="auto"/>
          <w:kern w:val="1"/>
          <w:szCs w:val="21"/>
        </w:rPr>
      </w:pPr>
      <w:r>
        <w:rPr>
          <w:rFonts w:ascii="宋体" w:hAnsi="宋体" w:cs="宋体"/>
          <w:color w:val="auto"/>
          <w:kern w:val="1"/>
          <w:szCs w:val="21"/>
        </w:rPr>
        <w:t>(1)承包人无正当理由不按开工通知的要求及时进场组织施工和不按签订协议书时商订的进度计划有效地开展施工准备，造成</w:t>
      </w:r>
      <w:r>
        <w:rPr>
          <w:rFonts w:hint="eastAsia" w:ascii="宋体" w:hAnsi="宋体" w:cs="宋体"/>
          <w:color w:val="auto"/>
          <w:kern w:val="1"/>
          <w:szCs w:val="21"/>
        </w:rPr>
        <w:t>停工或工期延误30天</w:t>
      </w:r>
      <w:r>
        <w:rPr>
          <w:rFonts w:ascii="宋体" w:hAnsi="宋体" w:cs="宋体"/>
          <w:color w:val="auto"/>
          <w:kern w:val="1"/>
          <w:szCs w:val="21"/>
        </w:rPr>
        <w:t>的；</w:t>
      </w:r>
    </w:p>
    <w:p w14:paraId="3D783D47">
      <w:pPr>
        <w:spacing w:line="360" w:lineRule="exact"/>
        <w:ind w:firstLine="420"/>
        <w:jc w:val="left"/>
        <w:rPr>
          <w:rFonts w:ascii="宋体" w:hAnsi="宋体" w:cs="宋体"/>
          <w:color w:val="auto"/>
          <w:kern w:val="1"/>
          <w:szCs w:val="21"/>
        </w:rPr>
      </w:pPr>
      <w:r>
        <w:rPr>
          <w:rFonts w:hint="eastAsia" w:ascii="宋体" w:hAnsi="宋体" w:cs="宋体"/>
          <w:color w:val="auto"/>
          <w:kern w:val="1"/>
          <w:szCs w:val="21"/>
        </w:rPr>
        <w:t>(2)承包人违反本合同通用条款第3.5条规定私自将合同或合同的任何部分或任何权利转让给其他人，或私自将工程或工程的一部分分包出去的；</w:t>
      </w:r>
    </w:p>
    <w:p w14:paraId="4CC7FE71">
      <w:pPr>
        <w:spacing w:line="360" w:lineRule="exact"/>
        <w:ind w:firstLine="420"/>
        <w:jc w:val="left"/>
        <w:rPr>
          <w:rFonts w:ascii="宋体" w:hAnsi="宋体" w:cs="宋体"/>
          <w:color w:val="auto"/>
          <w:kern w:val="1"/>
          <w:szCs w:val="21"/>
        </w:rPr>
      </w:pPr>
      <w:r>
        <w:rPr>
          <w:rFonts w:ascii="宋体" w:hAnsi="宋体" w:cs="宋体"/>
          <w:color w:val="auto"/>
          <w:kern w:val="1"/>
          <w:szCs w:val="21"/>
        </w:rPr>
        <w:t>(3)未经监理人批准，承包人私自将已按</w:t>
      </w:r>
      <w:r>
        <w:rPr>
          <w:rFonts w:hint="eastAsia" w:ascii="宋体" w:hAnsi="宋体" w:cs="宋体"/>
          <w:color w:val="auto"/>
          <w:kern w:val="1"/>
          <w:szCs w:val="21"/>
        </w:rPr>
        <w:t>响应文件</w:t>
      </w:r>
      <w:r>
        <w:rPr>
          <w:rFonts w:ascii="宋体" w:hAnsi="宋体" w:cs="宋体"/>
          <w:color w:val="auto"/>
          <w:kern w:val="1"/>
          <w:szCs w:val="21"/>
        </w:rPr>
        <w:t>承诺进入工地的工程设备、施工设备、临时工程或材料撤离工地的；</w:t>
      </w:r>
    </w:p>
    <w:p w14:paraId="7D522C98">
      <w:pPr>
        <w:spacing w:line="360" w:lineRule="exact"/>
        <w:ind w:firstLine="420"/>
        <w:jc w:val="left"/>
        <w:rPr>
          <w:rFonts w:ascii="宋体" w:hAnsi="宋体" w:cs="宋体"/>
          <w:color w:val="auto"/>
          <w:kern w:val="1"/>
          <w:szCs w:val="21"/>
        </w:rPr>
      </w:pPr>
      <w:r>
        <w:rPr>
          <w:rFonts w:ascii="宋体" w:hAnsi="宋体" w:cs="宋体"/>
          <w:color w:val="auto"/>
          <w:kern w:val="1"/>
          <w:szCs w:val="21"/>
        </w:rPr>
        <w:t>(4)由于承包人原因拒绝按合同进度计划及时完成合同规定的工程，而又未采取有效措施赶上进度，造成工期延误</w:t>
      </w:r>
      <w:r>
        <w:rPr>
          <w:rFonts w:hint="eastAsia" w:ascii="宋体" w:hAnsi="宋体" w:cs="宋体"/>
          <w:color w:val="auto"/>
          <w:kern w:val="1"/>
          <w:szCs w:val="21"/>
        </w:rPr>
        <w:t>30天</w:t>
      </w:r>
      <w:r>
        <w:rPr>
          <w:rFonts w:ascii="宋体" w:hAnsi="宋体" w:cs="宋体"/>
          <w:color w:val="auto"/>
          <w:kern w:val="1"/>
          <w:szCs w:val="21"/>
        </w:rPr>
        <w:t>的；</w:t>
      </w:r>
    </w:p>
    <w:p w14:paraId="455AD922">
      <w:pPr>
        <w:spacing w:line="360" w:lineRule="exact"/>
        <w:ind w:firstLine="420"/>
        <w:jc w:val="left"/>
        <w:rPr>
          <w:rFonts w:ascii="宋体" w:hAnsi="宋体" w:cs="宋体"/>
          <w:color w:val="auto"/>
          <w:kern w:val="1"/>
          <w:szCs w:val="21"/>
        </w:rPr>
      </w:pPr>
      <w:r>
        <w:rPr>
          <w:rFonts w:hint="eastAsia" w:ascii="宋体" w:hAnsi="宋体" w:cs="宋体"/>
          <w:color w:val="auto"/>
          <w:kern w:val="1"/>
          <w:szCs w:val="21"/>
        </w:rPr>
        <w:t>(5)承包人否认合同有效或拒绝履行合同规定的承包人义务，或由于法律、财务等原因导致承包人无法继续履行或实质上已停止履行合同的义务30天的；</w:t>
      </w:r>
    </w:p>
    <w:p w14:paraId="27924BA9">
      <w:pPr>
        <w:spacing w:line="360" w:lineRule="exact"/>
        <w:ind w:firstLine="420"/>
        <w:jc w:val="left"/>
        <w:rPr>
          <w:rFonts w:hint="eastAsia" w:ascii="宋体" w:hAnsi="宋体" w:cs="宋体"/>
          <w:color w:val="auto"/>
          <w:kern w:val="1"/>
          <w:szCs w:val="21"/>
        </w:rPr>
      </w:pPr>
      <w:r>
        <w:rPr>
          <w:rFonts w:hint="eastAsia" w:ascii="宋体" w:hAnsi="宋体" w:cs="宋体"/>
          <w:color w:val="auto"/>
          <w:kern w:val="1"/>
          <w:szCs w:val="21"/>
        </w:rPr>
        <w:t>(6)合同签订之日起十五日内，承包人无法按合同规定及响应文件的承诺进场经监理工程师认可的全部人员和机械的。</w:t>
      </w:r>
    </w:p>
    <w:p w14:paraId="0F6B5E27">
      <w:pPr>
        <w:pStyle w:val="5"/>
        <w:spacing w:line="360" w:lineRule="exact"/>
        <w:ind w:firstLine="211" w:firstLineChars="100"/>
        <w:rPr>
          <w:color w:val="auto"/>
          <w:sz w:val="21"/>
          <w:szCs w:val="21"/>
        </w:rPr>
      </w:pPr>
      <w:bookmarkStart w:id="1349" w:name="_Toc5664"/>
      <w:bookmarkStart w:id="1350" w:name="_Toc3558"/>
      <w:bookmarkStart w:id="1351" w:name="_Toc31840"/>
      <w:bookmarkStart w:id="1352" w:name="_Toc3948"/>
      <w:r>
        <w:rPr>
          <w:rFonts w:hint="eastAsia" w:ascii="宋体" w:hAnsi="宋体" w:cs="宋体"/>
          <w:color w:val="auto"/>
          <w:kern w:val="1"/>
          <w:sz w:val="21"/>
          <w:szCs w:val="21"/>
        </w:rPr>
        <w:t>（7）承包人有其他未按合同约定履行义务的情形，经发包人书面通知后在规定时间内未改正的。</w:t>
      </w:r>
      <w:bookmarkEnd w:id="1349"/>
      <w:bookmarkEnd w:id="1350"/>
      <w:bookmarkEnd w:id="1351"/>
      <w:bookmarkEnd w:id="1352"/>
    </w:p>
    <w:p w14:paraId="50335253">
      <w:pPr>
        <w:spacing w:line="360" w:lineRule="exact"/>
        <w:ind w:firstLine="420"/>
        <w:rPr>
          <w:rFonts w:ascii="宋体" w:hAnsi="宋体" w:cs="宋体"/>
          <w:color w:val="auto"/>
          <w:kern w:val="1"/>
          <w:szCs w:val="21"/>
        </w:rPr>
      </w:pPr>
      <w:r>
        <w:rPr>
          <w:rFonts w:ascii="宋体" w:hAnsi="宋体" w:cs="宋体"/>
          <w:color w:val="auto"/>
          <w:kern w:val="1"/>
          <w:szCs w:val="21"/>
        </w:rPr>
        <w:t>发包人继续使用承包人在施工现场的材料、设备、临时工程、承包人文件和由承包人或以其名义编制的其他文件的费用承担方式：</w:t>
      </w:r>
      <w:r>
        <w:rPr>
          <w:rFonts w:hint="eastAsia" w:ascii="宋体" w:hAnsi="宋体" w:cs="宋体"/>
          <w:color w:val="auto"/>
          <w:kern w:val="1"/>
          <w:szCs w:val="21"/>
          <w:u w:val="single"/>
        </w:rPr>
        <w:t>由承包人承担</w:t>
      </w:r>
      <w:r>
        <w:rPr>
          <w:rFonts w:ascii="宋体" w:hAnsi="宋体" w:cs="宋体"/>
          <w:color w:val="auto"/>
          <w:kern w:val="1"/>
          <w:szCs w:val="21"/>
        </w:rPr>
        <w:t>。</w:t>
      </w:r>
    </w:p>
    <w:p w14:paraId="42CCF081">
      <w:pPr>
        <w:pStyle w:val="5"/>
        <w:keepNext w:val="0"/>
        <w:spacing w:line="360" w:lineRule="exact"/>
        <w:rPr>
          <w:rFonts w:ascii="宋体" w:hAnsi="宋体" w:cs="宋体"/>
          <w:color w:val="auto"/>
          <w:sz w:val="21"/>
          <w:szCs w:val="21"/>
          <w:lang w:val="zh-CN"/>
        </w:rPr>
      </w:pPr>
      <w:bookmarkStart w:id="1353" w:name="_Toc373478416"/>
      <w:bookmarkEnd w:id="1353"/>
      <w:bookmarkStart w:id="1354" w:name="_Toc406054810"/>
      <w:bookmarkEnd w:id="1354"/>
      <w:bookmarkStart w:id="1355" w:name="_Toc373227769"/>
      <w:bookmarkEnd w:id="1355"/>
      <w:bookmarkStart w:id="1356" w:name="_Toc28380"/>
      <w:bookmarkStart w:id="1357" w:name="_Toc23669"/>
      <w:bookmarkStart w:id="1358" w:name="_Toc20501"/>
      <w:bookmarkStart w:id="1359" w:name="_Toc20081"/>
      <w:bookmarkStart w:id="1360" w:name="_Toc19717"/>
      <w:r>
        <w:rPr>
          <w:rFonts w:ascii="宋体" w:hAnsi="宋体" w:cs="宋体"/>
          <w:color w:val="auto"/>
          <w:sz w:val="21"/>
          <w:szCs w:val="21"/>
          <w:lang w:val="zh-CN"/>
        </w:rPr>
        <w:t>17. 不可抗力</w:t>
      </w:r>
      <w:bookmarkEnd w:id="1356"/>
      <w:bookmarkEnd w:id="1357"/>
      <w:bookmarkEnd w:id="1358"/>
      <w:bookmarkEnd w:id="1359"/>
      <w:bookmarkEnd w:id="1360"/>
    </w:p>
    <w:p w14:paraId="20064D5D">
      <w:pPr>
        <w:pStyle w:val="5"/>
        <w:keepNext w:val="0"/>
        <w:spacing w:line="360" w:lineRule="exact"/>
        <w:rPr>
          <w:rFonts w:ascii="宋体" w:hAnsi="宋体" w:cs="宋体"/>
          <w:color w:val="auto"/>
          <w:sz w:val="21"/>
          <w:szCs w:val="21"/>
          <w:lang w:val="zh-CN"/>
        </w:rPr>
      </w:pPr>
      <w:bookmarkStart w:id="1361" w:name="_Toc373227770"/>
      <w:bookmarkEnd w:id="1361"/>
      <w:bookmarkStart w:id="1362" w:name="_Toc373478417"/>
      <w:bookmarkEnd w:id="1362"/>
      <w:bookmarkStart w:id="1363" w:name="_Toc406054811"/>
      <w:bookmarkEnd w:id="1363"/>
      <w:bookmarkStart w:id="1364" w:name="_Toc29755"/>
      <w:bookmarkStart w:id="1365" w:name="_Toc8799"/>
      <w:bookmarkStart w:id="1366" w:name="_Toc30096"/>
      <w:bookmarkStart w:id="1367" w:name="_Toc29602"/>
      <w:bookmarkStart w:id="1368" w:name="_Toc26644"/>
      <w:r>
        <w:rPr>
          <w:rFonts w:ascii="宋体" w:hAnsi="宋体" w:cs="宋体"/>
          <w:color w:val="auto"/>
          <w:sz w:val="21"/>
          <w:szCs w:val="21"/>
          <w:lang w:val="zh-CN"/>
        </w:rPr>
        <w:t>17.1 不可抗力的确认</w:t>
      </w:r>
      <w:bookmarkEnd w:id="1364"/>
      <w:bookmarkEnd w:id="1365"/>
      <w:bookmarkEnd w:id="1366"/>
      <w:bookmarkEnd w:id="1367"/>
      <w:bookmarkEnd w:id="1368"/>
    </w:p>
    <w:p w14:paraId="68FBAF6E">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除通用合同条款约定的不可抗力事件之外，视为不可抗力的其他情形：</w:t>
      </w:r>
      <w:r>
        <w:rPr>
          <w:rFonts w:hint="eastAsia" w:ascii="宋体" w:hAnsi="宋体" w:cs="宋体"/>
          <w:color w:val="auto"/>
          <w:kern w:val="1"/>
          <w:szCs w:val="21"/>
          <w:u w:val="single"/>
        </w:rPr>
        <w:t>无</w:t>
      </w:r>
      <w:r>
        <w:rPr>
          <w:rFonts w:ascii="宋体" w:hAnsi="宋体" w:cs="宋体"/>
          <w:color w:val="auto"/>
          <w:kern w:val="1"/>
          <w:szCs w:val="21"/>
        </w:rPr>
        <w:t>。</w:t>
      </w:r>
    </w:p>
    <w:p w14:paraId="32BF64A9">
      <w:pPr>
        <w:pStyle w:val="5"/>
        <w:keepNext w:val="0"/>
        <w:spacing w:line="360" w:lineRule="exact"/>
        <w:rPr>
          <w:rFonts w:ascii="宋体" w:hAnsi="宋体" w:cs="宋体"/>
          <w:color w:val="auto"/>
          <w:sz w:val="21"/>
          <w:szCs w:val="21"/>
          <w:lang w:val="zh-CN"/>
        </w:rPr>
      </w:pPr>
      <w:bookmarkStart w:id="1369" w:name="_Toc373227771"/>
      <w:bookmarkEnd w:id="1369"/>
      <w:bookmarkStart w:id="1370" w:name="_Toc406054812"/>
      <w:bookmarkEnd w:id="1370"/>
      <w:bookmarkStart w:id="1371" w:name="_Toc373478418"/>
      <w:bookmarkEnd w:id="1371"/>
      <w:bookmarkStart w:id="1372" w:name="_Toc214"/>
      <w:bookmarkStart w:id="1373" w:name="_Toc7566"/>
      <w:bookmarkStart w:id="1374" w:name="_Toc25174"/>
      <w:bookmarkStart w:id="1375" w:name="_Toc1902"/>
      <w:bookmarkStart w:id="1376" w:name="_Toc9100"/>
      <w:r>
        <w:rPr>
          <w:rFonts w:ascii="宋体" w:hAnsi="宋体" w:cs="宋体"/>
          <w:color w:val="auto"/>
          <w:sz w:val="21"/>
          <w:szCs w:val="21"/>
          <w:lang w:val="zh-CN"/>
        </w:rPr>
        <w:t>17.4 因不可抗力解除合同</w:t>
      </w:r>
      <w:bookmarkEnd w:id="1372"/>
      <w:bookmarkEnd w:id="1373"/>
      <w:bookmarkEnd w:id="1374"/>
      <w:bookmarkEnd w:id="1375"/>
      <w:bookmarkEnd w:id="1376"/>
    </w:p>
    <w:p w14:paraId="636CA4A4">
      <w:pPr>
        <w:spacing w:line="360" w:lineRule="exact"/>
        <w:ind w:firstLine="420"/>
        <w:jc w:val="left"/>
        <w:rPr>
          <w:rFonts w:ascii="宋体" w:hAnsi="宋体" w:cs="宋体"/>
          <w:color w:val="auto"/>
          <w:kern w:val="1"/>
          <w:szCs w:val="21"/>
        </w:rPr>
      </w:pPr>
      <w:r>
        <w:rPr>
          <w:rFonts w:ascii="宋体" w:hAnsi="宋体" w:cs="宋体"/>
          <w:color w:val="auto"/>
          <w:kern w:val="1"/>
          <w:szCs w:val="21"/>
        </w:rPr>
        <w:t>合同解除后，发包人应在商定或确定发包人应支付款项后</w:t>
      </w:r>
      <w:r>
        <w:rPr>
          <w:rFonts w:hint="eastAsia" w:ascii="宋体" w:hAnsi="宋体" w:cs="宋体"/>
          <w:color w:val="auto"/>
          <w:kern w:val="1"/>
          <w:szCs w:val="21"/>
          <w:u w:val="single"/>
        </w:rPr>
        <w:t>60</w:t>
      </w:r>
      <w:r>
        <w:rPr>
          <w:rFonts w:ascii="宋体" w:hAnsi="宋体" w:cs="宋体"/>
          <w:color w:val="auto"/>
          <w:kern w:val="1"/>
          <w:szCs w:val="21"/>
        </w:rPr>
        <w:t>天内完成款项的支付。</w:t>
      </w:r>
    </w:p>
    <w:p w14:paraId="665C0213">
      <w:pPr>
        <w:pStyle w:val="5"/>
        <w:keepNext w:val="0"/>
        <w:spacing w:line="360" w:lineRule="exact"/>
        <w:rPr>
          <w:rFonts w:ascii="宋体" w:hAnsi="宋体" w:cs="宋体"/>
          <w:color w:val="auto"/>
          <w:sz w:val="21"/>
          <w:szCs w:val="21"/>
          <w:lang w:val="zh-CN"/>
        </w:rPr>
      </w:pPr>
      <w:bookmarkStart w:id="1377" w:name="_Toc373478419"/>
      <w:bookmarkEnd w:id="1377"/>
      <w:bookmarkStart w:id="1378" w:name="_Toc373227772"/>
      <w:bookmarkEnd w:id="1378"/>
      <w:bookmarkStart w:id="1379" w:name="_Toc406054813"/>
      <w:bookmarkEnd w:id="1379"/>
      <w:bookmarkStart w:id="1380" w:name="_Toc12606"/>
      <w:bookmarkStart w:id="1381" w:name="_Toc32732"/>
      <w:bookmarkStart w:id="1382" w:name="_Toc2736"/>
      <w:bookmarkStart w:id="1383" w:name="_Toc11089"/>
      <w:bookmarkStart w:id="1384" w:name="_Toc4397"/>
      <w:r>
        <w:rPr>
          <w:rFonts w:ascii="宋体" w:hAnsi="宋体" w:cs="宋体"/>
          <w:color w:val="auto"/>
          <w:sz w:val="21"/>
          <w:szCs w:val="21"/>
          <w:lang w:val="zh-CN"/>
        </w:rPr>
        <w:t>18. 保险</w:t>
      </w:r>
      <w:bookmarkEnd w:id="1380"/>
      <w:bookmarkEnd w:id="1381"/>
      <w:bookmarkEnd w:id="1382"/>
      <w:bookmarkEnd w:id="1383"/>
      <w:bookmarkEnd w:id="1384"/>
    </w:p>
    <w:p w14:paraId="74655BB6">
      <w:pPr>
        <w:pStyle w:val="5"/>
        <w:keepNext w:val="0"/>
        <w:spacing w:line="360" w:lineRule="exact"/>
        <w:rPr>
          <w:rFonts w:hint="eastAsia" w:ascii="宋体" w:hAnsi="宋体" w:cs="宋体"/>
          <w:color w:val="auto"/>
          <w:sz w:val="21"/>
          <w:szCs w:val="21"/>
          <w:lang w:val="zh-CN"/>
        </w:rPr>
      </w:pPr>
      <w:bookmarkStart w:id="1385" w:name="_Toc406054814"/>
      <w:bookmarkEnd w:id="1385"/>
      <w:bookmarkStart w:id="1386" w:name="_Toc406054816"/>
      <w:bookmarkEnd w:id="1386"/>
      <w:bookmarkStart w:id="1387" w:name="_Toc373478422"/>
      <w:bookmarkEnd w:id="1387"/>
      <w:bookmarkStart w:id="1388" w:name="_Toc373478420"/>
      <w:bookmarkEnd w:id="1388"/>
      <w:bookmarkStart w:id="1389" w:name="_Toc373227775"/>
      <w:bookmarkEnd w:id="1389"/>
      <w:bookmarkStart w:id="1390" w:name="_Toc373227773"/>
      <w:bookmarkEnd w:id="1390"/>
      <w:bookmarkStart w:id="1391" w:name="_Toc85"/>
      <w:bookmarkStart w:id="1392" w:name="_Toc1452"/>
      <w:bookmarkStart w:id="1393" w:name="_Toc877"/>
      <w:bookmarkStart w:id="1394" w:name="_Toc14672"/>
      <w:bookmarkStart w:id="1395" w:name="_Toc526"/>
      <w:r>
        <w:rPr>
          <w:rFonts w:hint="eastAsia" w:ascii="宋体" w:hAnsi="宋体" w:cs="宋体"/>
          <w:color w:val="auto"/>
          <w:sz w:val="21"/>
          <w:szCs w:val="21"/>
          <w:lang w:val="zh-CN"/>
        </w:rPr>
        <w:t>18.1 工程保险</w:t>
      </w:r>
    </w:p>
    <w:p w14:paraId="74682353">
      <w:pPr>
        <w:pStyle w:val="5"/>
        <w:keepNext w:val="0"/>
        <w:spacing w:line="360" w:lineRule="exact"/>
        <w:rPr>
          <w:rFonts w:hint="eastAsia" w:ascii="宋体" w:hAnsi="宋体" w:cs="宋体"/>
          <w:b w:val="0"/>
          <w:bCs w:val="0"/>
          <w:color w:val="auto"/>
          <w:sz w:val="21"/>
          <w:szCs w:val="21"/>
          <w:lang w:val="zh-CN"/>
        </w:rPr>
      </w:pPr>
      <w:r>
        <w:rPr>
          <w:rFonts w:hint="eastAsia" w:ascii="宋体" w:hAnsi="宋体" w:cs="宋体"/>
          <w:b w:val="0"/>
          <w:bCs w:val="0"/>
          <w:color w:val="auto"/>
          <w:sz w:val="21"/>
          <w:szCs w:val="21"/>
          <w:lang w:val="zh-CN"/>
        </w:rPr>
        <w:t>关于工程保险的特别约定：  ①承包人需根据国家规定购买工程保险，费用由承包人承担。②根据梧建函〔2023〕216 号的规定，安全生产责任保险费按分部分项工程费及措施项目费（含单价及总价措施项目费）为计算基数乘以 0.2%计入暂估价，工程结算时，由发承包双方根据工程实际情况确认的安全生产责任保险费计入工程造价。</w:t>
      </w:r>
    </w:p>
    <w:p w14:paraId="725EE3C9">
      <w:pPr>
        <w:pStyle w:val="5"/>
        <w:keepNext w:val="0"/>
        <w:spacing w:line="360" w:lineRule="exact"/>
        <w:rPr>
          <w:rFonts w:hint="eastAsia" w:ascii="宋体" w:hAnsi="宋体" w:cs="宋体"/>
          <w:color w:val="auto"/>
          <w:sz w:val="21"/>
          <w:szCs w:val="21"/>
          <w:lang w:val="zh-CN"/>
        </w:rPr>
      </w:pPr>
      <w:r>
        <w:rPr>
          <w:rFonts w:hint="eastAsia" w:ascii="宋体" w:hAnsi="宋体" w:cs="宋体"/>
          <w:color w:val="auto"/>
          <w:sz w:val="21"/>
          <w:szCs w:val="21"/>
          <w:lang w:val="zh-CN"/>
        </w:rPr>
        <w:t>18.3 其他保险</w:t>
      </w:r>
    </w:p>
    <w:p w14:paraId="578B064F">
      <w:pPr>
        <w:pStyle w:val="5"/>
        <w:keepNext w:val="0"/>
        <w:spacing w:line="360" w:lineRule="exact"/>
        <w:rPr>
          <w:rFonts w:hint="eastAsia" w:ascii="宋体" w:hAnsi="宋体" w:cs="宋体"/>
          <w:b w:val="0"/>
          <w:bCs w:val="0"/>
          <w:color w:val="auto"/>
          <w:sz w:val="21"/>
          <w:szCs w:val="21"/>
          <w:lang w:val="zh-CN"/>
        </w:rPr>
      </w:pPr>
      <w:r>
        <w:rPr>
          <w:rFonts w:hint="eastAsia" w:ascii="宋体" w:hAnsi="宋体" w:cs="宋体"/>
          <w:b w:val="0"/>
          <w:bCs w:val="0"/>
          <w:color w:val="auto"/>
          <w:sz w:val="21"/>
          <w:szCs w:val="21"/>
          <w:lang w:val="zh-CN"/>
        </w:rPr>
        <w:t>关于其他保险的约定：承包人必须为施工现场从事施工的所有作业人员和管理人员办理意外伤害保险，并支付保险费。</w:t>
      </w:r>
    </w:p>
    <w:p w14:paraId="169E8572">
      <w:pPr>
        <w:pStyle w:val="5"/>
        <w:keepNext w:val="0"/>
        <w:spacing w:line="360" w:lineRule="exact"/>
        <w:rPr>
          <w:rFonts w:ascii="宋体" w:hAnsi="宋体" w:cs="宋体"/>
          <w:b w:val="0"/>
          <w:bCs w:val="0"/>
          <w:color w:val="auto"/>
          <w:sz w:val="21"/>
          <w:szCs w:val="21"/>
          <w:lang w:val="zh-CN"/>
        </w:rPr>
      </w:pPr>
      <w:r>
        <w:rPr>
          <w:rFonts w:hint="eastAsia" w:ascii="宋体" w:hAnsi="宋体" w:cs="宋体"/>
          <w:b w:val="0"/>
          <w:bCs w:val="0"/>
          <w:color w:val="auto"/>
          <w:sz w:val="21"/>
          <w:szCs w:val="21"/>
          <w:lang w:val="zh-CN"/>
        </w:rPr>
        <w:t>承包人是否应为其施工设备等办理财产保险： 根据需要自行办理，保险费由承包人自行承担 。</w:t>
      </w:r>
    </w:p>
    <w:p w14:paraId="7A0B1F8B">
      <w:pPr>
        <w:pStyle w:val="5"/>
        <w:keepNext w:val="0"/>
        <w:spacing w:line="360" w:lineRule="exact"/>
        <w:rPr>
          <w:rFonts w:ascii="宋体" w:hAnsi="宋体" w:cs="宋体"/>
          <w:color w:val="auto"/>
          <w:sz w:val="21"/>
          <w:szCs w:val="21"/>
          <w:lang w:val="zh-CN"/>
        </w:rPr>
      </w:pPr>
      <w:r>
        <w:rPr>
          <w:rFonts w:ascii="宋体" w:hAnsi="宋体" w:cs="宋体"/>
          <w:color w:val="auto"/>
          <w:sz w:val="21"/>
          <w:szCs w:val="21"/>
          <w:lang w:val="zh-CN"/>
        </w:rPr>
        <w:t>18.7 通知义务</w:t>
      </w:r>
      <w:bookmarkEnd w:id="1391"/>
      <w:bookmarkEnd w:id="1392"/>
      <w:bookmarkEnd w:id="1393"/>
      <w:bookmarkEnd w:id="1394"/>
      <w:bookmarkEnd w:id="1395"/>
    </w:p>
    <w:p w14:paraId="30620FD3">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关于变更保险合同时的通知义务的约定：</w:t>
      </w:r>
      <w:r>
        <w:rPr>
          <w:rFonts w:hint="eastAsia" w:ascii="宋体" w:hAnsi="宋体" w:cs="宋体"/>
          <w:color w:val="auto"/>
          <w:kern w:val="1"/>
          <w:szCs w:val="21"/>
          <w:u w:val="single"/>
        </w:rPr>
        <w:t>由办理方告知</w:t>
      </w:r>
      <w:r>
        <w:rPr>
          <w:rFonts w:ascii="宋体" w:hAnsi="宋体" w:cs="宋体"/>
          <w:color w:val="auto"/>
          <w:kern w:val="1"/>
          <w:szCs w:val="21"/>
        </w:rPr>
        <w:t>。</w:t>
      </w:r>
    </w:p>
    <w:p w14:paraId="3CE021AC">
      <w:pPr>
        <w:pStyle w:val="5"/>
        <w:keepNext w:val="0"/>
        <w:spacing w:line="360" w:lineRule="exact"/>
        <w:rPr>
          <w:rFonts w:ascii="宋体" w:hAnsi="宋体" w:cs="宋体"/>
          <w:color w:val="auto"/>
          <w:sz w:val="21"/>
          <w:szCs w:val="21"/>
          <w:lang w:val="zh-CN"/>
        </w:rPr>
      </w:pPr>
      <w:bookmarkStart w:id="1396" w:name="_Toc373478423"/>
      <w:bookmarkEnd w:id="1396"/>
      <w:bookmarkStart w:id="1397" w:name="_Toc406054817"/>
      <w:bookmarkEnd w:id="1397"/>
      <w:bookmarkStart w:id="1398" w:name="_Toc373227776"/>
      <w:bookmarkEnd w:id="1398"/>
      <w:bookmarkStart w:id="1399" w:name="_Toc30637"/>
      <w:bookmarkStart w:id="1400" w:name="_Toc12430"/>
      <w:bookmarkStart w:id="1401" w:name="_Toc6310"/>
      <w:bookmarkStart w:id="1402" w:name="_Toc12825"/>
      <w:bookmarkStart w:id="1403" w:name="_Toc18321"/>
      <w:r>
        <w:rPr>
          <w:rFonts w:ascii="宋体" w:hAnsi="宋体" w:cs="宋体"/>
          <w:color w:val="auto"/>
          <w:sz w:val="21"/>
          <w:szCs w:val="21"/>
          <w:lang w:val="zh-CN"/>
        </w:rPr>
        <w:t>20. 争议解决</w:t>
      </w:r>
      <w:bookmarkEnd w:id="1399"/>
      <w:bookmarkEnd w:id="1400"/>
      <w:bookmarkEnd w:id="1401"/>
      <w:bookmarkEnd w:id="1402"/>
      <w:bookmarkEnd w:id="1403"/>
    </w:p>
    <w:p w14:paraId="600A8F94">
      <w:pPr>
        <w:pStyle w:val="5"/>
        <w:keepNext w:val="0"/>
        <w:spacing w:line="360" w:lineRule="exact"/>
        <w:rPr>
          <w:rFonts w:ascii="宋体" w:hAnsi="宋体" w:cs="宋体"/>
          <w:color w:val="auto"/>
          <w:sz w:val="21"/>
          <w:szCs w:val="21"/>
          <w:lang w:val="zh-CN"/>
        </w:rPr>
      </w:pPr>
      <w:bookmarkStart w:id="1404" w:name="_Toc406054818"/>
      <w:bookmarkEnd w:id="1404"/>
      <w:bookmarkStart w:id="1405" w:name="_Toc373478424"/>
      <w:bookmarkEnd w:id="1405"/>
      <w:bookmarkStart w:id="1406" w:name="_Toc373227777"/>
      <w:bookmarkEnd w:id="1406"/>
      <w:bookmarkStart w:id="1407" w:name="_Toc16622"/>
      <w:bookmarkStart w:id="1408" w:name="_Toc12515"/>
      <w:bookmarkStart w:id="1409" w:name="_Toc1914"/>
      <w:bookmarkStart w:id="1410" w:name="_Toc24267"/>
      <w:bookmarkStart w:id="1411" w:name="_Toc16658"/>
      <w:r>
        <w:rPr>
          <w:rFonts w:ascii="宋体" w:hAnsi="宋体" w:cs="宋体"/>
          <w:color w:val="auto"/>
          <w:sz w:val="21"/>
          <w:szCs w:val="21"/>
          <w:lang w:val="zh-CN"/>
        </w:rPr>
        <w:t>20.3 争议评审</w:t>
      </w:r>
      <w:bookmarkEnd w:id="1407"/>
      <w:bookmarkEnd w:id="1408"/>
      <w:bookmarkEnd w:id="1409"/>
      <w:bookmarkEnd w:id="1410"/>
      <w:bookmarkEnd w:id="1411"/>
    </w:p>
    <w:p w14:paraId="4FD0265C">
      <w:pPr>
        <w:spacing w:line="360" w:lineRule="exact"/>
        <w:ind w:firstLine="315"/>
        <w:jc w:val="left"/>
        <w:rPr>
          <w:rFonts w:ascii="宋体" w:hAnsi="宋体" w:cs="宋体"/>
          <w:color w:val="auto"/>
          <w:kern w:val="1"/>
          <w:szCs w:val="21"/>
          <w:u w:val="single"/>
        </w:rPr>
      </w:pPr>
      <w:r>
        <w:rPr>
          <w:rFonts w:ascii="宋体" w:hAnsi="宋体" w:cs="宋体"/>
          <w:color w:val="auto"/>
          <w:kern w:val="1"/>
          <w:szCs w:val="21"/>
        </w:rPr>
        <w:t>合同当事人是否同意将工程争议提交争议评审小组决定：</w:t>
      </w:r>
      <w:r>
        <w:rPr>
          <w:rFonts w:hint="eastAsia" w:ascii="宋体" w:hAnsi="宋体" w:cs="宋体"/>
          <w:color w:val="auto"/>
          <w:kern w:val="1"/>
          <w:szCs w:val="21"/>
          <w:u w:val="single"/>
        </w:rPr>
        <w:t>同意</w:t>
      </w:r>
      <w:r>
        <w:rPr>
          <w:rFonts w:ascii="宋体" w:hAnsi="宋体" w:cs="宋体"/>
          <w:color w:val="auto"/>
          <w:kern w:val="1"/>
          <w:szCs w:val="21"/>
        </w:rPr>
        <w:t>。</w:t>
      </w:r>
    </w:p>
    <w:p w14:paraId="5BB7AA9E">
      <w:pPr>
        <w:spacing w:line="360" w:lineRule="exact"/>
        <w:ind w:firstLine="420"/>
        <w:jc w:val="left"/>
        <w:rPr>
          <w:rFonts w:ascii="宋体" w:hAnsi="宋体" w:cs="宋体"/>
          <w:color w:val="auto"/>
          <w:kern w:val="1"/>
          <w:szCs w:val="21"/>
        </w:rPr>
      </w:pPr>
      <w:r>
        <w:rPr>
          <w:rFonts w:ascii="宋体" w:hAnsi="宋体" w:cs="宋体"/>
          <w:color w:val="auto"/>
          <w:kern w:val="1"/>
          <w:szCs w:val="21"/>
        </w:rPr>
        <w:t>20.3.1 争议评审小组的确定</w:t>
      </w:r>
    </w:p>
    <w:p w14:paraId="1743A4EF">
      <w:pPr>
        <w:spacing w:line="360" w:lineRule="exact"/>
        <w:ind w:firstLine="420"/>
        <w:jc w:val="left"/>
        <w:rPr>
          <w:rFonts w:ascii="宋体" w:hAnsi="宋体" w:cs="宋体"/>
          <w:color w:val="auto"/>
          <w:kern w:val="1"/>
          <w:szCs w:val="21"/>
          <w:u w:val="single"/>
        </w:rPr>
      </w:pPr>
      <w:r>
        <w:rPr>
          <w:rFonts w:ascii="宋体" w:hAnsi="宋体" w:cs="宋体"/>
          <w:color w:val="auto"/>
          <w:kern w:val="1"/>
          <w:szCs w:val="21"/>
        </w:rPr>
        <w:t>争议评审小组成员的确定：</w:t>
      </w:r>
      <w:r>
        <w:rPr>
          <w:rFonts w:hint="eastAsia" w:ascii="宋体" w:hAnsi="宋体" w:cs="宋体"/>
          <w:color w:val="auto"/>
          <w:kern w:val="1"/>
          <w:szCs w:val="21"/>
          <w:u w:val="single"/>
        </w:rPr>
        <w:t>由当地建设主管部门确定</w:t>
      </w:r>
      <w:r>
        <w:rPr>
          <w:rFonts w:ascii="宋体" w:hAnsi="宋体" w:cs="宋体"/>
          <w:color w:val="auto"/>
          <w:kern w:val="1"/>
          <w:szCs w:val="21"/>
        </w:rPr>
        <w:t>。</w:t>
      </w:r>
    </w:p>
    <w:p w14:paraId="1F952896">
      <w:pPr>
        <w:spacing w:line="360" w:lineRule="exact"/>
        <w:ind w:firstLine="420"/>
        <w:jc w:val="left"/>
        <w:rPr>
          <w:rFonts w:ascii="宋体" w:hAnsi="宋体" w:cs="宋体"/>
          <w:color w:val="auto"/>
          <w:kern w:val="1"/>
          <w:szCs w:val="21"/>
        </w:rPr>
      </w:pPr>
      <w:r>
        <w:rPr>
          <w:rFonts w:ascii="宋体" w:hAnsi="宋体" w:cs="宋体"/>
          <w:color w:val="auto"/>
          <w:kern w:val="1"/>
          <w:szCs w:val="21"/>
        </w:rPr>
        <w:t>选定争议评审员的期限：</w:t>
      </w:r>
      <w:r>
        <w:rPr>
          <w:rFonts w:hint="eastAsia" w:ascii="宋体" w:hAnsi="宋体" w:cs="宋体"/>
          <w:color w:val="auto"/>
          <w:kern w:val="1"/>
          <w:szCs w:val="21"/>
          <w:u w:val="single"/>
        </w:rPr>
        <w:t>争议事件发生后45天内</w:t>
      </w:r>
      <w:r>
        <w:rPr>
          <w:rFonts w:ascii="宋体" w:hAnsi="宋体" w:cs="宋体"/>
          <w:color w:val="auto"/>
          <w:kern w:val="1"/>
          <w:szCs w:val="21"/>
        </w:rPr>
        <w:t>。</w:t>
      </w:r>
    </w:p>
    <w:p w14:paraId="3D969F8C">
      <w:pPr>
        <w:spacing w:line="360" w:lineRule="exact"/>
        <w:ind w:firstLine="420"/>
        <w:jc w:val="left"/>
        <w:rPr>
          <w:rFonts w:ascii="宋体" w:hAnsi="宋体" w:cs="宋体"/>
          <w:color w:val="auto"/>
          <w:kern w:val="1"/>
          <w:szCs w:val="21"/>
        </w:rPr>
      </w:pPr>
      <w:r>
        <w:rPr>
          <w:rFonts w:ascii="宋体" w:hAnsi="宋体" w:cs="宋体"/>
          <w:color w:val="auto"/>
          <w:kern w:val="1"/>
          <w:szCs w:val="21"/>
        </w:rPr>
        <w:t>争议评审小组成员的报酬承担方式：</w:t>
      </w:r>
      <w:r>
        <w:rPr>
          <w:rFonts w:hint="eastAsia" w:ascii="宋体" w:hAnsi="宋体" w:cs="宋体"/>
          <w:color w:val="auto"/>
          <w:kern w:val="1"/>
          <w:szCs w:val="21"/>
          <w:u w:val="single"/>
        </w:rPr>
        <w:t>按责任大小比例承担</w:t>
      </w:r>
      <w:r>
        <w:rPr>
          <w:rFonts w:ascii="宋体" w:hAnsi="宋体" w:cs="宋体"/>
          <w:color w:val="auto"/>
          <w:kern w:val="1"/>
          <w:szCs w:val="21"/>
        </w:rPr>
        <w:t>。</w:t>
      </w:r>
    </w:p>
    <w:p w14:paraId="6C58E702">
      <w:pPr>
        <w:spacing w:line="360" w:lineRule="exact"/>
        <w:ind w:firstLine="420"/>
        <w:jc w:val="left"/>
        <w:rPr>
          <w:rFonts w:ascii="宋体" w:hAnsi="宋体" w:cs="宋体"/>
          <w:color w:val="auto"/>
          <w:kern w:val="1"/>
          <w:szCs w:val="21"/>
        </w:rPr>
      </w:pPr>
      <w:r>
        <w:rPr>
          <w:rFonts w:ascii="宋体" w:hAnsi="宋体" w:cs="宋体"/>
          <w:color w:val="auto"/>
          <w:kern w:val="1"/>
          <w:szCs w:val="21"/>
        </w:rPr>
        <w:t>其他事项的约定：</w:t>
      </w:r>
      <w:r>
        <w:rPr>
          <w:rFonts w:hint="eastAsia" w:ascii="宋体" w:hAnsi="宋体" w:cs="宋体"/>
          <w:color w:val="auto"/>
          <w:kern w:val="1"/>
          <w:szCs w:val="21"/>
          <w:u w:val="single"/>
        </w:rPr>
        <w:t>无</w:t>
      </w:r>
      <w:r>
        <w:rPr>
          <w:rFonts w:ascii="宋体" w:hAnsi="宋体" w:cs="宋体"/>
          <w:color w:val="auto"/>
          <w:kern w:val="1"/>
          <w:szCs w:val="21"/>
        </w:rPr>
        <w:t>。</w:t>
      </w:r>
    </w:p>
    <w:p w14:paraId="1CE509B6">
      <w:pPr>
        <w:spacing w:line="360" w:lineRule="exact"/>
        <w:ind w:firstLine="420"/>
        <w:jc w:val="left"/>
        <w:rPr>
          <w:rFonts w:ascii="宋体" w:hAnsi="宋体" w:cs="宋体"/>
          <w:color w:val="auto"/>
          <w:kern w:val="1"/>
          <w:szCs w:val="21"/>
        </w:rPr>
      </w:pPr>
      <w:r>
        <w:rPr>
          <w:rFonts w:ascii="宋体" w:hAnsi="宋体" w:cs="宋体"/>
          <w:color w:val="auto"/>
          <w:kern w:val="1"/>
          <w:szCs w:val="21"/>
        </w:rPr>
        <w:t>20.3.2 争议评审小组的决定</w:t>
      </w:r>
    </w:p>
    <w:p w14:paraId="2EFF815B">
      <w:pPr>
        <w:spacing w:line="360" w:lineRule="exact"/>
        <w:ind w:firstLine="420"/>
        <w:jc w:val="left"/>
        <w:rPr>
          <w:rFonts w:ascii="宋体" w:hAnsi="宋体" w:cs="宋体"/>
          <w:color w:val="auto"/>
          <w:kern w:val="1"/>
          <w:szCs w:val="21"/>
        </w:rPr>
      </w:pPr>
      <w:r>
        <w:rPr>
          <w:rFonts w:ascii="宋体" w:hAnsi="宋体" w:cs="宋体"/>
          <w:color w:val="auto"/>
          <w:kern w:val="1"/>
          <w:szCs w:val="21"/>
        </w:rPr>
        <w:t>合同当事人关于本项的约定：</w:t>
      </w:r>
      <w:r>
        <w:rPr>
          <w:rFonts w:hint="eastAsia" w:ascii="宋体" w:hAnsi="宋体" w:cs="宋体"/>
          <w:color w:val="auto"/>
          <w:kern w:val="1"/>
          <w:szCs w:val="21"/>
          <w:u w:val="single"/>
        </w:rPr>
        <w:t>同意评审小组的决定</w:t>
      </w:r>
      <w:r>
        <w:rPr>
          <w:rFonts w:ascii="宋体" w:hAnsi="宋体" w:cs="宋体"/>
          <w:color w:val="auto"/>
          <w:kern w:val="1"/>
          <w:szCs w:val="21"/>
        </w:rPr>
        <w:t>。</w:t>
      </w:r>
    </w:p>
    <w:p w14:paraId="002B69A1">
      <w:pPr>
        <w:pStyle w:val="5"/>
        <w:keepNext w:val="0"/>
        <w:spacing w:line="360" w:lineRule="exact"/>
        <w:rPr>
          <w:rFonts w:ascii="宋体" w:hAnsi="宋体" w:cs="宋体"/>
          <w:color w:val="auto"/>
          <w:sz w:val="21"/>
          <w:szCs w:val="21"/>
          <w:lang w:val="zh-CN"/>
        </w:rPr>
      </w:pPr>
      <w:bookmarkStart w:id="1412" w:name="_Toc373227778"/>
      <w:bookmarkEnd w:id="1412"/>
      <w:bookmarkStart w:id="1413" w:name="_Toc406054819"/>
      <w:bookmarkEnd w:id="1413"/>
      <w:bookmarkStart w:id="1414" w:name="_Toc373478425"/>
      <w:bookmarkEnd w:id="1414"/>
      <w:bookmarkStart w:id="1415" w:name="_Toc14547"/>
      <w:bookmarkStart w:id="1416" w:name="_Toc26240"/>
      <w:bookmarkStart w:id="1417" w:name="_Toc17964"/>
      <w:bookmarkStart w:id="1418" w:name="_Toc6409"/>
      <w:bookmarkStart w:id="1419" w:name="_Toc28771"/>
      <w:r>
        <w:rPr>
          <w:rFonts w:ascii="宋体" w:hAnsi="宋体" w:cs="宋体"/>
          <w:color w:val="auto"/>
          <w:sz w:val="21"/>
          <w:szCs w:val="21"/>
          <w:lang w:val="zh-CN"/>
        </w:rPr>
        <w:t>20.4仲裁或诉讼</w:t>
      </w:r>
      <w:bookmarkEnd w:id="1415"/>
      <w:bookmarkEnd w:id="1416"/>
      <w:bookmarkEnd w:id="1417"/>
      <w:bookmarkEnd w:id="1418"/>
      <w:bookmarkEnd w:id="1419"/>
    </w:p>
    <w:p w14:paraId="5695DEB8">
      <w:pPr>
        <w:spacing w:line="360" w:lineRule="exact"/>
        <w:ind w:firstLine="420"/>
        <w:rPr>
          <w:rFonts w:ascii="宋体" w:hAnsi="宋体" w:cs="宋体"/>
          <w:color w:val="auto"/>
          <w:kern w:val="1"/>
          <w:szCs w:val="21"/>
        </w:rPr>
      </w:pPr>
      <w:r>
        <w:rPr>
          <w:rFonts w:ascii="宋体" w:hAnsi="宋体" w:cs="宋体"/>
          <w:color w:val="auto"/>
          <w:kern w:val="1"/>
          <w:szCs w:val="21"/>
        </w:rPr>
        <w:t>因合同及合同有关事项发生的争议，按下列第</w:t>
      </w:r>
      <w:r>
        <w:rPr>
          <w:rFonts w:hint="eastAsia" w:ascii="宋体" w:hAnsi="宋体" w:cs="宋体"/>
          <w:color w:val="auto"/>
          <w:kern w:val="1"/>
          <w:szCs w:val="21"/>
          <w:u w:val="single"/>
        </w:rPr>
        <w:t>2</w:t>
      </w:r>
      <w:r>
        <w:rPr>
          <w:rFonts w:ascii="宋体" w:hAnsi="宋体" w:cs="宋体"/>
          <w:color w:val="auto"/>
          <w:kern w:val="1"/>
          <w:szCs w:val="21"/>
        </w:rPr>
        <w:t>种方式解决：</w:t>
      </w:r>
    </w:p>
    <w:p w14:paraId="446F2CFE">
      <w:pPr>
        <w:spacing w:line="360" w:lineRule="exact"/>
        <w:ind w:firstLine="420"/>
        <w:jc w:val="left"/>
        <w:rPr>
          <w:rFonts w:ascii="宋体" w:hAnsi="宋体" w:cs="宋体"/>
          <w:color w:val="auto"/>
          <w:kern w:val="1"/>
          <w:szCs w:val="21"/>
        </w:rPr>
      </w:pPr>
      <w:r>
        <w:rPr>
          <w:rFonts w:ascii="宋体" w:hAnsi="宋体" w:cs="宋体"/>
          <w:color w:val="auto"/>
          <w:kern w:val="1"/>
          <w:szCs w:val="21"/>
        </w:rPr>
        <w:t>（1）提请</w:t>
      </w:r>
      <w:r>
        <w:rPr>
          <w:rFonts w:hint="eastAsia" w:ascii="宋体" w:hAnsi="宋体" w:cs="宋体"/>
          <w:color w:val="auto"/>
          <w:kern w:val="1"/>
          <w:szCs w:val="21"/>
          <w:u w:val="single"/>
        </w:rPr>
        <w:t xml:space="preserve">梧州 </w:t>
      </w:r>
      <w:r>
        <w:rPr>
          <w:rFonts w:ascii="宋体" w:hAnsi="宋体" w:cs="宋体"/>
          <w:color w:val="auto"/>
          <w:kern w:val="1"/>
          <w:szCs w:val="21"/>
        </w:rPr>
        <w:t>仲裁委员会按照该会仲裁规则进行仲裁，仲裁裁决是终局的，对合同双方均有约束力。</w:t>
      </w:r>
    </w:p>
    <w:p w14:paraId="71DA3EEF">
      <w:pPr>
        <w:spacing w:line="360" w:lineRule="exact"/>
        <w:ind w:firstLine="420"/>
        <w:jc w:val="left"/>
        <w:rPr>
          <w:rFonts w:ascii="宋体" w:hAnsi="宋体" w:cs="宋体"/>
          <w:color w:val="auto"/>
          <w:kern w:val="1"/>
          <w:szCs w:val="21"/>
        </w:rPr>
      </w:pPr>
      <w:r>
        <w:rPr>
          <w:rFonts w:ascii="宋体" w:hAnsi="宋体" w:cs="宋体"/>
          <w:color w:val="auto"/>
          <w:kern w:val="1"/>
          <w:szCs w:val="21"/>
        </w:rPr>
        <w:t>（2）向</w:t>
      </w:r>
      <w:r>
        <w:rPr>
          <w:rFonts w:hint="eastAsia" w:ascii="宋体" w:hAnsi="宋体" w:cs="宋体"/>
          <w:color w:val="auto"/>
          <w:kern w:val="1"/>
          <w:szCs w:val="21"/>
          <w:u w:val="single"/>
        </w:rPr>
        <w:t>工程所在地的</w:t>
      </w:r>
      <w:r>
        <w:rPr>
          <w:rFonts w:ascii="宋体" w:hAnsi="宋体" w:cs="宋体"/>
          <w:color w:val="auto"/>
          <w:kern w:val="1"/>
          <w:szCs w:val="21"/>
        </w:rPr>
        <w:t>人民法院起诉。</w:t>
      </w:r>
    </w:p>
    <w:p w14:paraId="709317F0">
      <w:pPr>
        <w:pStyle w:val="5"/>
        <w:keepNext w:val="0"/>
        <w:spacing w:line="360" w:lineRule="exact"/>
        <w:rPr>
          <w:rFonts w:ascii="宋体" w:hAnsi="宋体" w:cs="宋体"/>
          <w:color w:val="auto"/>
          <w:sz w:val="21"/>
          <w:szCs w:val="21"/>
          <w:lang w:val="zh-CN"/>
        </w:rPr>
      </w:pPr>
      <w:bookmarkStart w:id="1420" w:name="_Toc406054820"/>
      <w:bookmarkEnd w:id="1420"/>
      <w:bookmarkStart w:id="1421" w:name="_Toc17697"/>
      <w:bookmarkStart w:id="1422" w:name="_Toc4275"/>
      <w:bookmarkStart w:id="1423" w:name="_Toc13018"/>
      <w:bookmarkStart w:id="1424" w:name="_Toc20327"/>
      <w:bookmarkStart w:id="1425" w:name="_Toc27937"/>
      <w:r>
        <w:rPr>
          <w:rFonts w:ascii="宋体" w:hAnsi="宋体" w:cs="宋体"/>
          <w:color w:val="auto"/>
          <w:sz w:val="21"/>
          <w:szCs w:val="21"/>
          <w:lang w:val="zh-CN"/>
        </w:rPr>
        <w:t>21. 补充条款</w:t>
      </w:r>
      <w:bookmarkEnd w:id="1421"/>
      <w:bookmarkEnd w:id="1422"/>
      <w:bookmarkEnd w:id="1423"/>
      <w:bookmarkEnd w:id="1424"/>
      <w:bookmarkEnd w:id="1425"/>
    </w:p>
    <w:p w14:paraId="75EF052F">
      <w:pPr>
        <w:spacing w:line="360" w:lineRule="exact"/>
        <w:rPr>
          <w:rFonts w:ascii="宋体" w:hAnsi="宋体" w:cs="宋体"/>
          <w:color w:val="auto"/>
          <w:kern w:val="1"/>
          <w:szCs w:val="21"/>
        </w:rPr>
      </w:pPr>
      <w:r>
        <w:rPr>
          <w:rFonts w:ascii="宋体" w:hAnsi="宋体" w:cs="宋体"/>
          <w:color w:val="auto"/>
          <w:kern w:val="1"/>
          <w:szCs w:val="21"/>
        </w:rPr>
        <w:t xml:space="preserve">    21.1本工程禁止使用童工。</w:t>
      </w:r>
    </w:p>
    <w:p w14:paraId="422111F8">
      <w:pPr>
        <w:spacing w:line="360" w:lineRule="exact"/>
        <w:ind w:firstLine="420"/>
        <w:rPr>
          <w:rFonts w:ascii="宋体" w:hAnsi="宋体" w:cs="宋体"/>
          <w:color w:val="auto"/>
          <w:kern w:val="1"/>
          <w:szCs w:val="21"/>
        </w:rPr>
      </w:pPr>
      <w:r>
        <w:rPr>
          <w:rFonts w:hint="eastAsia" w:ascii="宋体" w:hAnsi="宋体" w:cs="宋体"/>
          <w:color w:val="auto"/>
          <w:kern w:val="1"/>
          <w:szCs w:val="21"/>
        </w:rPr>
        <w:t>21.2 承包人须在签订合同时向发包人提供本项目的项目管理机构人员任命书。</w:t>
      </w:r>
    </w:p>
    <w:p w14:paraId="594D9227">
      <w:pPr>
        <w:spacing w:line="360" w:lineRule="exact"/>
        <w:ind w:firstLine="420"/>
        <w:rPr>
          <w:rFonts w:ascii="宋体" w:hAnsi="宋体" w:cs="宋体"/>
          <w:color w:val="auto"/>
          <w:kern w:val="1"/>
          <w:szCs w:val="21"/>
        </w:rPr>
      </w:pPr>
      <w:r>
        <w:rPr>
          <w:rFonts w:hint="eastAsia" w:ascii="宋体" w:hAnsi="宋体" w:cs="宋体"/>
          <w:color w:val="auto"/>
          <w:kern w:val="1"/>
          <w:szCs w:val="21"/>
        </w:rPr>
        <w:t>21.3因承包人拖欠农民工工资造成集体上访、投诉、停工、罢工的，发包人有权暂停支付工程进度款。</w:t>
      </w:r>
    </w:p>
    <w:p w14:paraId="4E176635">
      <w:pPr>
        <w:spacing w:line="360" w:lineRule="exact"/>
        <w:ind w:firstLine="420"/>
        <w:rPr>
          <w:rFonts w:ascii="宋体" w:hAnsi="宋体"/>
          <w:b/>
          <w:color w:val="auto"/>
          <w:kern w:val="1"/>
          <w:szCs w:val="21"/>
        </w:rPr>
      </w:pPr>
      <w:r>
        <w:rPr>
          <w:rFonts w:hint="eastAsia" w:ascii="宋体" w:hAnsi="宋体" w:cs="宋体"/>
          <w:color w:val="auto"/>
          <w:kern w:val="1"/>
          <w:szCs w:val="21"/>
        </w:rPr>
        <w:t>21.5在开工后2个月内，承包人必须按照《建筑工人实名制管理办法（试行）的通知》有关规定提供职工（农民工）花名册给发包人，发包人以承包人提供的职工（农民工）花名册核定务工人员；如务工人员发生变化应及时变更并报发包人存档。</w:t>
      </w:r>
    </w:p>
    <w:p w14:paraId="1C72D7A4">
      <w:pPr>
        <w:spacing w:line="360" w:lineRule="exact"/>
        <w:jc w:val="left"/>
        <w:rPr>
          <w:rFonts w:ascii="宋体" w:hAnsi="宋体"/>
          <w:b/>
          <w:color w:val="auto"/>
          <w:szCs w:val="21"/>
        </w:rPr>
      </w:pPr>
      <w:r>
        <w:rPr>
          <w:rFonts w:hint="eastAsia" w:ascii="宋体" w:hAnsi="宋体"/>
          <w:b/>
          <w:color w:val="auto"/>
          <w:szCs w:val="21"/>
        </w:rPr>
        <w:t>附件</w:t>
      </w:r>
    </w:p>
    <w:p w14:paraId="3F91DFC1">
      <w:pPr>
        <w:spacing w:line="360" w:lineRule="exact"/>
        <w:rPr>
          <w:rFonts w:ascii="宋体" w:hAnsi="宋体"/>
          <w:color w:val="auto"/>
          <w:szCs w:val="21"/>
        </w:rPr>
      </w:pPr>
      <w:r>
        <w:rPr>
          <w:rFonts w:hint="eastAsia" w:ascii="宋体" w:hAnsi="宋体"/>
          <w:color w:val="auto"/>
          <w:szCs w:val="21"/>
        </w:rPr>
        <w:t>附件1：承包人承揽工程项目一览表</w:t>
      </w:r>
    </w:p>
    <w:p w14:paraId="4619EFB8">
      <w:pPr>
        <w:spacing w:line="360" w:lineRule="exact"/>
        <w:rPr>
          <w:rFonts w:ascii="宋体" w:hAnsi="宋体"/>
          <w:color w:val="auto"/>
          <w:szCs w:val="21"/>
        </w:rPr>
      </w:pPr>
      <w:r>
        <w:rPr>
          <w:rFonts w:hint="eastAsia" w:ascii="宋体" w:hAnsi="宋体"/>
          <w:color w:val="auto"/>
          <w:szCs w:val="21"/>
        </w:rPr>
        <w:t>附件2：承包人主要施工管理人员表</w:t>
      </w:r>
    </w:p>
    <w:p w14:paraId="2A166EE5">
      <w:pPr>
        <w:spacing w:line="360" w:lineRule="exact"/>
        <w:rPr>
          <w:rFonts w:hint="eastAsia" w:ascii="宋体" w:hAnsi="宋体"/>
          <w:color w:val="auto"/>
          <w:szCs w:val="21"/>
        </w:rPr>
      </w:pPr>
      <w:r>
        <w:rPr>
          <w:rFonts w:hint="eastAsia" w:ascii="宋体" w:hAnsi="宋体"/>
          <w:color w:val="auto"/>
          <w:szCs w:val="21"/>
        </w:rPr>
        <w:t>附件3：承包人用于本工程施工的机械设备表</w:t>
      </w:r>
    </w:p>
    <w:p w14:paraId="7D226A23">
      <w:pPr>
        <w:spacing w:line="360" w:lineRule="exact"/>
        <w:rPr>
          <w:rFonts w:hint="eastAsia" w:ascii="宋体" w:hAnsi="宋体" w:cs="宋体"/>
          <w:color w:val="auto"/>
          <w:szCs w:val="21"/>
        </w:rPr>
      </w:pPr>
      <w:r>
        <w:rPr>
          <w:rFonts w:hint="eastAsia" w:ascii="宋体" w:hAnsi="宋体"/>
          <w:color w:val="auto"/>
          <w:szCs w:val="21"/>
        </w:rPr>
        <w:t>附件4：工程质量保修书</w:t>
      </w:r>
    </w:p>
    <w:p w14:paraId="45843F10">
      <w:pPr>
        <w:spacing w:before="156" w:beforeLines="50" w:after="156" w:afterLines="50" w:line="360" w:lineRule="exact"/>
        <w:jc w:val="left"/>
        <w:rPr>
          <w:rFonts w:hint="eastAsia" w:ascii="宋体" w:hAnsi="宋体"/>
          <w:color w:val="auto"/>
          <w:sz w:val="30"/>
          <w:szCs w:val="30"/>
        </w:rPr>
      </w:pPr>
      <w:bookmarkStart w:id="1426" w:name="_Toc27720"/>
    </w:p>
    <w:p w14:paraId="1072078D">
      <w:pPr>
        <w:spacing w:before="156" w:beforeLines="50" w:after="156" w:afterLines="50" w:line="360" w:lineRule="exact"/>
        <w:jc w:val="left"/>
        <w:rPr>
          <w:rFonts w:hint="eastAsia" w:ascii="宋体" w:hAnsi="宋体"/>
          <w:color w:val="auto"/>
          <w:sz w:val="30"/>
          <w:szCs w:val="30"/>
        </w:rPr>
      </w:pPr>
    </w:p>
    <w:p w14:paraId="439B568B">
      <w:pPr>
        <w:spacing w:before="156" w:beforeLines="50" w:after="156" w:afterLines="50" w:line="360" w:lineRule="exact"/>
        <w:jc w:val="left"/>
        <w:rPr>
          <w:rFonts w:hint="eastAsia" w:ascii="宋体" w:hAnsi="宋体"/>
          <w:color w:val="auto"/>
          <w:sz w:val="30"/>
          <w:szCs w:val="30"/>
        </w:rPr>
      </w:pPr>
    </w:p>
    <w:p w14:paraId="57E7E0F2">
      <w:pPr>
        <w:spacing w:before="156" w:beforeLines="50" w:after="156" w:afterLines="50" w:line="360" w:lineRule="exact"/>
        <w:jc w:val="left"/>
        <w:rPr>
          <w:rFonts w:ascii="宋体" w:hAnsi="宋体"/>
          <w:color w:val="auto"/>
          <w:sz w:val="30"/>
          <w:szCs w:val="30"/>
        </w:rPr>
      </w:pPr>
      <w:r>
        <w:rPr>
          <w:rFonts w:hint="eastAsia" w:ascii="宋体" w:hAnsi="宋体"/>
          <w:color w:val="auto"/>
          <w:sz w:val="30"/>
          <w:szCs w:val="30"/>
        </w:rPr>
        <w:t>附件1：</w:t>
      </w:r>
    </w:p>
    <w:p w14:paraId="7CED0060">
      <w:pPr>
        <w:spacing w:before="156" w:beforeLines="50" w:after="156" w:afterLines="50" w:line="360" w:lineRule="exact"/>
        <w:jc w:val="center"/>
        <w:rPr>
          <w:rFonts w:ascii="宋体" w:hAnsi="宋体"/>
          <w:b/>
          <w:color w:val="auto"/>
          <w:sz w:val="30"/>
          <w:szCs w:val="30"/>
        </w:rPr>
      </w:pPr>
      <w:r>
        <w:rPr>
          <w:rFonts w:hint="eastAsia" w:ascii="宋体" w:hAnsi="宋体"/>
          <w:b/>
          <w:color w:val="auto"/>
          <w:sz w:val="30"/>
          <w:szCs w:val="30"/>
        </w:rPr>
        <w:t>承包人承揽工程项目一览表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709"/>
        <w:gridCol w:w="1083"/>
        <w:gridCol w:w="850"/>
        <w:gridCol w:w="657"/>
        <w:gridCol w:w="902"/>
        <w:gridCol w:w="992"/>
        <w:gridCol w:w="1134"/>
        <w:gridCol w:w="658"/>
        <w:gridCol w:w="850"/>
      </w:tblGrid>
      <w:tr w14:paraId="665A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Borders>
              <w:top w:val="single" w:color="auto" w:sz="4" w:space="0"/>
              <w:left w:val="single" w:color="auto" w:sz="4" w:space="0"/>
              <w:bottom w:val="single" w:color="auto" w:sz="4" w:space="0"/>
              <w:right w:val="single" w:color="auto" w:sz="4" w:space="0"/>
            </w:tcBorders>
            <w:noWrap w:val="0"/>
            <w:vAlign w:val="center"/>
          </w:tcPr>
          <w:p w14:paraId="0F964374">
            <w:pPr>
              <w:pStyle w:val="21"/>
              <w:keepNext/>
              <w:spacing w:line="360" w:lineRule="exact"/>
              <w:ind w:left="63" w:right="63"/>
              <w:rPr>
                <w:rFonts w:ascii="宋体" w:hAnsi="宋体"/>
                <w:color w:val="auto"/>
                <w:szCs w:val="21"/>
              </w:rPr>
            </w:pPr>
            <w:r>
              <w:rPr>
                <w:rFonts w:hint="eastAsia" w:ascii="宋体" w:hAnsi="宋体"/>
                <w:color w:val="auto"/>
                <w:szCs w:val="21"/>
              </w:rPr>
              <w:t>单位工</w:t>
            </w:r>
          </w:p>
          <w:p w14:paraId="4060E390">
            <w:pPr>
              <w:pStyle w:val="21"/>
              <w:keepNext/>
              <w:spacing w:line="360" w:lineRule="exact"/>
              <w:ind w:left="63" w:right="63"/>
              <w:rPr>
                <w:rFonts w:ascii="宋体" w:hAnsi="宋体"/>
                <w:color w:val="auto"/>
                <w:szCs w:val="21"/>
              </w:rPr>
            </w:pPr>
            <w:r>
              <w:rPr>
                <w:rFonts w:hint="eastAsia" w:ascii="宋体" w:hAnsi="宋体"/>
                <w:color w:val="auto"/>
                <w:szCs w:val="21"/>
              </w:rPr>
              <w:t>程名称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ECABCBE">
            <w:pPr>
              <w:pStyle w:val="21"/>
              <w:keepNext/>
              <w:spacing w:line="360" w:lineRule="exact"/>
              <w:ind w:left="63" w:right="63"/>
              <w:rPr>
                <w:rFonts w:ascii="宋体" w:hAnsi="宋体"/>
                <w:color w:val="auto"/>
                <w:szCs w:val="21"/>
              </w:rPr>
            </w:pPr>
            <w:r>
              <w:rPr>
                <w:rFonts w:hint="eastAsia" w:ascii="宋体" w:hAnsi="宋体"/>
                <w:color w:val="auto"/>
                <w:szCs w:val="21"/>
              </w:rPr>
              <w:t>建设</w:t>
            </w:r>
          </w:p>
          <w:p w14:paraId="0BCA4BAC">
            <w:pPr>
              <w:pStyle w:val="21"/>
              <w:keepNext/>
              <w:spacing w:line="360" w:lineRule="exact"/>
              <w:ind w:left="63" w:right="63"/>
              <w:rPr>
                <w:rFonts w:ascii="宋体" w:hAnsi="宋体"/>
                <w:color w:val="auto"/>
                <w:szCs w:val="21"/>
              </w:rPr>
            </w:pPr>
            <w:r>
              <w:rPr>
                <w:rFonts w:hint="eastAsia" w:ascii="宋体" w:hAnsi="宋体"/>
                <w:color w:val="auto"/>
                <w:szCs w:val="21"/>
              </w:rPr>
              <w:t>规模</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65DCD92">
            <w:pPr>
              <w:pStyle w:val="21"/>
              <w:keepNext/>
              <w:spacing w:line="360" w:lineRule="exact"/>
              <w:ind w:left="63" w:right="63"/>
              <w:rPr>
                <w:rFonts w:ascii="宋体" w:hAnsi="宋体"/>
                <w:color w:val="auto"/>
                <w:szCs w:val="21"/>
              </w:rPr>
            </w:pPr>
            <w:r>
              <w:rPr>
                <w:rFonts w:hint="eastAsia" w:ascii="宋体" w:hAnsi="宋体"/>
                <w:color w:val="auto"/>
                <w:szCs w:val="21"/>
              </w:rPr>
              <w:t>建筑面积</w:t>
            </w:r>
          </w:p>
          <w:p w14:paraId="2E1A905D">
            <w:pPr>
              <w:pStyle w:val="21"/>
              <w:keepNext/>
              <w:spacing w:line="360" w:lineRule="exact"/>
              <w:ind w:left="63" w:right="63"/>
              <w:rPr>
                <w:rFonts w:ascii="宋体" w:hAnsi="宋体"/>
                <w:color w:val="auto"/>
                <w:szCs w:val="21"/>
              </w:rPr>
            </w:pPr>
            <w:r>
              <w:rPr>
                <w:rFonts w:hint="eastAsia" w:ascii="宋体" w:hAnsi="宋体"/>
                <w:color w:val="auto"/>
                <w:szCs w:val="21"/>
              </w:rPr>
              <w:t>(平方米)</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D0B4868">
            <w:pPr>
              <w:pStyle w:val="21"/>
              <w:keepNext/>
              <w:spacing w:line="360" w:lineRule="exact"/>
              <w:ind w:left="63" w:right="63"/>
              <w:rPr>
                <w:rFonts w:ascii="宋体" w:hAnsi="宋体"/>
                <w:color w:val="auto"/>
                <w:szCs w:val="21"/>
              </w:rPr>
            </w:pPr>
            <w:r>
              <w:rPr>
                <w:rFonts w:hint="eastAsia" w:ascii="宋体" w:hAnsi="宋体"/>
                <w:color w:val="auto"/>
                <w:szCs w:val="21"/>
              </w:rPr>
              <w:t>结构</w:t>
            </w:r>
          </w:p>
          <w:p w14:paraId="0814523D">
            <w:pPr>
              <w:pStyle w:val="21"/>
              <w:keepNext/>
              <w:spacing w:line="360" w:lineRule="exact"/>
              <w:ind w:left="63" w:right="63"/>
              <w:rPr>
                <w:rFonts w:ascii="宋体" w:hAnsi="宋体"/>
                <w:color w:val="auto"/>
                <w:szCs w:val="21"/>
              </w:rPr>
            </w:pPr>
            <w:r>
              <w:rPr>
                <w:rFonts w:hint="eastAsia" w:ascii="宋体" w:hAnsi="宋体"/>
                <w:color w:val="auto"/>
                <w:szCs w:val="21"/>
              </w:rPr>
              <w:t>形式</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3F5ACE03">
            <w:pPr>
              <w:pStyle w:val="21"/>
              <w:keepNext/>
              <w:spacing w:line="360" w:lineRule="exact"/>
              <w:ind w:left="63" w:right="63"/>
              <w:rPr>
                <w:rFonts w:ascii="宋体" w:hAnsi="宋体"/>
                <w:color w:val="auto"/>
                <w:szCs w:val="21"/>
              </w:rPr>
            </w:pPr>
            <w:r>
              <w:rPr>
                <w:rFonts w:hint="eastAsia" w:ascii="宋体" w:hAnsi="宋体"/>
                <w:color w:val="auto"/>
                <w:szCs w:val="21"/>
              </w:rPr>
              <w:t>层数</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54CCB71A">
            <w:pPr>
              <w:pStyle w:val="21"/>
              <w:keepNext/>
              <w:spacing w:line="360" w:lineRule="exact"/>
              <w:ind w:left="63" w:right="63"/>
              <w:rPr>
                <w:rFonts w:ascii="宋体" w:hAnsi="宋体"/>
                <w:color w:val="auto"/>
                <w:szCs w:val="21"/>
              </w:rPr>
            </w:pPr>
            <w:r>
              <w:rPr>
                <w:rFonts w:hint="eastAsia" w:ascii="宋体" w:hAnsi="宋体"/>
                <w:color w:val="auto"/>
                <w:szCs w:val="21"/>
              </w:rPr>
              <w:t>生产</w:t>
            </w:r>
          </w:p>
          <w:p w14:paraId="125E326A">
            <w:pPr>
              <w:pStyle w:val="21"/>
              <w:keepNext/>
              <w:spacing w:line="360" w:lineRule="exact"/>
              <w:ind w:left="63" w:right="63"/>
              <w:rPr>
                <w:rFonts w:ascii="宋体" w:hAnsi="宋体"/>
                <w:color w:val="auto"/>
                <w:szCs w:val="21"/>
              </w:rPr>
            </w:pPr>
            <w:r>
              <w:rPr>
                <w:rFonts w:hint="eastAsia" w:ascii="宋体" w:hAnsi="宋体"/>
                <w:color w:val="auto"/>
                <w:szCs w:val="21"/>
              </w:rPr>
              <w:t>能力</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02A7A0B">
            <w:pPr>
              <w:pStyle w:val="21"/>
              <w:keepNext/>
              <w:spacing w:line="360" w:lineRule="exact"/>
              <w:ind w:left="63" w:right="63"/>
              <w:rPr>
                <w:rFonts w:ascii="宋体" w:hAnsi="宋体"/>
                <w:color w:val="auto"/>
                <w:szCs w:val="21"/>
              </w:rPr>
            </w:pPr>
            <w:r>
              <w:rPr>
                <w:rFonts w:hint="eastAsia" w:ascii="宋体" w:hAnsi="宋体"/>
                <w:color w:val="auto"/>
                <w:szCs w:val="21"/>
              </w:rPr>
              <w:t>设备安</w:t>
            </w:r>
          </w:p>
          <w:p w14:paraId="65C7EE5C">
            <w:pPr>
              <w:pStyle w:val="21"/>
              <w:keepNext/>
              <w:spacing w:line="360" w:lineRule="exact"/>
              <w:ind w:left="63" w:right="63"/>
              <w:rPr>
                <w:rFonts w:ascii="宋体" w:hAnsi="宋体"/>
                <w:color w:val="auto"/>
                <w:szCs w:val="21"/>
              </w:rPr>
            </w:pPr>
            <w:r>
              <w:rPr>
                <w:rFonts w:hint="eastAsia" w:ascii="宋体" w:hAnsi="宋体"/>
                <w:color w:val="auto"/>
                <w:szCs w:val="21"/>
              </w:rPr>
              <w:t>装内容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28A37C">
            <w:pPr>
              <w:pStyle w:val="21"/>
              <w:keepNext/>
              <w:spacing w:line="360" w:lineRule="exact"/>
              <w:ind w:left="63" w:right="63"/>
              <w:rPr>
                <w:rFonts w:ascii="宋体" w:hAnsi="宋体"/>
                <w:color w:val="auto"/>
                <w:szCs w:val="21"/>
              </w:rPr>
            </w:pPr>
            <w:r>
              <w:rPr>
                <w:rFonts w:hint="eastAsia" w:ascii="宋体" w:hAnsi="宋体"/>
                <w:color w:val="auto"/>
                <w:szCs w:val="21"/>
              </w:rPr>
              <w:t>合同价格</w:t>
            </w:r>
          </w:p>
          <w:p w14:paraId="71BF4431">
            <w:pPr>
              <w:pStyle w:val="21"/>
              <w:keepNext/>
              <w:spacing w:line="360" w:lineRule="exact"/>
              <w:ind w:left="63" w:right="63"/>
              <w:rPr>
                <w:rFonts w:ascii="宋体" w:hAnsi="宋体"/>
                <w:color w:val="auto"/>
                <w:szCs w:val="21"/>
              </w:rPr>
            </w:pPr>
            <w:r>
              <w:rPr>
                <w:rFonts w:hint="eastAsia" w:ascii="宋体" w:hAnsi="宋体"/>
                <w:color w:val="auto"/>
                <w:szCs w:val="21"/>
              </w:rPr>
              <w:t>（元）</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4788835">
            <w:pPr>
              <w:pStyle w:val="21"/>
              <w:keepNext/>
              <w:spacing w:line="360" w:lineRule="exact"/>
              <w:ind w:left="63" w:right="63"/>
              <w:rPr>
                <w:rFonts w:ascii="宋体" w:hAnsi="宋体"/>
                <w:color w:val="auto"/>
                <w:szCs w:val="21"/>
              </w:rPr>
            </w:pPr>
            <w:r>
              <w:rPr>
                <w:rFonts w:hint="eastAsia" w:ascii="宋体" w:hAnsi="宋体"/>
                <w:color w:val="auto"/>
                <w:szCs w:val="21"/>
              </w:rPr>
              <w:t>开工</w:t>
            </w:r>
          </w:p>
          <w:p w14:paraId="6CD53B00">
            <w:pPr>
              <w:pStyle w:val="21"/>
              <w:keepNext/>
              <w:spacing w:line="360" w:lineRule="exact"/>
              <w:ind w:left="63" w:right="63"/>
              <w:rPr>
                <w:rFonts w:ascii="宋体" w:hAnsi="宋体"/>
                <w:color w:val="auto"/>
                <w:szCs w:val="21"/>
              </w:rPr>
            </w:pPr>
            <w:r>
              <w:rPr>
                <w:rFonts w:hint="eastAsia" w:ascii="宋体" w:hAnsi="宋体"/>
                <w:color w:val="auto"/>
                <w:szCs w:val="21"/>
              </w:rPr>
              <w:t>日期</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FDB6CD9">
            <w:pPr>
              <w:pStyle w:val="21"/>
              <w:keepNext/>
              <w:spacing w:line="360" w:lineRule="exact"/>
              <w:ind w:left="63" w:right="63"/>
              <w:rPr>
                <w:rFonts w:ascii="宋体" w:hAnsi="宋体"/>
                <w:color w:val="auto"/>
                <w:szCs w:val="21"/>
              </w:rPr>
            </w:pPr>
            <w:r>
              <w:rPr>
                <w:rFonts w:hint="eastAsia" w:ascii="宋体" w:hAnsi="宋体"/>
                <w:color w:val="auto"/>
                <w:szCs w:val="21"/>
              </w:rPr>
              <w:t>竣工</w:t>
            </w:r>
          </w:p>
          <w:p w14:paraId="4BF4EFF9">
            <w:pPr>
              <w:pStyle w:val="21"/>
              <w:keepNext/>
              <w:spacing w:line="360" w:lineRule="exact"/>
              <w:ind w:left="63" w:right="63"/>
              <w:rPr>
                <w:rFonts w:ascii="宋体" w:hAnsi="宋体"/>
                <w:color w:val="auto"/>
                <w:szCs w:val="21"/>
              </w:rPr>
            </w:pPr>
            <w:r>
              <w:rPr>
                <w:rFonts w:hint="eastAsia" w:ascii="宋体" w:hAnsi="宋体"/>
                <w:color w:val="auto"/>
                <w:szCs w:val="21"/>
              </w:rPr>
              <w:t>日期</w:t>
            </w:r>
          </w:p>
        </w:tc>
      </w:tr>
      <w:tr w14:paraId="15E6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14:paraId="3C4B2DFF">
            <w:pPr>
              <w:pStyle w:val="21"/>
              <w:keepNext/>
              <w:spacing w:line="360" w:lineRule="exact"/>
              <w:ind w:left="63" w:right="63"/>
              <w:rPr>
                <w:rFonts w:ascii="宋体" w:hAnsi="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C57923E">
            <w:pPr>
              <w:pStyle w:val="21"/>
              <w:keepNext/>
              <w:spacing w:line="360" w:lineRule="exact"/>
              <w:ind w:left="63" w:right="63"/>
              <w:rPr>
                <w:rFonts w:ascii="宋体" w:hAnsi="宋体"/>
                <w:color w:val="auto"/>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3B01CEB0">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E8A52BE">
            <w:pPr>
              <w:pStyle w:val="21"/>
              <w:keepNext/>
              <w:spacing w:line="360" w:lineRule="exact"/>
              <w:ind w:left="63" w:right="63"/>
              <w:rPr>
                <w:rFonts w:ascii="宋体" w:hAnsi="宋体"/>
                <w:color w:val="auto"/>
                <w:szCs w:val="21"/>
              </w:rPr>
            </w:pPr>
          </w:p>
        </w:tc>
        <w:tc>
          <w:tcPr>
            <w:tcW w:w="657" w:type="dxa"/>
            <w:tcBorders>
              <w:top w:val="single" w:color="auto" w:sz="4" w:space="0"/>
              <w:left w:val="single" w:color="auto" w:sz="4" w:space="0"/>
              <w:bottom w:val="single" w:color="auto" w:sz="4" w:space="0"/>
              <w:right w:val="single" w:color="auto" w:sz="4" w:space="0"/>
            </w:tcBorders>
            <w:noWrap w:val="0"/>
            <w:vAlign w:val="center"/>
          </w:tcPr>
          <w:p w14:paraId="056B223F">
            <w:pPr>
              <w:pStyle w:val="21"/>
              <w:keepNext/>
              <w:spacing w:line="360" w:lineRule="exact"/>
              <w:ind w:left="63" w:right="63"/>
              <w:rPr>
                <w:rFonts w:ascii="宋体" w:hAnsi="宋体"/>
                <w:color w:val="auto"/>
                <w:szCs w:val="21"/>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0249930C">
            <w:pPr>
              <w:pStyle w:val="21"/>
              <w:keepNext/>
              <w:spacing w:line="360" w:lineRule="exact"/>
              <w:ind w:left="63" w:right="63"/>
              <w:rPr>
                <w:rFonts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18FD958">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DDD855">
            <w:pPr>
              <w:pStyle w:val="21"/>
              <w:keepNext/>
              <w:spacing w:line="360" w:lineRule="exact"/>
              <w:ind w:left="63" w:right="63"/>
              <w:rPr>
                <w:rFonts w:ascii="宋体" w:hAnsi="宋体"/>
                <w:color w:val="auto"/>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13353D7F">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67D1F83">
            <w:pPr>
              <w:pStyle w:val="21"/>
              <w:keepNext/>
              <w:spacing w:line="360" w:lineRule="exact"/>
              <w:ind w:left="63" w:right="63"/>
              <w:rPr>
                <w:rFonts w:ascii="宋体" w:hAnsi="宋体"/>
                <w:color w:val="auto"/>
                <w:szCs w:val="21"/>
              </w:rPr>
            </w:pPr>
          </w:p>
        </w:tc>
      </w:tr>
      <w:tr w14:paraId="0D26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14:paraId="6FFA7C66">
            <w:pPr>
              <w:pStyle w:val="21"/>
              <w:keepNext/>
              <w:spacing w:line="360" w:lineRule="exact"/>
              <w:ind w:left="63" w:right="63"/>
              <w:rPr>
                <w:rFonts w:ascii="宋体" w:hAnsi="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8834155">
            <w:pPr>
              <w:pStyle w:val="21"/>
              <w:keepNext/>
              <w:spacing w:line="360" w:lineRule="exact"/>
              <w:ind w:left="63" w:right="63"/>
              <w:rPr>
                <w:rFonts w:ascii="宋体" w:hAnsi="宋体"/>
                <w:color w:val="auto"/>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81D909F">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97FEBA5">
            <w:pPr>
              <w:pStyle w:val="21"/>
              <w:keepNext/>
              <w:spacing w:line="360" w:lineRule="exact"/>
              <w:ind w:left="63" w:right="63"/>
              <w:rPr>
                <w:rFonts w:ascii="宋体" w:hAnsi="宋体"/>
                <w:color w:val="auto"/>
                <w:szCs w:val="21"/>
              </w:rPr>
            </w:pPr>
          </w:p>
        </w:tc>
        <w:tc>
          <w:tcPr>
            <w:tcW w:w="657" w:type="dxa"/>
            <w:tcBorders>
              <w:top w:val="single" w:color="auto" w:sz="4" w:space="0"/>
              <w:left w:val="single" w:color="auto" w:sz="4" w:space="0"/>
              <w:bottom w:val="single" w:color="auto" w:sz="4" w:space="0"/>
              <w:right w:val="single" w:color="auto" w:sz="4" w:space="0"/>
            </w:tcBorders>
            <w:noWrap w:val="0"/>
            <w:vAlign w:val="center"/>
          </w:tcPr>
          <w:p w14:paraId="2EE9B706">
            <w:pPr>
              <w:pStyle w:val="21"/>
              <w:keepNext/>
              <w:spacing w:line="360" w:lineRule="exact"/>
              <w:ind w:left="63" w:right="63"/>
              <w:rPr>
                <w:rFonts w:ascii="宋体" w:hAnsi="宋体"/>
                <w:color w:val="auto"/>
                <w:szCs w:val="21"/>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1091FB64">
            <w:pPr>
              <w:pStyle w:val="21"/>
              <w:keepNext/>
              <w:spacing w:line="360" w:lineRule="exact"/>
              <w:ind w:left="63" w:right="63"/>
              <w:rPr>
                <w:rFonts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3388D96">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9CE30A">
            <w:pPr>
              <w:pStyle w:val="21"/>
              <w:keepNext/>
              <w:spacing w:line="360" w:lineRule="exact"/>
              <w:ind w:left="63" w:right="63"/>
              <w:rPr>
                <w:rFonts w:ascii="宋体" w:hAnsi="宋体"/>
                <w:color w:val="auto"/>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6F4FC058">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AC90E2F">
            <w:pPr>
              <w:pStyle w:val="21"/>
              <w:keepNext/>
              <w:spacing w:line="360" w:lineRule="exact"/>
              <w:ind w:left="63" w:right="63"/>
              <w:rPr>
                <w:rFonts w:ascii="宋体" w:hAnsi="宋体"/>
                <w:color w:val="auto"/>
                <w:szCs w:val="21"/>
              </w:rPr>
            </w:pPr>
          </w:p>
        </w:tc>
      </w:tr>
      <w:tr w14:paraId="3585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14:paraId="445EA36C">
            <w:pPr>
              <w:pStyle w:val="21"/>
              <w:keepNext/>
              <w:spacing w:line="360" w:lineRule="exact"/>
              <w:ind w:left="63" w:right="63"/>
              <w:rPr>
                <w:rFonts w:ascii="宋体" w:hAnsi="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779F66B">
            <w:pPr>
              <w:pStyle w:val="21"/>
              <w:keepNext/>
              <w:spacing w:line="360" w:lineRule="exact"/>
              <w:ind w:left="63" w:right="63"/>
              <w:rPr>
                <w:rFonts w:ascii="宋体" w:hAnsi="宋体"/>
                <w:color w:val="auto"/>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3954089">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F9DB0F8">
            <w:pPr>
              <w:pStyle w:val="21"/>
              <w:keepNext/>
              <w:spacing w:line="360" w:lineRule="exact"/>
              <w:ind w:left="63" w:right="63"/>
              <w:rPr>
                <w:rFonts w:ascii="宋体" w:hAnsi="宋体"/>
                <w:color w:val="auto"/>
                <w:szCs w:val="21"/>
              </w:rPr>
            </w:pPr>
          </w:p>
        </w:tc>
        <w:tc>
          <w:tcPr>
            <w:tcW w:w="657" w:type="dxa"/>
            <w:tcBorders>
              <w:top w:val="single" w:color="auto" w:sz="4" w:space="0"/>
              <w:left w:val="single" w:color="auto" w:sz="4" w:space="0"/>
              <w:bottom w:val="single" w:color="auto" w:sz="4" w:space="0"/>
              <w:right w:val="single" w:color="auto" w:sz="4" w:space="0"/>
            </w:tcBorders>
            <w:noWrap w:val="0"/>
            <w:vAlign w:val="center"/>
          </w:tcPr>
          <w:p w14:paraId="2078333A">
            <w:pPr>
              <w:pStyle w:val="21"/>
              <w:keepNext/>
              <w:spacing w:line="360" w:lineRule="exact"/>
              <w:ind w:left="63" w:right="63"/>
              <w:rPr>
                <w:rFonts w:ascii="宋体" w:hAnsi="宋体"/>
                <w:color w:val="auto"/>
                <w:szCs w:val="21"/>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408C0B75">
            <w:pPr>
              <w:pStyle w:val="21"/>
              <w:keepNext/>
              <w:spacing w:line="360" w:lineRule="exact"/>
              <w:ind w:left="63" w:right="63"/>
              <w:rPr>
                <w:rFonts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ADCC0A8">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D5B0EF">
            <w:pPr>
              <w:pStyle w:val="21"/>
              <w:keepNext/>
              <w:spacing w:line="360" w:lineRule="exact"/>
              <w:ind w:left="63" w:right="63"/>
              <w:rPr>
                <w:rFonts w:ascii="宋体" w:hAnsi="宋体"/>
                <w:color w:val="auto"/>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2B45D5DE">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E140231">
            <w:pPr>
              <w:pStyle w:val="21"/>
              <w:keepNext/>
              <w:spacing w:line="360" w:lineRule="exact"/>
              <w:ind w:left="63" w:right="63"/>
              <w:rPr>
                <w:rFonts w:ascii="宋体" w:hAnsi="宋体"/>
                <w:color w:val="auto"/>
                <w:szCs w:val="21"/>
              </w:rPr>
            </w:pPr>
          </w:p>
        </w:tc>
      </w:tr>
      <w:tr w14:paraId="10B1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14:paraId="44C777AE">
            <w:pPr>
              <w:pStyle w:val="21"/>
              <w:keepNext/>
              <w:spacing w:line="360" w:lineRule="exact"/>
              <w:ind w:left="63" w:right="63"/>
              <w:rPr>
                <w:rFonts w:ascii="宋体" w:hAnsi="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5935870">
            <w:pPr>
              <w:pStyle w:val="21"/>
              <w:keepNext/>
              <w:spacing w:line="360" w:lineRule="exact"/>
              <w:ind w:left="63" w:right="63"/>
              <w:rPr>
                <w:rFonts w:ascii="宋体" w:hAnsi="宋体"/>
                <w:color w:val="auto"/>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51791F58">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01F91B3">
            <w:pPr>
              <w:pStyle w:val="21"/>
              <w:keepNext/>
              <w:spacing w:line="360" w:lineRule="exact"/>
              <w:ind w:left="63" w:right="63"/>
              <w:rPr>
                <w:rFonts w:ascii="宋体" w:hAnsi="宋体"/>
                <w:color w:val="auto"/>
                <w:szCs w:val="21"/>
              </w:rPr>
            </w:pPr>
          </w:p>
        </w:tc>
        <w:tc>
          <w:tcPr>
            <w:tcW w:w="657" w:type="dxa"/>
            <w:tcBorders>
              <w:top w:val="single" w:color="auto" w:sz="4" w:space="0"/>
              <w:left w:val="single" w:color="auto" w:sz="4" w:space="0"/>
              <w:bottom w:val="single" w:color="auto" w:sz="4" w:space="0"/>
              <w:right w:val="single" w:color="auto" w:sz="4" w:space="0"/>
            </w:tcBorders>
            <w:noWrap w:val="0"/>
            <w:vAlign w:val="center"/>
          </w:tcPr>
          <w:p w14:paraId="42A702C8">
            <w:pPr>
              <w:pStyle w:val="21"/>
              <w:keepNext/>
              <w:spacing w:line="360" w:lineRule="exact"/>
              <w:ind w:left="63" w:right="63"/>
              <w:rPr>
                <w:rFonts w:ascii="宋体" w:hAnsi="宋体"/>
                <w:color w:val="auto"/>
                <w:szCs w:val="21"/>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339F355E">
            <w:pPr>
              <w:pStyle w:val="21"/>
              <w:keepNext/>
              <w:spacing w:line="360" w:lineRule="exact"/>
              <w:ind w:left="63" w:right="63"/>
              <w:rPr>
                <w:rFonts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9E93935">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1FFA9C">
            <w:pPr>
              <w:pStyle w:val="21"/>
              <w:keepNext/>
              <w:spacing w:line="360" w:lineRule="exact"/>
              <w:ind w:left="63" w:right="63"/>
              <w:rPr>
                <w:rFonts w:ascii="宋体" w:hAnsi="宋体"/>
                <w:color w:val="auto"/>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68D13957">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1D3C6DA">
            <w:pPr>
              <w:pStyle w:val="21"/>
              <w:keepNext/>
              <w:spacing w:line="360" w:lineRule="exact"/>
              <w:ind w:left="63" w:right="63"/>
              <w:rPr>
                <w:rFonts w:ascii="宋体" w:hAnsi="宋体"/>
                <w:color w:val="auto"/>
                <w:szCs w:val="21"/>
              </w:rPr>
            </w:pPr>
          </w:p>
        </w:tc>
      </w:tr>
      <w:tr w14:paraId="1B77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14:paraId="5D9BA23F">
            <w:pPr>
              <w:pStyle w:val="21"/>
              <w:keepNext/>
              <w:spacing w:line="360" w:lineRule="exact"/>
              <w:ind w:left="63" w:right="63"/>
              <w:rPr>
                <w:rFonts w:ascii="宋体" w:hAnsi="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8B4853D">
            <w:pPr>
              <w:pStyle w:val="21"/>
              <w:keepNext/>
              <w:spacing w:line="360" w:lineRule="exact"/>
              <w:ind w:left="63" w:right="63"/>
              <w:rPr>
                <w:rFonts w:ascii="宋体" w:hAnsi="宋体"/>
                <w:color w:val="auto"/>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7BADAB28">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01833F">
            <w:pPr>
              <w:pStyle w:val="21"/>
              <w:keepNext/>
              <w:spacing w:line="360" w:lineRule="exact"/>
              <w:ind w:left="63" w:right="63"/>
              <w:rPr>
                <w:rFonts w:ascii="宋体" w:hAnsi="宋体"/>
                <w:color w:val="auto"/>
                <w:szCs w:val="21"/>
              </w:rPr>
            </w:pPr>
          </w:p>
        </w:tc>
        <w:tc>
          <w:tcPr>
            <w:tcW w:w="657" w:type="dxa"/>
            <w:tcBorders>
              <w:top w:val="single" w:color="auto" w:sz="4" w:space="0"/>
              <w:left w:val="single" w:color="auto" w:sz="4" w:space="0"/>
              <w:bottom w:val="single" w:color="auto" w:sz="4" w:space="0"/>
              <w:right w:val="single" w:color="auto" w:sz="4" w:space="0"/>
            </w:tcBorders>
            <w:noWrap w:val="0"/>
            <w:vAlign w:val="center"/>
          </w:tcPr>
          <w:p w14:paraId="46B895D3">
            <w:pPr>
              <w:pStyle w:val="21"/>
              <w:keepNext/>
              <w:spacing w:line="360" w:lineRule="exact"/>
              <w:ind w:left="63" w:right="63"/>
              <w:rPr>
                <w:rFonts w:ascii="宋体" w:hAnsi="宋体"/>
                <w:color w:val="auto"/>
                <w:szCs w:val="21"/>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66F1B50A">
            <w:pPr>
              <w:pStyle w:val="21"/>
              <w:keepNext/>
              <w:spacing w:line="360" w:lineRule="exact"/>
              <w:ind w:left="63" w:right="63"/>
              <w:rPr>
                <w:rFonts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9B17125">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C3F9C0">
            <w:pPr>
              <w:pStyle w:val="21"/>
              <w:keepNext/>
              <w:spacing w:line="360" w:lineRule="exact"/>
              <w:ind w:left="63" w:right="63"/>
              <w:rPr>
                <w:rFonts w:ascii="宋体" w:hAnsi="宋体"/>
                <w:color w:val="auto"/>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26806624">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19C3077">
            <w:pPr>
              <w:pStyle w:val="21"/>
              <w:keepNext/>
              <w:spacing w:line="360" w:lineRule="exact"/>
              <w:ind w:left="63" w:right="63"/>
              <w:rPr>
                <w:rFonts w:ascii="宋体" w:hAnsi="宋体"/>
                <w:color w:val="auto"/>
                <w:szCs w:val="21"/>
              </w:rPr>
            </w:pPr>
          </w:p>
        </w:tc>
      </w:tr>
      <w:tr w14:paraId="6D60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14:paraId="744DDE1C">
            <w:pPr>
              <w:pStyle w:val="21"/>
              <w:keepNext/>
              <w:spacing w:line="360" w:lineRule="exact"/>
              <w:ind w:left="63" w:right="63"/>
              <w:rPr>
                <w:rFonts w:ascii="宋体" w:hAnsi="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EC86597">
            <w:pPr>
              <w:pStyle w:val="21"/>
              <w:keepNext/>
              <w:spacing w:line="360" w:lineRule="exact"/>
              <w:ind w:left="63" w:right="63"/>
              <w:rPr>
                <w:rFonts w:ascii="宋体" w:hAnsi="宋体"/>
                <w:color w:val="auto"/>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C6CCE2A">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877383D">
            <w:pPr>
              <w:pStyle w:val="21"/>
              <w:keepNext/>
              <w:spacing w:line="360" w:lineRule="exact"/>
              <w:ind w:left="63" w:right="63"/>
              <w:rPr>
                <w:rFonts w:ascii="宋体" w:hAnsi="宋体"/>
                <w:color w:val="auto"/>
                <w:szCs w:val="21"/>
              </w:rPr>
            </w:pPr>
          </w:p>
        </w:tc>
        <w:tc>
          <w:tcPr>
            <w:tcW w:w="657" w:type="dxa"/>
            <w:tcBorders>
              <w:top w:val="single" w:color="auto" w:sz="4" w:space="0"/>
              <w:left w:val="single" w:color="auto" w:sz="4" w:space="0"/>
              <w:bottom w:val="single" w:color="auto" w:sz="4" w:space="0"/>
              <w:right w:val="single" w:color="auto" w:sz="4" w:space="0"/>
            </w:tcBorders>
            <w:noWrap w:val="0"/>
            <w:vAlign w:val="center"/>
          </w:tcPr>
          <w:p w14:paraId="0F41BEEF">
            <w:pPr>
              <w:pStyle w:val="21"/>
              <w:keepNext/>
              <w:spacing w:line="360" w:lineRule="exact"/>
              <w:ind w:left="63" w:right="63"/>
              <w:rPr>
                <w:rFonts w:ascii="宋体" w:hAnsi="宋体"/>
                <w:color w:val="auto"/>
                <w:szCs w:val="21"/>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53EDB2AA">
            <w:pPr>
              <w:pStyle w:val="21"/>
              <w:keepNext/>
              <w:spacing w:line="360" w:lineRule="exact"/>
              <w:ind w:left="63" w:right="63"/>
              <w:rPr>
                <w:rFonts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97C70C0">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19C8E0">
            <w:pPr>
              <w:pStyle w:val="21"/>
              <w:keepNext/>
              <w:spacing w:line="360" w:lineRule="exact"/>
              <w:ind w:left="63" w:right="63"/>
              <w:rPr>
                <w:rFonts w:ascii="宋体" w:hAnsi="宋体"/>
                <w:color w:val="auto"/>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7B315E50">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9DC5828">
            <w:pPr>
              <w:pStyle w:val="21"/>
              <w:keepNext/>
              <w:spacing w:line="360" w:lineRule="exact"/>
              <w:ind w:left="63" w:right="63"/>
              <w:rPr>
                <w:rFonts w:ascii="宋体" w:hAnsi="宋体"/>
                <w:color w:val="auto"/>
                <w:szCs w:val="21"/>
              </w:rPr>
            </w:pPr>
          </w:p>
        </w:tc>
      </w:tr>
      <w:tr w14:paraId="2A70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14:paraId="70D15F39">
            <w:pPr>
              <w:pStyle w:val="21"/>
              <w:keepNext/>
              <w:spacing w:line="360" w:lineRule="exact"/>
              <w:ind w:left="63" w:right="63"/>
              <w:rPr>
                <w:rFonts w:ascii="宋体" w:hAnsi="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7E30292">
            <w:pPr>
              <w:pStyle w:val="21"/>
              <w:keepNext/>
              <w:spacing w:line="360" w:lineRule="exact"/>
              <w:ind w:left="63" w:right="63"/>
              <w:rPr>
                <w:rFonts w:ascii="宋体" w:hAnsi="宋体"/>
                <w:color w:val="auto"/>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6F7507A">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5C8054">
            <w:pPr>
              <w:pStyle w:val="21"/>
              <w:keepNext/>
              <w:spacing w:line="360" w:lineRule="exact"/>
              <w:ind w:left="63" w:right="63"/>
              <w:rPr>
                <w:rFonts w:ascii="宋体" w:hAnsi="宋体"/>
                <w:color w:val="auto"/>
                <w:szCs w:val="21"/>
              </w:rPr>
            </w:pPr>
          </w:p>
        </w:tc>
        <w:tc>
          <w:tcPr>
            <w:tcW w:w="657" w:type="dxa"/>
            <w:tcBorders>
              <w:top w:val="single" w:color="auto" w:sz="4" w:space="0"/>
              <w:left w:val="single" w:color="auto" w:sz="4" w:space="0"/>
              <w:bottom w:val="single" w:color="auto" w:sz="4" w:space="0"/>
              <w:right w:val="single" w:color="auto" w:sz="4" w:space="0"/>
            </w:tcBorders>
            <w:noWrap w:val="0"/>
            <w:vAlign w:val="center"/>
          </w:tcPr>
          <w:p w14:paraId="226A16A6">
            <w:pPr>
              <w:pStyle w:val="21"/>
              <w:keepNext/>
              <w:spacing w:line="360" w:lineRule="exact"/>
              <w:ind w:left="63" w:right="63"/>
              <w:rPr>
                <w:rFonts w:ascii="宋体" w:hAnsi="宋体"/>
                <w:color w:val="auto"/>
                <w:szCs w:val="21"/>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4E256DB8">
            <w:pPr>
              <w:pStyle w:val="21"/>
              <w:keepNext/>
              <w:spacing w:line="360" w:lineRule="exact"/>
              <w:ind w:left="63" w:right="63"/>
              <w:rPr>
                <w:rFonts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F44E9B2">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E24A13">
            <w:pPr>
              <w:pStyle w:val="21"/>
              <w:keepNext/>
              <w:spacing w:line="360" w:lineRule="exact"/>
              <w:ind w:left="63" w:right="63"/>
              <w:rPr>
                <w:rFonts w:ascii="宋体" w:hAnsi="宋体"/>
                <w:color w:val="auto"/>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0FE63790">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80E07BE">
            <w:pPr>
              <w:pStyle w:val="21"/>
              <w:keepNext/>
              <w:spacing w:line="360" w:lineRule="exact"/>
              <w:ind w:left="63" w:right="63"/>
              <w:rPr>
                <w:rFonts w:ascii="宋体" w:hAnsi="宋体"/>
                <w:color w:val="auto"/>
                <w:szCs w:val="21"/>
              </w:rPr>
            </w:pPr>
          </w:p>
        </w:tc>
      </w:tr>
      <w:tr w14:paraId="036B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14:paraId="04612E09">
            <w:pPr>
              <w:pStyle w:val="21"/>
              <w:keepNext/>
              <w:spacing w:line="360" w:lineRule="exact"/>
              <w:ind w:left="63" w:right="63"/>
              <w:rPr>
                <w:rFonts w:ascii="宋体" w:hAnsi="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836BDF6">
            <w:pPr>
              <w:pStyle w:val="21"/>
              <w:keepNext/>
              <w:spacing w:line="360" w:lineRule="exact"/>
              <w:ind w:left="63" w:right="63"/>
              <w:rPr>
                <w:rFonts w:ascii="宋体" w:hAnsi="宋体"/>
                <w:color w:val="auto"/>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3A82F904">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091AA0A">
            <w:pPr>
              <w:pStyle w:val="21"/>
              <w:keepNext/>
              <w:spacing w:line="360" w:lineRule="exact"/>
              <w:ind w:left="63" w:right="63"/>
              <w:rPr>
                <w:rFonts w:ascii="宋体" w:hAnsi="宋体"/>
                <w:color w:val="auto"/>
                <w:szCs w:val="21"/>
              </w:rPr>
            </w:pPr>
          </w:p>
        </w:tc>
        <w:tc>
          <w:tcPr>
            <w:tcW w:w="657" w:type="dxa"/>
            <w:tcBorders>
              <w:top w:val="single" w:color="auto" w:sz="4" w:space="0"/>
              <w:left w:val="single" w:color="auto" w:sz="4" w:space="0"/>
              <w:bottom w:val="single" w:color="auto" w:sz="4" w:space="0"/>
              <w:right w:val="single" w:color="auto" w:sz="4" w:space="0"/>
            </w:tcBorders>
            <w:noWrap w:val="0"/>
            <w:vAlign w:val="center"/>
          </w:tcPr>
          <w:p w14:paraId="0A1F92C1">
            <w:pPr>
              <w:pStyle w:val="21"/>
              <w:keepNext/>
              <w:spacing w:line="360" w:lineRule="exact"/>
              <w:ind w:left="63" w:right="63"/>
              <w:rPr>
                <w:rFonts w:ascii="宋体" w:hAnsi="宋体"/>
                <w:color w:val="auto"/>
                <w:szCs w:val="21"/>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6D626AFD">
            <w:pPr>
              <w:pStyle w:val="21"/>
              <w:keepNext/>
              <w:spacing w:line="360" w:lineRule="exact"/>
              <w:ind w:left="63" w:right="63"/>
              <w:rPr>
                <w:rFonts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FC19C46">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28B0EA">
            <w:pPr>
              <w:pStyle w:val="21"/>
              <w:keepNext/>
              <w:spacing w:line="360" w:lineRule="exact"/>
              <w:ind w:left="63" w:right="63"/>
              <w:rPr>
                <w:rFonts w:ascii="宋体" w:hAnsi="宋体"/>
                <w:color w:val="auto"/>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56DA17A9">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7662A7E">
            <w:pPr>
              <w:pStyle w:val="21"/>
              <w:keepNext/>
              <w:spacing w:line="360" w:lineRule="exact"/>
              <w:ind w:left="63" w:right="63"/>
              <w:rPr>
                <w:rFonts w:ascii="宋体" w:hAnsi="宋体"/>
                <w:color w:val="auto"/>
                <w:szCs w:val="21"/>
              </w:rPr>
            </w:pPr>
          </w:p>
        </w:tc>
      </w:tr>
      <w:tr w14:paraId="7229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14:paraId="4A4A2F7C">
            <w:pPr>
              <w:pStyle w:val="21"/>
              <w:keepNext/>
              <w:spacing w:line="360" w:lineRule="exact"/>
              <w:ind w:left="63" w:right="63"/>
              <w:rPr>
                <w:rFonts w:ascii="宋体" w:hAnsi="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5B89A1A">
            <w:pPr>
              <w:pStyle w:val="21"/>
              <w:keepNext/>
              <w:spacing w:line="360" w:lineRule="exact"/>
              <w:ind w:left="63" w:right="63"/>
              <w:rPr>
                <w:rFonts w:ascii="宋体" w:hAnsi="宋体"/>
                <w:color w:val="auto"/>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70316B4A">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EFD69CD">
            <w:pPr>
              <w:pStyle w:val="21"/>
              <w:keepNext/>
              <w:spacing w:line="360" w:lineRule="exact"/>
              <w:ind w:left="63" w:right="63"/>
              <w:rPr>
                <w:rFonts w:ascii="宋体" w:hAnsi="宋体"/>
                <w:color w:val="auto"/>
                <w:szCs w:val="21"/>
              </w:rPr>
            </w:pPr>
          </w:p>
        </w:tc>
        <w:tc>
          <w:tcPr>
            <w:tcW w:w="657" w:type="dxa"/>
            <w:tcBorders>
              <w:top w:val="single" w:color="auto" w:sz="4" w:space="0"/>
              <w:left w:val="single" w:color="auto" w:sz="4" w:space="0"/>
              <w:bottom w:val="single" w:color="auto" w:sz="4" w:space="0"/>
              <w:right w:val="single" w:color="auto" w:sz="4" w:space="0"/>
            </w:tcBorders>
            <w:noWrap w:val="0"/>
            <w:vAlign w:val="center"/>
          </w:tcPr>
          <w:p w14:paraId="672798AF">
            <w:pPr>
              <w:pStyle w:val="21"/>
              <w:keepNext/>
              <w:spacing w:line="360" w:lineRule="exact"/>
              <w:ind w:left="63" w:right="63"/>
              <w:rPr>
                <w:rFonts w:ascii="宋体" w:hAnsi="宋体"/>
                <w:color w:val="auto"/>
                <w:szCs w:val="21"/>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2EA64074">
            <w:pPr>
              <w:pStyle w:val="21"/>
              <w:keepNext/>
              <w:spacing w:line="360" w:lineRule="exact"/>
              <w:ind w:left="63" w:right="63"/>
              <w:rPr>
                <w:rFonts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9DE9F4E">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A57F9B">
            <w:pPr>
              <w:pStyle w:val="21"/>
              <w:keepNext/>
              <w:spacing w:line="360" w:lineRule="exact"/>
              <w:ind w:left="63" w:right="63"/>
              <w:rPr>
                <w:rFonts w:ascii="宋体" w:hAnsi="宋体"/>
                <w:color w:val="auto"/>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1167FB82">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A2FA5E0">
            <w:pPr>
              <w:pStyle w:val="21"/>
              <w:keepNext/>
              <w:spacing w:line="360" w:lineRule="exact"/>
              <w:ind w:left="63" w:right="63"/>
              <w:rPr>
                <w:rFonts w:ascii="宋体" w:hAnsi="宋体"/>
                <w:color w:val="auto"/>
                <w:szCs w:val="21"/>
              </w:rPr>
            </w:pPr>
          </w:p>
        </w:tc>
      </w:tr>
      <w:tr w14:paraId="7B71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14:paraId="5B38CE64">
            <w:pPr>
              <w:pStyle w:val="21"/>
              <w:keepNext/>
              <w:spacing w:line="360" w:lineRule="exact"/>
              <w:ind w:left="63" w:right="63"/>
              <w:rPr>
                <w:rFonts w:ascii="宋体" w:hAnsi="宋体"/>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A6FFF9A">
            <w:pPr>
              <w:pStyle w:val="21"/>
              <w:keepNext/>
              <w:spacing w:line="360" w:lineRule="exact"/>
              <w:ind w:left="63" w:right="63"/>
              <w:rPr>
                <w:rFonts w:ascii="宋体" w:hAnsi="宋体"/>
                <w:color w:val="auto"/>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1BCC70FC">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2DC007C">
            <w:pPr>
              <w:pStyle w:val="21"/>
              <w:keepNext/>
              <w:spacing w:line="360" w:lineRule="exact"/>
              <w:ind w:left="63" w:right="63"/>
              <w:rPr>
                <w:rFonts w:ascii="宋体" w:hAnsi="宋体"/>
                <w:color w:val="auto"/>
                <w:szCs w:val="21"/>
              </w:rPr>
            </w:pPr>
          </w:p>
        </w:tc>
        <w:tc>
          <w:tcPr>
            <w:tcW w:w="657" w:type="dxa"/>
            <w:tcBorders>
              <w:top w:val="single" w:color="auto" w:sz="4" w:space="0"/>
              <w:left w:val="single" w:color="auto" w:sz="4" w:space="0"/>
              <w:bottom w:val="single" w:color="auto" w:sz="4" w:space="0"/>
              <w:right w:val="single" w:color="auto" w:sz="4" w:space="0"/>
            </w:tcBorders>
            <w:noWrap w:val="0"/>
            <w:vAlign w:val="center"/>
          </w:tcPr>
          <w:p w14:paraId="75948162">
            <w:pPr>
              <w:pStyle w:val="21"/>
              <w:keepNext/>
              <w:spacing w:line="360" w:lineRule="exact"/>
              <w:ind w:left="63" w:right="63"/>
              <w:rPr>
                <w:rFonts w:ascii="宋体" w:hAnsi="宋体"/>
                <w:color w:val="auto"/>
                <w:szCs w:val="21"/>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534D86EA">
            <w:pPr>
              <w:pStyle w:val="21"/>
              <w:keepNext/>
              <w:spacing w:line="360" w:lineRule="exact"/>
              <w:ind w:left="63" w:right="63"/>
              <w:rPr>
                <w:rFonts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4E08499">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F13961">
            <w:pPr>
              <w:pStyle w:val="21"/>
              <w:keepNext/>
              <w:spacing w:line="360" w:lineRule="exact"/>
              <w:ind w:left="63" w:right="63"/>
              <w:rPr>
                <w:rFonts w:ascii="宋体" w:hAnsi="宋体"/>
                <w:color w:val="auto"/>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033B0D22">
            <w:pPr>
              <w:pStyle w:val="21"/>
              <w:keepNext/>
              <w:spacing w:line="360" w:lineRule="exact"/>
              <w:ind w:left="63" w:right="63"/>
              <w:rPr>
                <w:rFonts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7FC1529">
            <w:pPr>
              <w:pStyle w:val="21"/>
              <w:keepNext/>
              <w:spacing w:line="360" w:lineRule="exact"/>
              <w:ind w:left="63" w:right="63"/>
              <w:rPr>
                <w:rFonts w:ascii="宋体" w:hAnsi="宋体"/>
                <w:color w:val="auto"/>
                <w:szCs w:val="21"/>
              </w:rPr>
            </w:pPr>
          </w:p>
        </w:tc>
      </w:tr>
    </w:tbl>
    <w:p w14:paraId="36352D09">
      <w:pPr>
        <w:spacing w:line="360" w:lineRule="exact"/>
        <w:rPr>
          <w:rFonts w:ascii="宋体" w:hAnsi="宋体"/>
          <w:color w:val="auto"/>
          <w:szCs w:val="21"/>
        </w:rPr>
      </w:pPr>
    </w:p>
    <w:p w14:paraId="584F4935">
      <w:pPr>
        <w:spacing w:line="360" w:lineRule="exact"/>
        <w:rPr>
          <w:rFonts w:hint="eastAsia" w:ascii="宋体" w:hAnsi="宋体" w:cs="宋体"/>
          <w:color w:val="auto"/>
          <w:sz w:val="24"/>
        </w:rPr>
      </w:pPr>
    </w:p>
    <w:p w14:paraId="783D8346">
      <w:pPr>
        <w:spacing w:line="360" w:lineRule="exact"/>
        <w:rPr>
          <w:rFonts w:hint="eastAsia" w:ascii="宋体" w:hAnsi="宋体" w:cs="宋体"/>
          <w:color w:val="auto"/>
          <w:sz w:val="24"/>
        </w:rPr>
      </w:pPr>
    </w:p>
    <w:p w14:paraId="1375C82B">
      <w:pPr>
        <w:spacing w:line="360" w:lineRule="exact"/>
        <w:rPr>
          <w:rFonts w:hint="eastAsia" w:ascii="宋体" w:hAnsi="宋体" w:cs="宋体"/>
          <w:color w:val="auto"/>
          <w:sz w:val="24"/>
        </w:rPr>
      </w:pPr>
    </w:p>
    <w:p w14:paraId="2FD5B528">
      <w:pPr>
        <w:spacing w:line="360" w:lineRule="exact"/>
        <w:rPr>
          <w:rFonts w:hint="eastAsia" w:ascii="宋体" w:hAnsi="宋体" w:cs="宋体"/>
          <w:color w:val="auto"/>
          <w:sz w:val="24"/>
        </w:rPr>
      </w:pPr>
    </w:p>
    <w:p w14:paraId="16AE0E04">
      <w:pPr>
        <w:spacing w:line="360" w:lineRule="exact"/>
        <w:rPr>
          <w:rFonts w:hint="eastAsia" w:ascii="宋体" w:hAnsi="宋体" w:cs="宋体"/>
          <w:color w:val="auto"/>
          <w:sz w:val="24"/>
        </w:rPr>
      </w:pPr>
    </w:p>
    <w:p w14:paraId="19C647F1">
      <w:pPr>
        <w:spacing w:line="360" w:lineRule="exact"/>
        <w:rPr>
          <w:rFonts w:hint="eastAsia" w:ascii="宋体" w:hAnsi="宋体" w:cs="宋体"/>
          <w:color w:val="auto"/>
          <w:sz w:val="24"/>
        </w:rPr>
      </w:pPr>
    </w:p>
    <w:p w14:paraId="39AF7BBA">
      <w:pPr>
        <w:spacing w:line="360" w:lineRule="exact"/>
        <w:rPr>
          <w:rFonts w:hint="eastAsia" w:ascii="宋体" w:hAnsi="宋体" w:cs="宋体"/>
          <w:color w:val="auto"/>
          <w:sz w:val="24"/>
        </w:rPr>
      </w:pPr>
    </w:p>
    <w:p w14:paraId="2F841E9C">
      <w:pPr>
        <w:spacing w:line="360" w:lineRule="exact"/>
        <w:rPr>
          <w:rFonts w:hint="eastAsia" w:ascii="宋体" w:hAnsi="宋体" w:cs="宋体"/>
          <w:color w:val="auto"/>
          <w:sz w:val="24"/>
        </w:rPr>
      </w:pPr>
    </w:p>
    <w:p w14:paraId="761B4199">
      <w:pPr>
        <w:spacing w:line="360" w:lineRule="exact"/>
        <w:rPr>
          <w:rFonts w:hint="eastAsia" w:ascii="宋体" w:hAnsi="宋体" w:cs="宋体"/>
          <w:color w:val="auto"/>
          <w:sz w:val="24"/>
        </w:rPr>
      </w:pPr>
    </w:p>
    <w:p w14:paraId="45E0C1FB">
      <w:pPr>
        <w:spacing w:line="360" w:lineRule="exact"/>
        <w:rPr>
          <w:rFonts w:hint="eastAsia" w:ascii="宋体" w:hAnsi="宋体"/>
          <w:color w:val="auto"/>
          <w:sz w:val="30"/>
          <w:szCs w:val="30"/>
        </w:rPr>
      </w:pPr>
    </w:p>
    <w:p w14:paraId="33AEB7E7">
      <w:pPr>
        <w:spacing w:line="360" w:lineRule="exact"/>
        <w:rPr>
          <w:rFonts w:hint="eastAsia" w:ascii="宋体" w:hAnsi="宋体"/>
          <w:color w:val="auto"/>
          <w:sz w:val="30"/>
          <w:szCs w:val="30"/>
        </w:rPr>
      </w:pPr>
    </w:p>
    <w:p w14:paraId="5E66AF57">
      <w:pPr>
        <w:spacing w:line="360" w:lineRule="exact"/>
        <w:rPr>
          <w:rFonts w:hint="eastAsia" w:ascii="宋体" w:hAnsi="宋体"/>
          <w:color w:val="auto"/>
          <w:sz w:val="30"/>
          <w:szCs w:val="30"/>
        </w:rPr>
      </w:pPr>
    </w:p>
    <w:p w14:paraId="4D971D96">
      <w:pPr>
        <w:spacing w:line="360" w:lineRule="exact"/>
        <w:rPr>
          <w:rFonts w:hint="eastAsia" w:ascii="宋体" w:hAnsi="宋体"/>
          <w:color w:val="auto"/>
          <w:sz w:val="30"/>
          <w:szCs w:val="30"/>
        </w:rPr>
      </w:pPr>
    </w:p>
    <w:p w14:paraId="0329682A">
      <w:pPr>
        <w:spacing w:line="360" w:lineRule="exact"/>
        <w:rPr>
          <w:rFonts w:hint="eastAsia" w:ascii="宋体" w:hAnsi="宋体"/>
          <w:color w:val="auto"/>
          <w:sz w:val="30"/>
          <w:szCs w:val="30"/>
        </w:rPr>
      </w:pPr>
    </w:p>
    <w:p w14:paraId="720A5621">
      <w:pPr>
        <w:spacing w:line="360" w:lineRule="exact"/>
        <w:rPr>
          <w:rFonts w:hint="eastAsia" w:ascii="宋体" w:hAnsi="宋体"/>
          <w:color w:val="auto"/>
          <w:sz w:val="30"/>
          <w:szCs w:val="30"/>
        </w:rPr>
      </w:pPr>
    </w:p>
    <w:p w14:paraId="361FE3A6">
      <w:pPr>
        <w:spacing w:line="360" w:lineRule="exact"/>
        <w:rPr>
          <w:rFonts w:hint="eastAsia" w:ascii="宋体" w:hAnsi="宋体"/>
          <w:color w:val="auto"/>
          <w:sz w:val="30"/>
          <w:szCs w:val="30"/>
        </w:rPr>
      </w:pPr>
    </w:p>
    <w:p w14:paraId="637B6DBE">
      <w:pPr>
        <w:spacing w:line="360" w:lineRule="exact"/>
        <w:rPr>
          <w:rFonts w:hint="eastAsia" w:ascii="宋体" w:hAnsi="宋体"/>
          <w:color w:val="auto"/>
          <w:sz w:val="30"/>
          <w:szCs w:val="30"/>
        </w:rPr>
      </w:pPr>
    </w:p>
    <w:p w14:paraId="47BB8423">
      <w:pPr>
        <w:spacing w:line="360" w:lineRule="exact"/>
        <w:rPr>
          <w:rFonts w:hint="eastAsia" w:ascii="宋体" w:hAnsi="宋体"/>
          <w:color w:val="auto"/>
          <w:sz w:val="30"/>
          <w:szCs w:val="30"/>
        </w:rPr>
      </w:pPr>
    </w:p>
    <w:p w14:paraId="3A189D5D">
      <w:pPr>
        <w:spacing w:line="360" w:lineRule="exact"/>
        <w:rPr>
          <w:rFonts w:hint="eastAsia" w:ascii="宋体" w:hAnsi="宋体"/>
          <w:color w:val="auto"/>
          <w:sz w:val="30"/>
          <w:szCs w:val="30"/>
        </w:rPr>
      </w:pPr>
    </w:p>
    <w:p w14:paraId="1421AB95">
      <w:pPr>
        <w:spacing w:line="360" w:lineRule="exact"/>
        <w:rPr>
          <w:rFonts w:ascii="宋体" w:hAnsi="宋体"/>
          <w:color w:val="auto"/>
          <w:sz w:val="30"/>
          <w:szCs w:val="30"/>
        </w:rPr>
      </w:pPr>
      <w:r>
        <w:rPr>
          <w:rFonts w:hint="eastAsia" w:ascii="宋体" w:hAnsi="宋体"/>
          <w:color w:val="auto"/>
          <w:sz w:val="30"/>
          <w:szCs w:val="30"/>
        </w:rPr>
        <w:t>附</w:t>
      </w:r>
      <w:bookmarkStart w:id="1427" w:name="_Toc296503233"/>
      <w:bookmarkStart w:id="1428" w:name="_Toc296347232"/>
      <w:bookmarkStart w:id="1429" w:name="_Toc296346734"/>
      <w:bookmarkStart w:id="1430" w:name="_Toc296944572"/>
      <w:bookmarkStart w:id="1431" w:name="_Toc296891061"/>
      <w:bookmarkStart w:id="1432" w:name="_Toc296891273"/>
      <w:r>
        <w:rPr>
          <w:rFonts w:hint="eastAsia" w:ascii="宋体" w:hAnsi="宋体"/>
          <w:color w:val="auto"/>
          <w:sz w:val="30"/>
          <w:szCs w:val="30"/>
        </w:rPr>
        <w:t>件2：</w:t>
      </w:r>
      <w:bookmarkEnd w:id="1427"/>
      <w:bookmarkEnd w:id="1428"/>
      <w:bookmarkEnd w:id="1429"/>
      <w:bookmarkEnd w:id="1430"/>
      <w:bookmarkEnd w:id="1431"/>
      <w:bookmarkEnd w:id="1432"/>
      <w:bookmarkStart w:id="1433" w:name="_Toc296891268"/>
      <w:bookmarkStart w:id="1434" w:name="_Toc296891056"/>
      <w:bookmarkStart w:id="1435" w:name="_Toc296347227"/>
      <w:bookmarkStart w:id="1436" w:name="_Toc296503228"/>
      <w:bookmarkStart w:id="1437" w:name="_Toc296944567"/>
      <w:bookmarkStart w:id="1438" w:name="_Toc267261699"/>
      <w:bookmarkStart w:id="1439" w:name="_Toc296346729"/>
      <w:r>
        <w:rPr>
          <w:rFonts w:hint="eastAsia" w:ascii="宋体" w:hAnsi="宋体"/>
          <w:color w:val="auto"/>
          <w:sz w:val="30"/>
          <w:szCs w:val="30"/>
        </w:rPr>
        <w:t xml:space="preserve"> </w:t>
      </w:r>
    </w:p>
    <w:bookmarkEnd w:id="1433"/>
    <w:bookmarkEnd w:id="1434"/>
    <w:bookmarkEnd w:id="1435"/>
    <w:bookmarkEnd w:id="1436"/>
    <w:bookmarkEnd w:id="1437"/>
    <w:bookmarkEnd w:id="1438"/>
    <w:bookmarkEnd w:id="1439"/>
    <w:p w14:paraId="4AE19023">
      <w:pPr>
        <w:spacing w:before="156" w:beforeLines="50" w:after="156" w:afterLines="50" w:line="360" w:lineRule="exact"/>
        <w:jc w:val="center"/>
        <w:rPr>
          <w:rFonts w:ascii="宋体" w:hAnsi="宋体"/>
          <w:b/>
          <w:color w:val="auto"/>
          <w:sz w:val="30"/>
          <w:szCs w:val="30"/>
        </w:rPr>
      </w:pPr>
      <w:r>
        <w:rPr>
          <w:rFonts w:hint="eastAsia" w:ascii="宋体" w:hAnsi="宋体"/>
          <w:b/>
          <w:color w:val="auto"/>
          <w:sz w:val="30"/>
          <w:szCs w:val="30"/>
        </w:rPr>
        <w:t>承包人主要施工管理人员表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333"/>
        <w:gridCol w:w="1417"/>
        <w:gridCol w:w="1134"/>
        <w:gridCol w:w="2748"/>
      </w:tblGrid>
      <w:tr w14:paraId="4FAC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75FEBB36">
            <w:pPr>
              <w:pStyle w:val="21"/>
              <w:keepNext/>
              <w:spacing w:line="360" w:lineRule="exact"/>
              <w:ind w:left="63" w:right="63"/>
              <w:rPr>
                <w:rFonts w:ascii="宋体" w:hAnsi="宋体"/>
                <w:color w:val="auto"/>
                <w:szCs w:val="21"/>
              </w:rPr>
            </w:pPr>
            <w:r>
              <w:rPr>
                <w:rFonts w:hint="eastAsia" w:ascii="宋体" w:hAnsi="宋体"/>
                <w:color w:val="auto"/>
                <w:szCs w:val="21"/>
              </w:rPr>
              <w:t>名    称</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761AEAC">
            <w:pPr>
              <w:pStyle w:val="21"/>
              <w:keepNext/>
              <w:spacing w:line="360" w:lineRule="exact"/>
              <w:ind w:left="63" w:right="63"/>
              <w:rPr>
                <w:rFonts w:ascii="宋体" w:hAnsi="宋体"/>
                <w:color w:val="auto"/>
                <w:szCs w:val="21"/>
              </w:rPr>
            </w:pPr>
            <w:r>
              <w:rPr>
                <w:rFonts w:hint="eastAsia" w:ascii="宋体" w:hAnsi="宋体"/>
                <w:color w:val="auto"/>
                <w:szCs w:val="21"/>
              </w:rPr>
              <w:t>姓名</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95DA18C">
            <w:pPr>
              <w:pStyle w:val="21"/>
              <w:keepNext/>
              <w:spacing w:line="360" w:lineRule="exact"/>
              <w:ind w:left="63" w:right="63"/>
              <w:rPr>
                <w:rFonts w:ascii="宋体" w:hAnsi="宋体"/>
                <w:color w:val="auto"/>
                <w:szCs w:val="21"/>
              </w:rPr>
            </w:pPr>
            <w:r>
              <w:rPr>
                <w:rFonts w:hint="eastAsia" w:ascii="宋体" w:hAnsi="宋体"/>
                <w:color w:val="auto"/>
                <w:szCs w:val="21"/>
              </w:rPr>
              <w:t>职务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FC9FA5">
            <w:pPr>
              <w:pStyle w:val="21"/>
              <w:keepNext/>
              <w:spacing w:line="360" w:lineRule="exact"/>
              <w:ind w:left="63" w:right="63"/>
              <w:rPr>
                <w:rFonts w:ascii="宋体" w:hAnsi="宋体"/>
                <w:color w:val="auto"/>
                <w:szCs w:val="21"/>
              </w:rPr>
            </w:pPr>
            <w:r>
              <w:rPr>
                <w:rFonts w:hint="eastAsia" w:ascii="宋体" w:hAnsi="宋体"/>
                <w:color w:val="auto"/>
                <w:szCs w:val="21"/>
              </w:rPr>
              <w:t>职称</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BF746D9">
            <w:pPr>
              <w:pStyle w:val="21"/>
              <w:keepNext/>
              <w:spacing w:after="0" w:line="360" w:lineRule="exact"/>
              <w:ind w:left="63" w:right="63"/>
              <w:rPr>
                <w:rFonts w:ascii="宋体" w:hAnsi="宋体"/>
                <w:color w:val="auto"/>
                <w:szCs w:val="21"/>
              </w:rPr>
            </w:pPr>
            <w:r>
              <w:rPr>
                <w:rFonts w:hint="eastAsia" w:ascii="宋体" w:hAnsi="宋体"/>
                <w:color w:val="auto"/>
                <w:szCs w:val="21"/>
              </w:rPr>
              <w:t>计划进场时间</w:t>
            </w:r>
          </w:p>
        </w:tc>
      </w:tr>
      <w:tr w14:paraId="21BD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503" w:type="dxa"/>
            <w:gridSpan w:val="5"/>
            <w:tcBorders>
              <w:top w:val="single" w:color="auto" w:sz="4" w:space="0"/>
              <w:left w:val="single" w:color="auto" w:sz="4" w:space="0"/>
              <w:bottom w:val="single" w:color="auto" w:sz="4" w:space="0"/>
              <w:right w:val="single" w:color="auto" w:sz="4" w:space="0"/>
            </w:tcBorders>
            <w:noWrap w:val="0"/>
            <w:vAlign w:val="center"/>
          </w:tcPr>
          <w:p w14:paraId="350581CB">
            <w:pPr>
              <w:pStyle w:val="21"/>
              <w:keepNext/>
              <w:spacing w:line="360" w:lineRule="exact"/>
              <w:ind w:left="63" w:right="63"/>
              <w:jc w:val="center"/>
              <w:rPr>
                <w:rFonts w:ascii="宋体" w:hAnsi="宋体"/>
                <w:color w:val="auto"/>
                <w:szCs w:val="21"/>
              </w:rPr>
            </w:pPr>
            <w:r>
              <w:rPr>
                <w:rFonts w:hint="eastAsia" w:ascii="宋体" w:hAnsi="宋体"/>
                <w:color w:val="auto"/>
                <w:szCs w:val="21"/>
              </w:rPr>
              <w:t>一、总部人员</w:t>
            </w:r>
          </w:p>
        </w:tc>
      </w:tr>
      <w:tr w14:paraId="0FDC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0CABEEF2">
            <w:pPr>
              <w:pStyle w:val="21"/>
              <w:keepNext/>
              <w:spacing w:line="360" w:lineRule="exact"/>
              <w:ind w:left="63" w:right="63"/>
              <w:rPr>
                <w:rFonts w:ascii="宋体" w:hAnsi="宋体"/>
                <w:color w:val="auto"/>
                <w:szCs w:val="21"/>
              </w:rPr>
            </w:pPr>
            <w:r>
              <w:rPr>
                <w:rFonts w:hint="eastAsia" w:ascii="宋体" w:hAnsi="宋体"/>
                <w:color w:val="auto"/>
                <w:szCs w:val="21"/>
              </w:rPr>
              <w:t>项目主管</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5FB41EA2">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A7003E">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C60F53">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27A9D2B">
            <w:pPr>
              <w:pStyle w:val="21"/>
              <w:keepNext/>
              <w:spacing w:line="360" w:lineRule="exact"/>
              <w:ind w:left="63" w:right="63"/>
              <w:rPr>
                <w:rFonts w:ascii="宋体" w:hAnsi="宋体"/>
                <w:color w:val="auto"/>
                <w:szCs w:val="21"/>
              </w:rPr>
            </w:pPr>
          </w:p>
        </w:tc>
      </w:tr>
      <w:tr w14:paraId="7EA0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vMerge w:val="restart"/>
            <w:tcBorders>
              <w:top w:val="single" w:color="auto" w:sz="4" w:space="0"/>
              <w:left w:val="single" w:color="auto" w:sz="4" w:space="0"/>
              <w:bottom w:val="single" w:color="auto" w:sz="4" w:space="0"/>
              <w:right w:val="single" w:color="auto" w:sz="4" w:space="0"/>
            </w:tcBorders>
            <w:noWrap w:val="0"/>
            <w:vAlign w:val="center"/>
          </w:tcPr>
          <w:p w14:paraId="57F80669">
            <w:pPr>
              <w:pStyle w:val="21"/>
              <w:keepNext/>
              <w:spacing w:line="360" w:lineRule="exact"/>
              <w:ind w:left="63" w:right="63"/>
              <w:rPr>
                <w:rFonts w:ascii="宋体" w:hAnsi="宋体"/>
                <w:color w:val="auto"/>
                <w:szCs w:val="21"/>
              </w:rPr>
            </w:pPr>
            <w:r>
              <w:rPr>
                <w:rFonts w:hint="eastAsia" w:ascii="宋体" w:hAnsi="宋体"/>
                <w:color w:val="auto"/>
                <w:szCs w:val="21"/>
              </w:rPr>
              <w:t>其他人员</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5CD4275C">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C43709C">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202A45">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DCEE9F1">
            <w:pPr>
              <w:pStyle w:val="21"/>
              <w:keepNext/>
              <w:spacing w:line="360" w:lineRule="exact"/>
              <w:ind w:left="63" w:right="63"/>
              <w:rPr>
                <w:rFonts w:ascii="宋体" w:hAnsi="宋体"/>
                <w:color w:val="auto"/>
                <w:szCs w:val="21"/>
              </w:rPr>
            </w:pPr>
          </w:p>
        </w:tc>
      </w:tr>
      <w:tr w14:paraId="4829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0D297109">
            <w:pPr>
              <w:widowControl/>
              <w:spacing w:line="360" w:lineRule="exact"/>
              <w:jc w:val="left"/>
              <w:rPr>
                <w:rFonts w:ascii="宋体" w:hAnsi="宋体"/>
                <w:color w:val="auto"/>
                <w:szCs w:val="21"/>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1E16CD06">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C2AE9A">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66BFA7">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9FE56CE">
            <w:pPr>
              <w:pStyle w:val="21"/>
              <w:keepNext/>
              <w:spacing w:line="360" w:lineRule="exact"/>
              <w:ind w:left="63" w:right="63"/>
              <w:rPr>
                <w:rFonts w:ascii="宋体" w:hAnsi="宋体"/>
                <w:color w:val="auto"/>
                <w:szCs w:val="21"/>
              </w:rPr>
            </w:pPr>
          </w:p>
        </w:tc>
      </w:tr>
      <w:tr w14:paraId="7336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34832B51">
            <w:pPr>
              <w:widowControl/>
              <w:spacing w:line="360" w:lineRule="exact"/>
              <w:jc w:val="left"/>
              <w:rPr>
                <w:rFonts w:ascii="宋体" w:hAnsi="宋体"/>
                <w:color w:val="auto"/>
                <w:szCs w:val="21"/>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356B8D4D">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C7B1803">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CD83A1">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261A161">
            <w:pPr>
              <w:pStyle w:val="21"/>
              <w:keepNext/>
              <w:spacing w:line="360" w:lineRule="exact"/>
              <w:ind w:left="63" w:right="63"/>
              <w:rPr>
                <w:rFonts w:ascii="宋体" w:hAnsi="宋体"/>
                <w:color w:val="auto"/>
                <w:szCs w:val="21"/>
              </w:rPr>
            </w:pPr>
          </w:p>
        </w:tc>
      </w:tr>
      <w:tr w14:paraId="2C06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503" w:type="dxa"/>
            <w:gridSpan w:val="5"/>
            <w:tcBorders>
              <w:top w:val="single" w:color="auto" w:sz="4" w:space="0"/>
              <w:left w:val="single" w:color="auto" w:sz="4" w:space="0"/>
              <w:bottom w:val="single" w:color="auto" w:sz="4" w:space="0"/>
              <w:right w:val="single" w:color="auto" w:sz="4" w:space="0"/>
            </w:tcBorders>
            <w:noWrap w:val="0"/>
            <w:vAlign w:val="center"/>
          </w:tcPr>
          <w:p w14:paraId="7D451E40">
            <w:pPr>
              <w:pStyle w:val="21"/>
              <w:keepNext/>
              <w:spacing w:line="360" w:lineRule="exact"/>
              <w:ind w:left="63" w:right="63"/>
              <w:jc w:val="center"/>
              <w:rPr>
                <w:rFonts w:ascii="宋体" w:hAnsi="宋体"/>
                <w:color w:val="auto"/>
                <w:szCs w:val="21"/>
              </w:rPr>
            </w:pPr>
            <w:r>
              <w:rPr>
                <w:rFonts w:hint="eastAsia" w:ascii="宋体" w:hAnsi="宋体"/>
                <w:color w:val="auto"/>
                <w:szCs w:val="21"/>
              </w:rPr>
              <w:t>二、现场人员</w:t>
            </w:r>
          </w:p>
        </w:tc>
      </w:tr>
      <w:tr w14:paraId="55E1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2D04A058">
            <w:pPr>
              <w:pStyle w:val="21"/>
              <w:keepNext/>
              <w:spacing w:line="360" w:lineRule="exact"/>
              <w:ind w:left="63" w:right="63"/>
              <w:rPr>
                <w:rFonts w:ascii="宋体" w:hAnsi="宋体"/>
                <w:color w:val="auto"/>
                <w:szCs w:val="21"/>
              </w:rPr>
            </w:pPr>
            <w:r>
              <w:rPr>
                <w:rFonts w:hint="eastAsia" w:ascii="宋体" w:hAnsi="宋体"/>
                <w:color w:val="auto"/>
                <w:szCs w:val="21"/>
              </w:rPr>
              <w:t>项目经理</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1A959341">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DBFEE8">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F20552">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20D65FF">
            <w:pPr>
              <w:pStyle w:val="21"/>
              <w:keepNext/>
              <w:spacing w:line="360" w:lineRule="exact"/>
              <w:ind w:left="63" w:right="63"/>
              <w:rPr>
                <w:rFonts w:ascii="宋体" w:hAnsi="宋体"/>
                <w:color w:val="auto"/>
                <w:szCs w:val="21"/>
              </w:rPr>
            </w:pPr>
          </w:p>
        </w:tc>
      </w:tr>
      <w:tr w14:paraId="6E43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1AC9B533">
            <w:pPr>
              <w:pStyle w:val="21"/>
              <w:keepNext/>
              <w:spacing w:line="360" w:lineRule="exact"/>
              <w:ind w:left="63" w:right="63"/>
              <w:rPr>
                <w:rFonts w:ascii="宋体" w:hAnsi="宋体"/>
                <w:color w:val="auto"/>
                <w:szCs w:val="21"/>
              </w:rPr>
            </w:pPr>
            <w:r>
              <w:rPr>
                <w:rFonts w:hint="eastAsia" w:ascii="宋体" w:hAnsi="宋体"/>
                <w:color w:val="auto"/>
                <w:szCs w:val="21"/>
              </w:rPr>
              <w:t>项目副经理</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68E2F0E4">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23CCDBA">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3F2965">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B8FDBA9">
            <w:pPr>
              <w:pStyle w:val="21"/>
              <w:keepNext/>
              <w:spacing w:line="360" w:lineRule="exact"/>
              <w:ind w:left="63" w:right="63"/>
              <w:rPr>
                <w:rFonts w:ascii="宋体" w:hAnsi="宋体"/>
                <w:color w:val="auto"/>
                <w:szCs w:val="21"/>
              </w:rPr>
            </w:pPr>
          </w:p>
        </w:tc>
      </w:tr>
      <w:tr w14:paraId="59E1AA56">
        <w:tblPrEx>
          <w:tblCellMar>
            <w:top w:w="0" w:type="dxa"/>
            <w:left w:w="28" w:type="dxa"/>
            <w:bottom w:w="0" w:type="dxa"/>
            <w:right w:w="28" w:type="dxa"/>
          </w:tblCellMar>
        </w:tblPrEx>
        <w:trPr>
          <w:trHeight w:val="510" w:hRule="exact"/>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34A71221">
            <w:pPr>
              <w:pStyle w:val="21"/>
              <w:keepNext/>
              <w:spacing w:line="360" w:lineRule="exact"/>
              <w:ind w:left="63" w:right="63"/>
              <w:rPr>
                <w:rFonts w:ascii="宋体" w:hAnsi="宋体"/>
                <w:color w:val="auto"/>
                <w:szCs w:val="21"/>
              </w:rPr>
            </w:pPr>
            <w:r>
              <w:rPr>
                <w:rFonts w:hint="eastAsia" w:ascii="宋体" w:hAnsi="宋体"/>
                <w:color w:val="auto"/>
                <w:szCs w:val="21"/>
              </w:rPr>
              <w:t>技术负责人</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785E71E5">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CC00DC3">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C4346F">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183DA49">
            <w:pPr>
              <w:pStyle w:val="21"/>
              <w:keepNext/>
              <w:spacing w:line="360" w:lineRule="exact"/>
              <w:ind w:left="63" w:right="63"/>
              <w:rPr>
                <w:rFonts w:ascii="宋体" w:hAnsi="宋体"/>
                <w:color w:val="auto"/>
                <w:szCs w:val="21"/>
              </w:rPr>
            </w:pPr>
          </w:p>
        </w:tc>
      </w:tr>
      <w:tr w14:paraId="17CA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3C196FEE">
            <w:pPr>
              <w:pStyle w:val="21"/>
              <w:keepNext/>
              <w:spacing w:line="360" w:lineRule="exact"/>
              <w:ind w:left="63" w:right="63"/>
              <w:rPr>
                <w:rFonts w:ascii="宋体" w:hAnsi="宋体"/>
                <w:color w:val="auto"/>
                <w:szCs w:val="21"/>
              </w:rPr>
            </w:pPr>
            <w:r>
              <w:rPr>
                <w:rFonts w:hint="eastAsia" w:ascii="宋体" w:hAnsi="宋体"/>
                <w:color w:val="auto"/>
                <w:szCs w:val="21"/>
              </w:rPr>
              <w:t>造价管理</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0549F6AA">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DF1F75D">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873509">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87AC621">
            <w:pPr>
              <w:pStyle w:val="21"/>
              <w:keepNext/>
              <w:spacing w:line="360" w:lineRule="exact"/>
              <w:ind w:left="63" w:right="63"/>
              <w:rPr>
                <w:rFonts w:ascii="宋体" w:hAnsi="宋体"/>
                <w:color w:val="auto"/>
                <w:szCs w:val="21"/>
              </w:rPr>
            </w:pPr>
          </w:p>
        </w:tc>
      </w:tr>
      <w:tr w14:paraId="3B3A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vMerge w:val="restart"/>
            <w:tcBorders>
              <w:top w:val="single" w:color="auto" w:sz="4" w:space="0"/>
              <w:left w:val="single" w:color="auto" w:sz="4" w:space="0"/>
              <w:bottom w:val="single" w:color="auto" w:sz="4" w:space="0"/>
              <w:right w:val="single" w:color="auto" w:sz="4" w:space="0"/>
            </w:tcBorders>
            <w:noWrap w:val="0"/>
            <w:vAlign w:val="center"/>
          </w:tcPr>
          <w:p w14:paraId="2031CB25">
            <w:pPr>
              <w:pStyle w:val="21"/>
              <w:keepNext/>
              <w:spacing w:line="360" w:lineRule="exact"/>
              <w:ind w:left="63" w:right="63"/>
              <w:rPr>
                <w:rFonts w:ascii="宋体" w:hAnsi="宋体"/>
                <w:color w:val="auto"/>
                <w:szCs w:val="21"/>
              </w:rPr>
            </w:pPr>
            <w:r>
              <w:rPr>
                <w:rFonts w:hint="eastAsia" w:ascii="宋体" w:hAnsi="宋体"/>
                <w:color w:val="auto"/>
                <w:szCs w:val="21"/>
              </w:rPr>
              <w:t>质量管理</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2CB0E73">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BD52DEA">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6B4EFA">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7D66D11">
            <w:pPr>
              <w:pStyle w:val="21"/>
              <w:keepNext/>
              <w:spacing w:line="360" w:lineRule="exact"/>
              <w:ind w:left="63" w:right="63"/>
              <w:rPr>
                <w:rFonts w:ascii="宋体" w:hAnsi="宋体"/>
                <w:color w:val="auto"/>
                <w:szCs w:val="21"/>
              </w:rPr>
            </w:pPr>
          </w:p>
        </w:tc>
      </w:tr>
      <w:tr w14:paraId="3889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15BEB0D1">
            <w:pPr>
              <w:widowControl/>
              <w:spacing w:line="360" w:lineRule="exact"/>
              <w:jc w:val="left"/>
              <w:rPr>
                <w:rFonts w:ascii="宋体" w:hAnsi="宋体"/>
                <w:color w:val="auto"/>
                <w:szCs w:val="21"/>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90A822E">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E2C7B4C">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BF6C94">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E2F4746">
            <w:pPr>
              <w:pStyle w:val="21"/>
              <w:keepNext/>
              <w:spacing w:line="360" w:lineRule="exact"/>
              <w:ind w:left="63" w:right="63"/>
              <w:rPr>
                <w:rFonts w:ascii="宋体" w:hAnsi="宋体"/>
                <w:color w:val="auto"/>
                <w:szCs w:val="21"/>
              </w:rPr>
            </w:pPr>
          </w:p>
        </w:tc>
      </w:tr>
      <w:tr w14:paraId="4527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4D28290E">
            <w:pPr>
              <w:widowControl/>
              <w:spacing w:line="360" w:lineRule="exact"/>
              <w:jc w:val="left"/>
              <w:rPr>
                <w:rFonts w:ascii="宋体" w:hAnsi="宋体"/>
                <w:color w:val="auto"/>
                <w:szCs w:val="21"/>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0DDF439">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5CFCC35">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B20800">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6FA9851">
            <w:pPr>
              <w:pStyle w:val="21"/>
              <w:keepNext/>
              <w:spacing w:line="360" w:lineRule="exact"/>
              <w:ind w:left="63" w:right="63"/>
              <w:rPr>
                <w:rFonts w:ascii="宋体" w:hAnsi="宋体"/>
                <w:color w:val="auto"/>
                <w:szCs w:val="21"/>
              </w:rPr>
            </w:pPr>
          </w:p>
        </w:tc>
      </w:tr>
      <w:tr w14:paraId="63A3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5549F751">
            <w:pPr>
              <w:pStyle w:val="21"/>
              <w:keepNext/>
              <w:spacing w:line="360" w:lineRule="exact"/>
              <w:ind w:left="63" w:right="63"/>
              <w:rPr>
                <w:rFonts w:ascii="宋体" w:hAnsi="宋体"/>
                <w:color w:val="auto"/>
                <w:szCs w:val="21"/>
              </w:rPr>
            </w:pPr>
            <w:r>
              <w:rPr>
                <w:rFonts w:hint="eastAsia" w:ascii="宋体" w:hAnsi="宋体"/>
                <w:color w:val="auto"/>
                <w:szCs w:val="21"/>
              </w:rPr>
              <w:t>材料管理</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5947E836">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1A649FD">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917956">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D4A906F">
            <w:pPr>
              <w:pStyle w:val="21"/>
              <w:keepNext/>
              <w:spacing w:line="360" w:lineRule="exact"/>
              <w:ind w:left="63" w:right="63"/>
              <w:rPr>
                <w:rFonts w:ascii="宋体" w:hAnsi="宋体"/>
                <w:color w:val="auto"/>
                <w:szCs w:val="21"/>
              </w:rPr>
            </w:pPr>
          </w:p>
        </w:tc>
      </w:tr>
      <w:tr w14:paraId="5145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604EADD1">
            <w:pPr>
              <w:pStyle w:val="21"/>
              <w:keepNext/>
              <w:spacing w:line="360" w:lineRule="exact"/>
              <w:ind w:left="63" w:right="63"/>
              <w:rPr>
                <w:rFonts w:ascii="宋体" w:hAnsi="宋体"/>
                <w:color w:val="auto"/>
                <w:szCs w:val="21"/>
              </w:rPr>
            </w:pPr>
            <w:r>
              <w:rPr>
                <w:rFonts w:hint="eastAsia" w:ascii="宋体" w:hAnsi="宋体"/>
                <w:color w:val="auto"/>
                <w:szCs w:val="21"/>
              </w:rPr>
              <w:t>计划管理</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63F151F0">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CC5C208">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3F2ACD">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6AACC">
            <w:pPr>
              <w:pStyle w:val="21"/>
              <w:keepNext/>
              <w:spacing w:line="360" w:lineRule="exact"/>
              <w:ind w:left="63" w:right="63"/>
              <w:rPr>
                <w:rFonts w:ascii="宋体" w:hAnsi="宋体"/>
                <w:color w:val="auto"/>
                <w:szCs w:val="21"/>
              </w:rPr>
            </w:pPr>
          </w:p>
        </w:tc>
      </w:tr>
      <w:tr w14:paraId="28FA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vMerge w:val="restart"/>
            <w:tcBorders>
              <w:top w:val="single" w:color="auto" w:sz="4" w:space="0"/>
              <w:left w:val="single" w:color="auto" w:sz="4" w:space="0"/>
              <w:bottom w:val="single" w:color="auto" w:sz="4" w:space="0"/>
              <w:right w:val="single" w:color="auto" w:sz="4" w:space="0"/>
            </w:tcBorders>
            <w:noWrap w:val="0"/>
            <w:vAlign w:val="center"/>
          </w:tcPr>
          <w:p w14:paraId="105B564B">
            <w:pPr>
              <w:pStyle w:val="21"/>
              <w:keepNext/>
              <w:spacing w:line="360" w:lineRule="exact"/>
              <w:ind w:left="63" w:right="63"/>
              <w:rPr>
                <w:rFonts w:ascii="宋体" w:hAnsi="宋体"/>
                <w:color w:val="auto"/>
                <w:szCs w:val="21"/>
              </w:rPr>
            </w:pPr>
            <w:r>
              <w:rPr>
                <w:rFonts w:hint="eastAsia" w:ascii="宋体" w:hAnsi="宋体"/>
                <w:color w:val="auto"/>
                <w:szCs w:val="21"/>
              </w:rPr>
              <w:t>安全管理</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B810CBF">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523CD3F">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1426B7">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1EC4F0D">
            <w:pPr>
              <w:pStyle w:val="21"/>
              <w:keepNext/>
              <w:spacing w:line="360" w:lineRule="exact"/>
              <w:ind w:left="63" w:right="63"/>
              <w:rPr>
                <w:rFonts w:ascii="宋体" w:hAnsi="宋体"/>
                <w:color w:val="auto"/>
                <w:szCs w:val="21"/>
              </w:rPr>
            </w:pPr>
          </w:p>
        </w:tc>
      </w:tr>
      <w:tr w14:paraId="51C0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0EE2FD3B">
            <w:pPr>
              <w:widowControl/>
              <w:spacing w:line="360" w:lineRule="exact"/>
              <w:jc w:val="left"/>
              <w:rPr>
                <w:rFonts w:ascii="宋体" w:hAnsi="宋体"/>
                <w:color w:val="auto"/>
                <w:szCs w:val="21"/>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5F7AEB13">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D880DFA">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0725B0">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0ACA561">
            <w:pPr>
              <w:pStyle w:val="21"/>
              <w:keepNext/>
              <w:spacing w:line="360" w:lineRule="exact"/>
              <w:ind w:left="63" w:right="63"/>
              <w:rPr>
                <w:rFonts w:ascii="宋体" w:hAnsi="宋体"/>
                <w:color w:val="auto"/>
                <w:szCs w:val="21"/>
              </w:rPr>
            </w:pPr>
          </w:p>
        </w:tc>
      </w:tr>
      <w:tr w14:paraId="6750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3D6CEFD2">
            <w:pPr>
              <w:widowControl/>
              <w:spacing w:line="360" w:lineRule="exact"/>
              <w:jc w:val="left"/>
              <w:rPr>
                <w:rFonts w:ascii="宋体" w:hAnsi="宋体"/>
                <w:color w:val="auto"/>
                <w:szCs w:val="21"/>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6D4F36A7">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4DCC8A1">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7F0139">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D3B801C">
            <w:pPr>
              <w:pStyle w:val="21"/>
              <w:keepNext/>
              <w:spacing w:line="360" w:lineRule="exact"/>
              <w:ind w:left="63" w:right="63"/>
              <w:rPr>
                <w:rFonts w:ascii="宋体" w:hAnsi="宋体"/>
                <w:color w:val="auto"/>
                <w:szCs w:val="21"/>
              </w:rPr>
            </w:pPr>
          </w:p>
        </w:tc>
      </w:tr>
      <w:tr w14:paraId="65A7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vMerge w:val="restart"/>
            <w:tcBorders>
              <w:top w:val="single" w:color="auto" w:sz="4" w:space="0"/>
              <w:left w:val="single" w:color="auto" w:sz="4" w:space="0"/>
              <w:bottom w:val="single" w:color="auto" w:sz="4" w:space="0"/>
              <w:right w:val="single" w:color="auto" w:sz="4" w:space="0"/>
            </w:tcBorders>
            <w:noWrap w:val="0"/>
            <w:vAlign w:val="center"/>
          </w:tcPr>
          <w:p w14:paraId="26988CB6">
            <w:pPr>
              <w:pStyle w:val="21"/>
              <w:keepNext/>
              <w:spacing w:line="360" w:lineRule="exact"/>
              <w:ind w:left="63" w:right="63"/>
              <w:rPr>
                <w:rFonts w:ascii="宋体" w:hAnsi="宋体"/>
                <w:color w:val="auto"/>
                <w:szCs w:val="21"/>
              </w:rPr>
            </w:pPr>
            <w:r>
              <w:rPr>
                <w:rFonts w:hint="eastAsia" w:ascii="宋体" w:hAnsi="宋体"/>
                <w:color w:val="auto"/>
                <w:szCs w:val="21"/>
              </w:rPr>
              <w:t>其他人员</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01A615EF">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F9DAEAA">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B65DEF">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74B1E35">
            <w:pPr>
              <w:pStyle w:val="21"/>
              <w:keepNext/>
              <w:spacing w:line="360" w:lineRule="exact"/>
              <w:ind w:left="63" w:right="63"/>
              <w:rPr>
                <w:rFonts w:ascii="宋体" w:hAnsi="宋体"/>
                <w:color w:val="auto"/>
                <w:szCs w:val="21"/>
              </w:rPr>
            </w:pPr>
          </w:p>
        </w:tc>
      </w:tr>
      <w:tr w14:paraId="057F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73F436CF">
            <w:pPr>
              <w:widowControl/>
              <w:spacing w:line="360" w:lineRule="exact"/>
              <w:jc w:val="left"/>
              <w:rPr>
                <w:rFonts w:ascii="宋体" w:hAnsi="宋体"/>
                <w:color w:val="auto"/>
                <w:szCs w:val="21"/>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307A7552">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5FD0EA3">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1499DD">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B2551D">
            <w:pPr>
              <w:pStyle w:val="21"/>
              <w:keepNext/>
              <w:spacing w:line="360" w:lineRule="exact"/>
              <w:ind w:left="63" w:right="63"/>
              <w:rPr>
                <w:rFonts w:ascii="宋体" w:hAnsi="宋体"/>
                <w:color w:val="auto"/>
                <w:szCs w:val="21"/>
              </w:rPr>
            </w:pPr>
          </w:p>
        </w:tc>
      </w:tr>
      <w:tr w14:paraId="4947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5F9ED569">
            <w:pPr>
              <w:widowControl/>
              <w:spacing w:line="360" w:lineRule="exact"/>
              <w:jc w:val="left"/>
              <w:rPr>
                <w:rFonts w:ascii="宋体" w:hAnsi="宋体"/>
                <w:color w:val="auto"/>
                <w:szCs w:val="21"/>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1FB9D82F">
            <w:pPr>
              <w:pStyle w:val="21"/>
              <w:keepNext/>
              <w:spacing w:line="360" w:lineRule="exact"/>
              <w:ind w:left="63" w:right="63"/>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316698">
            <w:pPr>
              <w:pStyle w:val="21"/>
              <w:keepNext/>
              <w:spacing w:line="360" w:lineRule="exact"/>
              <w:ind w:left="63" w:right="63"/>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5A9DCB">
            <w:pPr>
              <w:pStyle w:val="21"/>
              <w:keepNext/>
              <w:spacing w:line="360" w:lineRule="exact"/>
              <w:ind w:left="63" w:right="63"/>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ABF02B0">
            <w:pPr>
              <w:pStyle w:val="21"/>
              <w:keepNext/>
              <w:spacing w:line="360" w:lineRule="exact"/>
              <w:ind w:left="63" w:right="63"/>
              <w:rPr>
                <w:rFonts w:ascii="宋体" w:hAnsi="宋体"/>
                <w:color w:val="auto"/>
                <w:szCs w:val="21"/>
              </w:rPr>
            </w:pPr>
          </w:p>
        </w:tc>
      </w:tr>
    </w:tbl>
    <w:p w14:paraId="43F351C6">
      <w:pPr>
        <w:spacing w:line="360" w:lineRule="exact"/>
        <w:rPr>
          <w:rFonts w:hint="eastAsia" w:ascii="宋体" w:hAnsi="宋体"/>
          <w:color w:val="auto"/>
          <w:sz w:val="30"/>
          <w:szCs w:val="30"/>
        </w:rPr>
      </w:pPr>
    </w:p>
    <w:p w14:paraId="214C8932">
      <w:pPr>
        <w:spacing w:line="360" w:lineRule="exact"/>
        <w:rPr>
          <w:rFonts w:hint="eastAsia" w:ascii="宋体" w:hAnsi="宋体"/>
          <w:color w:val="auto"/>
          <w:sz w:val="30"/>
          <w:szCs w:val="30"/>
        </w:rPr>
      </w:pPr>
    </w:p>
    <w:p w14:paraId="09280F81">
      <w:pPr>
        <w:spacing w:line="360" w:lineRule="exact"/>
        <w:rPr>
          <w:rFonts w:hint="eastAsia" w:ascii="宋体" w:hAnsi="宋体"/>
          <w:color w:val="auto"/>
          <w:sz w:val="30"/>
          <w:szCs w:val="30"/>
        </w:rPr>
      </w:pPr>
    </w:p>
    <w:p w14:paraId="61C4F194">
      <w:pPr>
        <w:spacing w:line="360" w:lineRule="exact"/>
        <w:rPr>
          <w:rFonts w:hint="eastAsia" w:ascii="宋体" w:hAnsi="宋体"/>
          <w:color w:val="auto"/>
          <w:sz w:val="30"/>
          <w:szCs w:val="30"/>
        </w:rPr>
      </w:pPr>
    </w:p>
    <w:p w14:paraId="53D4ADE7">
      <w:pPr>
        <w:spacing w:line="360" w:lineRule="exact"/>
        <w:rPr>
          <w:rFonts w:ascii="宋体" w:hAnsi="宋体"/>
          <w:color w:val="auto"/>
          <w:sz w:val="30"/>
          <w:szCs w:val="30"/>
        </w:rPr>
      </w:pPr>
      <w:r>
        <w:rPr>
          <w:rFonts w:hint="eastAsia" w:ascii="宋体" w:hAnsi="宋体"/>
          <w:color w:val="auto"/>
          <w:sz w:val="30"/>
          <w:szCs w:val="30"/>
        </w:rPr>
        <w:t>附</w:t>
      </w:r>
      <w:bookmarkStart w:id="1440" w:name="_Toc296891269"/>
      <w:bookmarkStart w:id="1441" w:name="_Toc296346730"/>
      <w:bookmarkStart w:id="1442" w:name="_Toc296503229"/>
      <w:bookmarkStart w:id="1443" w:name="_Toc296891057"/>
      <w:bookmarkStart w:id="1444" w:name="_Toc296944568"/>
      <w:bookmarkStart w:id="1445" w:name="_Toc296347228"/>
      <w:r>
        <w:rPr>
          <w:rFonts w:hint="eastAsia" w:ascii="宋体" w:hAnsi="宋体"/>
          <w:color w:val="auto"/>
          <w:sz w:val="30"/>
          <w:szCs w:val="30"/>
        </w:rPr>
        <w:t>件3：</w:t>
      </w:r>
      <w:bookmarkEnd w:id="1440"/>
      <w:bookmarkEnd w:id="1441"/>
      <w:bookmarkEnd w:id="1442"/>
      <w:bookmarkEnd w:id="1443"/>
      <w:bookmarkEnd w:id="1444"/>
      <w:bookmarkEnd w:id="1445"/>
      <w:bookmarkStart w:id="1446" w:name="_Toc267261692"/>
      <w:bookmarkStart w:id="1447" w:name="_Toc296944564"/>
      <w:bookmarkStart w:id="1448" w:name="_Toc296346726"/>
      <w:bookmarkStart w:id="1449" w:name="_Toc296891053"/>
      <w:bookmarkStart w:id="1450" w:name="_Toc296503225"/>
      <w:bookmarkStart w:id="1451" w:name="_Toc296891265"/>
      <w:bookmarkStart w:id="1452" w:name="_Toc296347224"/>
    </w:p>
    <w:bookmarkEnd w:id="1446"/>
    <w:bookmarkEnd w:id="1447"/>
    <w:bookmarkEnd w:id="1448"/>
    <w:bookmarkEnd w:id="1449"/>
    <w:bookmarkEnd w:id="1450"/>
    <w:bookmarkEnd w:id="1451"/>
    <w:bookmarkEnd w:id="1452"/>
    <w:p w14:paraId="60C472C1">
      <w:pPr>
        <w:spacing w:before="156" w:beforeLines="50" w:after="156" w:afterLines="50" w:line="360" w:lineRule="exact"/>
        <w:jc w:val="center"/>
        <w:rPr>
          <w:rFonts w:ascii="宋体" w:hAnsi="宋体"/>
          <w:b/>
          <w:color w:val="auto"/>
          <w:sz w:val="30"/>
          <w:szCs w:val="30"/>
        </w:rPr>
      </w:pPr>
      <w:r>
        <w:rPr>
          <w:rFonts w:hint="eastAsia" w:ascii="宋体" w:hAnsi="宋体"/>
          <w:b/>
          <w:color w:val="auto"/>
          <w:sz w:val="30"/>
          <w:szCs w:val="30"/>
        </w:rPr>
        <w:t>承包人用于本工程施工的机械设备表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4"/>
        <w:gridCol w:w="1250"/>
        <w:gridCol w:w="1017"/>
        <w:gridCol w:w="809"/>
        <w:gridCol w:w="708"/>
        <w:gridCol w:w="923"/>
        <w:gridCol w:w="1139"/>
        <w:gridCol w:w="795"/>
        <w:gridCol w:w="920"/>
      </w:tblGrid>
      <w:tr w14:paraId="719D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14:paraId="6D91AC35">
            <w:pPr>
              <w:pStyle w:val="21"/>
              <w:keepNext/>
              <w:spacing w:line="360" w:lineRule="exact"/>
              <w:ind w:left="63" w:right="63"/>
              <w:rPr>
                <w:rFonts w:ascii="宋体" w:hAnsi="宋体"/>
                <w:color w:val="auto"/>
                <w:szCs w:val="21"/>
              </w:rPr>
            </w:pPr>
            <w:r>
              <w:rPr>
                <w:rFonts w:hint="eastAsia" w:ascii="宋体" w:hAnsi="宋体"/>
                <w:color w:val="auto"/>
                <w:szCs w:val="21"/>
              </w:rPr>
              <w:t>序号</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8CE9AF6">
            <w:pPr>
              <w:pStyle w:val="21"/>
              <w:keepNext/>
              <w:spacing w:line="360" w:lineRule="exact"/>
              <w:ind w:left="63" w:right="63"/>
              <w:rPr>
                <w:rFonts w:ascii="宋体" w:hAnsi="宋体"/>
                <w:color w:val="auto"/>
                <w:szCs w:val="21"/>
              </w:rPr>
            </w:pPr>
            <w:r>
              <w:rPr>
                <w:rFonts w:hint="eastAsia" w:ascii="宋体" w:hAnsi="宋体"/>
                <w:color w:val="auto"/>
                <w:szCs w:val="21"/>
              </w:rPr>
              <w:t>机械或</w:t>
            </w:r>
          </w:p>
          <w:p w14:paraId="4C282099">
            <w:pPr>
              <w:pStyle w:val="21"/>
              <w:keepNext/>
              <w:spacing w:line="360" w:lineRule="exact"/>
              <w:ind w:left="63" w:right="63"/>
              <w:rPr>
                <w:rFonts w:ascii="宋体" w:hAnsi="宋体"/>
                <w:color w:val="auto"/>
                <w:szCs w:val="21"/>
              </w:rPr>
            </w:pPr>
            <w:r>
              <w:rPr>
                <w:rFonts w:hint="eastAsia" w:ascii="宋体" w:hAnsi="宋体"/>
                <w:color w:val="auto"/>
                <w:szCs w:val="21"/>
              </w:rPr>
              <w:t>设备名称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E430693">
            <w:pPr>
              <w:pStyle w:val="21"/>
              <w:keepNext/>
              <w:spacing w:line="360" w:lineRule="exact"/>
              <w:ind w:left="63" w:right="63"/>
              <w:rPr>
                <w:rFonts w:ascii="宋体" w:hAnsi="宋体"/>
                <w:color w:val="auto"/>
                <w:szCs w:val="21"/>
              </w:rPr>
            </w:pPr>
            <w:r>
              <w:rPr>
                <w:rFonts w:hint="eastAsia" w:ascii="宋体" w:hAnsi="宋体"/>
                <w:color w:val="auto"/>
                <w:szCs w:val="21"/>
              </w:rPr>
              <w:t>规格</w:t>
            </w:r>
          </w:p>
          <w:p w14:paraId="196B7051">
            <w:pPr>
              <w:pStyle w:val="21"/>
              <w:keepNext/>
              <w:spacing w:line="360" w:lineRule="exact"/>
              <w:ind w:left="63" w:right="63"/>
              <w:rPr>
                <w:rFonts w:ascii="宋体" w:hAnsi="宋体"/>
                <w:color w:val="auto"/>
                <w:szCs w:val="21"/>
              </w:rPr>
            </w:pPr>
            <w:r>
              <w:rPr>
                <w:rFonts w:hint="eastAsia" w:ascii="宋体" w:hAnsi="宋体"/>
                <w:color w:val="auto"/>
                <w:szCs w:val="21"/>
              </w:rPr>
              <w:t>型号</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2805000D">
            <w:pPr>
              <w:pStyle w:val="21"/>
              <w:keepNext/>
              <w:spacing w:line="360" w:lineRule="exact"/>
              <w:ind w:left="63" w:right="63"/>
              <w:rPr>
                <w:rFonts w:ascii="宋体" w:hAnsi="宋体"/>
                <w:color w:val="auto"/>
                <w:szCs w:val="21"/>
              </w:rPr>
            </w:pPr>
            <w:r>
              <w:rPr>
                <w:rFonts w:hint="eastAsia" w:ascii="宋体" w:hAnsi="宋体"/>
                <w:color w:val="auto"/>
                <w:szCs w:val="21"/>
              </w:rPr>
              <w:t>数量</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EC3B220">
            <w:pPr>
              <w:pStyle w:val="21"/>
              <w:keepNext/>
              <w:spacing w:line="360" w:lineRule="exact"/>
              <w:ind w:left="63" w:right="63"/>
              <w:rPr>
                <w:rFonts w:ascii="宋体" w:hAnsi="宋体"/>
                <w:color w:val="auto"/>
                <w:szCs w:val="21"/>
              </w:rPr>
            </w:pPr>
            <w:r>
              <w:rPr>
                <w:rFonts w:hint="eastAsia" w:ascii="宋体" w:hAnsi="宋体"/>
                <w:color w:val="auto"/>
                <w:szCs w:val="21"/>
              </w:rPr>
              <w:t>产地</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12465582">
            <w:pPr>
              <w:pStyle w:val="21"/>
              <w:keepNext/>
              <w:spacing w:line="360" w:lineRule="exact"/>
              <w:ind w:left="63" w:right="63"/>
              <w:rPr>
                <w:rFonts w:ascii="宋体" w:hAnsi="宋体"/>
                <w:color w:val="auto"/>
                <w:szCs w:val="21"/>
              </w:rPr>
            </w:pPr>
            <w:r>
              <w:rPr>
                <w:rFonts w:hint="eastAsia" w:ascii="宋体" w:hAnsi="宋体"/>
                <w:color w:val="auto"/>
                <w:szCs w:val="21"/>
              </w:rPr>
              <w:t>制造</w:t>
            </w:r>
          </w:p>
          <w:p w14:paraId="68E4B9F9">
            <w:pPr>
              <w:pStyle w:val="21"/>
              <w:keepNext/>
              <w:spacing w:line="360" w:lineRule="exact"/>
              <w:ind w:left="63" w:right="63"/>
              <w:rPr>
                <w:rFonts w:ascii="宋体" w:hAnsi="宋体"/>
                <w:color w:val="auto"/>
                <w:szCs w:val="21"/>
              </w:rPr>
            </w:pPr>
            <w:r>
              <w:rPr>
                <w:rFonts w:hint="eastAsia" w:ascii="宋体" w:hAnsi="宋体"/>
                <w:color w:val="auto"/>
                <w:szCs w:val="21"/>
              </w:rPr>
              <w:t>年份</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B193799">
            <w:pPr>
              <w:pStyle w:val="21"/>
              <w:keepNext/>
              <w:spacing w:line="360" w:lineRule="exact"/>
              <w:ind w:left="63" w:right="63"/>
              <w:rPr>
                <w:rFonts w:ascii="宋体" w:hAnsi="宋体"/>
                <w:color w:val="auto"/>
                <w:szCs w:val="21"/>
              </w:rPr>
            </w:pPr>
            <w:r>
              <w:rPr>
                <w:rFonts w:hint="eastAsia" w:ascii="宋体" w:hAnsi="宋体"/>
                <w:color w:val="auto"/>
                <w:szCs w:val="21"/>
              </w:rPr>
              <w:t>额定功率</w:t>
            </w:r>
          </w:p>
          <w:p w14:paraId="5AB1153A">
            <w:pPr>
              <w:pStyle w:val="21"/>
              <w:keepNext/>
              <w:spacing w:line="360" w:lineRule="exact"/>
              <w:ind w:left="63" w:right="63"/>
              <w:rPr>
                <w:rFonts w:ascii="宋体" w:hAnsi="宋体"/>
                <w:color w:val="auto"/>
                <w:szCs w:val="21"/>
              </w:rPr>
            </w:pPr>
            <w:r>
              <w:rPr>
                <w:rFonts w:hint="eastAsia" w:ascii="宋体" w:hAnsi="宋体"/>
                <w:color w:val="auto"/>
                <w:szCs w:val="21"/>
              </w:rPr>
              <w:t>（kW）</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84C0066">
            <w:pPr>
              <w:pStyle w:val="21"/>
              <w:keepNext/>
              <w:spacing w:line="360" w:lineRule="exact"/>
              <w:ind w:left="63" w:right="63"/>
              <w:rPr>
                <w:rFonts w:ascii="宋体" w:hAnsi="宋体"/>
                <w:color w:val="auto"/>
                <w:szCs w:val="21"/>
              </w:rPr>
            </w:pPr>
            <w:r>
              <w:rPr>
                <w:rFonts w:hint="eastAsia" w:ascii="宋体" w:hAnsi="宋体"/>
                <w:color w:val="auto"/>
                <w:szCs w:val="21"/>
              </w:rPr>
              <w:t>生产</w:t>
            </w:r>
          </w:p>
          <w:p w14:paraId="28003CD5">
            <w:pPr>
              <w:pStyle w:val="21"/>
              <w:keepNext/>
              <w:spacing w:line="360" w:lineRule="exact"/>
              <w:ind w:left="63" w:right="63"/>
              <w:rPr>
                <w:rFonts w:ascii="宋体" w:hAnsi="宋体"/>
                <w:color w:val="auto"/>
                <w:szCs w:val="21"/>
              </w:rPr>
            </w:pPr>
            <w:r>
              <w:rPr>
                <w:rFonts w:hint="eastAsia" w:ascii="宋体" w:hAnsi="宋体"/>
                <w:color w:val="auto"/>
                <w:szCs w:val="21"/>
              </w:rPr>
              <w:t>能力</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58917AF3">
            <w:pPr>
              <w:pStyle w:val="21"/>
              <w:keepNext/>
              <w:spacing w:line="360" w:lineRule="exact"/>
              <w:ind w:left="63" w:right="63"/>
              <w:rPr>
                <w:rFonts w:ascii="宋体" w:hAnsi="宋体"/>
                <w:color w:val="auto"/>
                <w:szCs w:val="21"/>
              </w:rPr>
            </w:pPr>
            <w:r>
              <w:rPr>
                <w:rFonts w:hint="eastAsia" w:ascii="宋体" w:hAnsi="宋体"/>
                <w:color w:val="auto"/>
                <w:szCs w:val="21"/>
              </w:rPr>
              <w:t>备注</w:t>
            </w:r>
          </w:p>
        </w:tc>
      </w:tr>
      <w:tr w14:paraId="4593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14:paraId="6AE7224E">
            <w:pPr>
              <w:pStyle w:val="21"/>
              <w:keepNext/>
              <w:spacing w:line="360" w:lineRule="exact"/>
              <w:ind w:left="63" w:right="63"/>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0B6AA8B">
            <w:pPr>
              <w:pStyle w:val="21"/>
              <w:keepNext/>
              <w:spacing w:line="360" w:lineRule="exact"/>
              <w:ind w:left="63" w:right="63"/>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40266CD">
            <w:pPr>
              <w:pStyle w:val="21"/>
              <w:keepNext/>
              <w:spacing w:line="360" w:lineRule="exact"/>
              <w:ind w:left="63" w:right="63"/>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0B65FD6C">
            <w:pPr>
              <w:pStyle w:val="21"/>
              <w:keepNext/>
              <w:spacing w:line="360" w:lineRule="exact"/>
              <w:ind w:left="63" w:right="63"/>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2D42B5E3">
            <w:pPr>
              <w:pStyle w:val="21"/>
              <w:keepNext/>
              <w:spacing w:line="360" w:lineRule="exact"/>
              <w:ind w:left="63" w:right="63"/>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30F995E9">
            <w:pPr>
              <w:pStyle w:val="21"/>
              <w:keepNext/>
              <w:spacing w:line="360" w:lineRule="exact"/>
              <w:ind w:left="63" w:right="63"/>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D1792DC">
            <w:pPr>
              <w:pStyle w:val="21"/>
              <w:keepNext/>
              <w:spacing w:line="360" w:lineRule="exact"/>
              <w:ind w:left="63" w:right="63"/>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A30E2F3">
            <w:pPr>
              <w:pStyle w:val="21"/>
              <w:keepNext/>
              <w:spacing w:line="360" w:lineRule="exact"/>
              <w:ind w:left="63" w:right="63"/>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6E251369">
            <w:pPr>
              <w:pStyle w:val="21"/>
              <w:keepNext/>
              <w:spacing w:line="360" w:lineRule="exact"/>
              <w:ind w:left="63" w:right="63"/>
              <w:rPr>
                <w:rFonts w:ascii="宋体" w:hAnsi="宋体"/>
                <w:color w:val="auto"/>
                <w:szCs w:val="21"/>
              </w:rPr>
            </w:pPr>
          </w:p>
        </w:tc>
      </w:tr>
      <w:tr w14:paraId="402D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14:paraId="4CD42B48">
            <w:pPr>
              <w:pStyle w:val="21"/>
              <w:keepNext/>
              <w:spacing w:line="360" w:lineRule="exact"/>
              <w:ind w:left="63" w:right="63"/>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2FEAF49">
            <w:pPr>
              <w:pStyle w:val="21"/>
              <w:keepNext/>
              <w:spacing w:line="360" w:lineRule="exact"/>
              <w:ind w:left="63" w:right="63"/>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C8731DE">
            <w:pPr>
              <w:pStyle w:val="21"/>
              <w:keepNext/>
              <w:spacing w:line="360" w:lineRule="exact"/>
              <w:ind w:left="63" w:right="63"/>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2FD5ADDC">
            <w:pPr>
              <w:pStyle w:val="21"/>
              <w:keepNext/>
              <w:spacing w:line="360" w:lineRule="exact"/>
              <w:ind w:left="63" w:right="63"/>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3A8E4580">
            <w:pPr>
              <w:pStyle w:val="21"/>
              <w:keepNext/>
              <w:spacing w:line="360" w:lineRule="exact"/>
              <w:ind w:left="63" w:right="63"/>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69BFF968">
            <w:pPr>
              <w:pStyle w:val="21"/>
              <w:keepNext/>
              <w:spacing w:line="360" w:lineRule="exact"/>
              <w:ind w:left="63" w:right="63"/>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9151C6E">
            <w:pPr>
              <w:pStyle w:val="21"/>
              <w:keepNext/>
              <w:spacing w:line="360" w:lineRule="exact"/>
              <w:ind w:left="63" w:right="63"/>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2FF3F7E3">
            <w:pPr>
              <w:pStyle w:val="21"/>
              <w:keepNext/>
              <w:spacing w:line="360" w:lineRule="exact"/>
              <w:ind w:left="63" w:right="63"/>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2C48F76B">
            <w:pPr>
              <w:pStyle w:val="21"/>
              <w:keepNext/>
              <w:spacing w:line="360" w:lineRule="exact"/>
              <w:ind w:left="63" w:right="63"/>
              <w:rPr>
                <w:rFonts w:ascii="宋体" w:hAnsi="宋体"/>
                <w:color w:val="auto"/>
                <w:szCs w:val="21"/>
              </w:rPr>
            </w:pPr>
          </w:p>
        </w:tc>
      </w:tr>
      <w:tr w14:paraId="7B57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14:paraId="6CD3227A">
            <w:pPr>
              <w:pStyle w:val="21"/>
              <w:keepNext/>
              <w:spacing w:line="360" w:lineRule="exact"/>
              <w:ind w:left="63" w:right="63"/>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A73F756">
            <w:pPr>
              <w:pStyle w:val="21"/>
              <w:keepNext/>
              <w:spacing w:line="360" w:lineRule="exact"/>
              <w:ind w:left="63" w:right="63"/>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F0D2793">
            <w:pPr>
              <w:pStyle w:val="21"/>
              <w:keepNext/>
              <w:spacing w:line="360" w:lineRule="exact"/>
              <w:ind w:left="63" w:right="63"/>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00000A08">
            <w:pPr>
              <w:pStyle w:val="21"/>
              <w:keepNext/>
              <w:spacing w:line="360" w:lineRule="exact"/>
              <w:ind w:left="63" w:right="63"/>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FC96900">
            <w:pPr>
              <w:pStyle w:val="21"/>
              <w:keepNext/>
              <w:spacing w:line="360" w:lineRule="exact"/>
              <w:ind w:left="63" w:right="63"/>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2B84516E">
            <w:pPr>
              <w:pStyle w:val="21"/>
              <w:keepNext/>
              <w:spacing w:line="360" w:lineRule="exact"/>
              <w:ind w:left="63" w:right="63"/>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9F6833B">
            <w:pPr>
              <w:pStyle w:val="21"/>
              <w:keepNext/>
              <w:spacing w:line="360" w:lineRule="exact"/>
              <w:ind w:left="63" w:right="63"/>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4C9C794E">
            <w:pPr>
              <w:pStyle w:val="21"/>
              <w:keepNext/>
              <w:spacing w:line="360" w:lineRule="exact"/>
              <w:ind w:left="63" w:right="63"/>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079241CC">
            <w:pPr>
              <w:pStyle w:val="21"/>
              <w:keepNext/>
              <w:spacing w:line="360" w:lineRule="exact"/>
              <w:ind w:left="63" w:right="63"/>
              <w:rPr>
                <w:rFonts w:ascii="宋体" w:hAnsi="宋体"/>
                <w:color w:val="auto"/>
                <w:szCs w:val="21"/>
              </w:rPr>
            </w:pPr>
          </w:p>
        </w:tc>
      </w:tr>
      <w:tr w14:paraId="7F09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14:paraId="54089ECE">
            <w:pPr>
              <w:pStyle w:val="21"/>
              <w:keepNext/>
              <w:spacing w:line="360" w:lineRule="exact"/>
              <w:ind w:left="63" w:right="63"/>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CD5A127">
            <w:pPr>
              <w:pStyle w:val="21"/>
              <w:keepNext/>
              <w:spacing w:line="360" w:lineRule="exact"/>
              <w:ind w:left="63" w:right="63"/>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9867133">
            <w:pPr>
              <w:pStyle w:val="21"/>
              <w:keepNext/>
              <w:spacing w:line="360" w:lineRule="exact"/>
              <w:ind w:left="63" w:right="63"/>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4F89353C">
            <w:pPr>
              <w:pStyle w:val="21"/>
              <w:keepNext/>
              <w:spacing w:line="360" w:lineRule="exact"/>
              <w:ind w:left="63" w:right="63"/>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154C7D0">
            <w:pPr>
              <w:pStyle w:val="21"/>
              <w:keepNext/>
              <w:spacing w:line="360" w:lineRule="exact"/>
              <w:ind w:left="63" w:right="63"/>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6CA665A7">
            <w:pPr>
              <w:pStyle w:val="21"/>
              <w:keepNext/>
              <w:spacing w:line="360" w:lineRule="exact"/>
              <w:ind w:left="63" w:right="63"/>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BF8A09C">
            <w:pPr>
              <w:pStyle w:val="21"/>
              <w:keepNext/>
              <w:spacing w:line="360" w:lineRule="exact"/>
              <w:ind w:left="63" w:right="63"/>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2A3EFCA4">
            <w:pPr>
              <w:pStyle w:val="21"/>
              <w:keepNext/>
              <w:spacing w:line="360" w:lineRule="exact"/>
              <w:ind w:left="63" w:right="63"/>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3C93AC7A">
            <w:pPr>
              <w:pStyle w:val="21"/>
              <w:keepNext/>
              <w:spacing w:line="360" w:lineRule="exact"/>
              <w:ind w:left="63" w:right="63"/>
              <w:rPr>
                <w:rFonts w:ascii="宋体" w:hAnsi="宋体"/>
                <w:color w:val="auto"/>
                <w:szCs w:val="21"/>
              </w:rPr>
            </w:pPr>
          </w:p>
        </w:tc>
      </w:tr>
      <w:tr w14:paraId="5EC5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14:paraId="28C766D4">
            <w:pPr>
              <w:pStyle w:val="21"/>
              <w:keepNext/>
              <w:spacing w:line="360" w:lineRule="exact"/>
              <w:ind w:left="63" w:right="63"/>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C096144">
            <w:pPr>
              <w:pStyle w:val="21"/>
              <w:keepNext/>
              <w:spacing w:line="360" w:lineRule="exact"/>
              <w:ind w:left="63" w:right="63"/>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4943930">
            <w:pPr>
              <w:pStyle w:val="21"/>
              <w:keepNext/>
              <w:spacing w:line="360" w:lineRule="exact"/>
              <w:ind w:left="63" w:right="63"/>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61991E34">
            <w:pPr>
              <w:pStyle w:val="21"/>
              <w:keepNext/>
              <w:spacing w:line="360" w:lineRule="exact"/>
              <w:ind w:left="63" w:right="63"/>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04EFA4D">
            <w:pPr>
              <w:pStyle w:val="21"/>
              <w:keepNext/>
              <w:spacing w:line="360" w:lineRule="exact"/>
              <w:ind w:left="63" w:right="63"/>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371BB3F7">
            <w:pPr>
              <w:pStyle w:val="21"/>
              <w:keepNext/>
              <w:spacing w:line="360" w:lineRule="exact"/>
              <w:ind w:left="63" w:right="63"/>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9D05C42">
            <w:pPr>
              <w:pStyle w:val="21"/>
              <w:keepNext/>
              <w:spacing w:line="360" w:lineRule="exact"/>
              <w:ind w:left="63" w:right="63"/>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31944A38">
            <w:pPr>
              <w:pStyle w:val="21"/>
              <w:keepNext/>
              <w:spacing w:line="360" w:lineRule="exact"/>
              <w:ind w:left="63" w:right="63"/>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04657770">
            <w:pPr>
              <w:pStyle w:val="21"/>
              <w:keepNext/>
              <w:spacing w:line="360" w:lineRule="exact"/>
              <w:ind w:left="63" w:right="63"/>
              <w:rPr>
                <w:rFonts w:ascii="宋体" w:hAnsi="宋体"/>
                <w:color w:val="auto"/>
                <w:szCs w:val="21"/>
              </w:rPr>
            </w:pPr>
          </w:p>
        </w:tc>
      </w:tr>
      <w:tr w14:paraId="54D0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14:paraId="3477960A">
            <w:pPr>
              <w:pStyle w:val="21"/>
              <w:keepNext/>
              <w:spacing w:line="360" w:lineRule="exact"/>
              <w:ind w:left="63" w:right="63"/>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FC94A1F">
            <w:pPr>
              <w:pStyle w:val="21"/>
              <w:keepNext/>
              <w:spacing w:line="360" w:lineRule="exact"/>
              <w:ind w:left="63" w:right="63"/>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12EA316">
            <w:pPr>
              <w:pStyle w:val="21"/>
              <w:keepNext/>
              <w:spacing w:line="360" w:lineRule="exact"/>
              <w:ind w:left="63" w:right="63"/>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0DDC77BB">
            <w:pPr>
              <w:pStyle w:val="21"/>
              <w:keepNext/>
              <w:spacing w:line="360" w:lineRule="exact"/>
              <w:ind w:left="63" w:right="63"/>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4D12031">
            <w:pPr>
              <w:pStyle w:val="21"/>
              <w:keepNext/>
              <w:spacing w:line="360" w:lineRule="exact"/>
              <w:ind w:left="63" w:right="63"/>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76B7AFF6">
            <w:pPr>
              <w:pStyle w:val="21"/>
              <w:keepNext/>
              <w:spacing w:line="360" w:lineRule="exact"/>
              <w:ind w:left="63" w:right="63"/>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F0107A5">
            <w:pPr>
              <w:pStyle w:val="21"/>
              <w:keepNext/>
              <w:spacing w:line="360" w:lineRule="exact"/>
              <w:ind w:left="63" w:right="63"/>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4E9281FE">
            <w:pPr>
              <w:pStyle w:val="21"/>
              <w:keepNext/>
              <w:spacing w:line="360" w:lineRule="exact"/>
              <w:ind w:left="63" w:right="63"/>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470156D5">
            <w:pPr>
              <w:pStyle w:val="21"/>
              <w:keepNext/>
              <w:spacing w:line="360" w:lineRule="exact"/>
              <w:ind w:left="63" w:right="63"/>
              <w:rPr>
                <w:rFonts w:ascii="宋体" w:hAnsi="宋体"/>
                <w:color w:val="auto"/>
                <w:szCs w:val="21"/>
              </w:rPr>
            </w:pPr>
          </w:p>
        </w:tc>
      </w:tr>
      <w:tr w14:paraId="01A8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14:paraId="50F6A112">
            <w:pPr>
              <w:pStyle w:val="21"/>
              <w:keepNext/>
              <w:spacing w:line="360" w:lineRule="exact"/>
              <w:ind w:left="63" w:right="63"/>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6C347B3">
            <w:pPr>
              <w:pStyle w:val="21"/>
              <w:keepNext/>
              <w:spacing w:line="360" w:lineRule="exact"/>
              <w:ind w:left="63" w:right="63"/>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5FB4EE3">
            <w:pPr>
              <w:pStyle w:val="21"/>
              <w:keepNext/>
              <w:spacing w:line="360" w:lineRule="exact"/>
              <w:ind w:left="63" w:right="63"/>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7D677A03">
            <w:pPr>
              <w:pStyle w:val="21"/>
              <w:keepNext/>
              <w:spacing w:line="360" w:lineRule="exact"/>
              <w:ind w:left="63" w:right="63"/>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529CC457">
            <w:pPr>
              <w:pStyle w:val="21"/>
              <w:keepNext/>
              <w:spacing w:line="360" w:lineRule="exact"/>
              <w:ind w:left="63" w:right="63"/>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20725898">
            <w:pPr>
              <w:pStyle w:val="21"/>
              <w:keepNext/>
              <w:spacing w:line="360" w:lineRule="exact"/>
              <w:ind w:left="63" w:right="63"/>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8D8D3E8">
            <w:pPr>
              <w:pStyle w:val="21"/>
              <w:keepNext/>
              <w:spacing w:line="360" w:lineRule="exact"/>
              <w:ind w:left="63" w:right="63"/>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4AEEC829">
            <w:pPr>
              <w:pStyle w:val="21"/>
              <w:keepNext/>
              <w:spacing w:line="360" w:lineRule="exact"/>
              <w:ind w:left="63" w:right="63"/>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295A3435">
            <w:pPr>
              <w:pStyle w:val="21"/>
              <w:keepNext/>
              <w:spacing w:line="360" w:lineRule="exact"/>
              <w:ind w:left="63" w:right="63"/>
              <w:rPr>
                <w:rFonts w:ascii="宋体" w:hAnsi="宋体"/>
                <w:color w:val="auto"/>
                <w:szCs w:val="21"/>
              </w:rPr>
            </w:pPr>
          </w:p>
        </w:tc>
      </w:tr>
      <w:tr w14:paraId="03DC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14:paraId="0FC3A359">
            <w:pPr>
              <w:pStyle w:val="21"/>
              <w:keepNext/>
              <w:spacing w:line="360" w:lineRule="exact"/>
              <w:ind w:left="63" w:right="63"/>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33671B3">
            <w:pPr>
              <w:pStyle w:val="21"/>
              <w:keepNext/>
              <w:spacing w:line="360" w:lineRule="exact"/>
              <w:ind w:left="63" w:right="63"/>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D1E478A">
            <w:pPr>
              <w:pStyle w:val="21"/>
              <w:keepNext/>
              <w:spacing w:line="360" w:lineRule="exact"/>
              <w:ind w:left="63" w:right="63"/>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67707276">
            <w:pPr>
              <w:pStyle w:val="21"/>
              <w:keepNext/>
              <w:spacing w:line="360" w:lineRule="exact"/>
              <w:ind w:left="63" w:right="63"/>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EB94166">
            <w:pPr>
              <w:pStyle w:val="21"/>
              <w:keepNext/>
              <w:spacing w:line="360" w:lineRule="exact"/>
              <w:ind w:left="63" w:right="63"/>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366841AE">
            <w:pPr>
              <w:pStyle w:val="21"/>
              <w:keepNext/>
              <w:spacing w:line="360" w:lineRule="exact"/>
              <w:ind w:left="63" w:right="63"/>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0118A9F">
            <w:pPr>
              <w:pStyle w:val="21"/>
              <w:keepNext/>
              <w:spacing w:line="360" w:lineRule="exact"/>
              <w:ind w:left="63" w:right="63"/>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6B03B36">
            <w:pPr>
              <w:pStyle w:val="21"/>
              <w:keepNext/>
              <w:spacing w:line="360" w:lineRule="exact"/>
              <w:ind w:left="63" w:right="63"/>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5A616B67">
            <w:pPr>
              <w:pStyle w:val="21"/>
              <w:keepNext/>
              <w:spacing w:line="360" w:lineRule="exact"/>
              <w:ind w:left="63" w:right="63"/>
              <w:rPr>
                <w:rFonts w:ascii="宋体" w:hAnsi="宋体"/>
                <w:color w:val="auto"/>
                <w:szCs w:val="21"/>
              </w:rPr>
            </w:pPr>
          </w:p>
        </w:tc>
      </w:tr>
      <w:tr w14:paraId="3BA8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14:paraId="223EFAA0">
            <w:pPr>
              <w:spacing w:line="360" w:lineRule="exact"/>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635AF10A">
            <w:pPr>
              <w:spacing w:line="360" w:lineRule="exact"/>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top"/>
          </w:tcPr>
          <w:p w14:paraId="303F2717">
            <w:pPr>
              <w:spacing w:line="360" w:lineRule="exact"/>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top"/>
          </w:tcPr>
          <w:p w14:paraId="2583136A">
            <w:pPr>
              <w:spacing w:line="360" w:lineRule="exact"/>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3B5550E8">
            <w:pPr>
              <w:spacing w:line="360" w:lineRule="exact"/>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top"/>
          </w:tcPr>
          <w:p w14:paraId="7EBD3AAB">
            <w:pPr>
              <w:spacing w:line="360" w:lineRule="exact"/>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75462000">
            <w:pPr>
              <w:spacing w:line="360" w:lineRule="exact"/>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5985565D">
            <w:pPr>
              <w:spacing w:line="360" w:lineRule="exact"/>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14:paraId="33F93A60">
            <w:pPr>
              <w:spacing w:line="360" w:lineRule="exact"/>
              <w:rPr>
                <w:rFonts w:ascii="宋体" w:hAnsi="宋体"/>
                <w:color w:val="auto"/>
                <w:szCs w:val="21"/>
              </w:rPr>
            </w:pPr>
          </w:p>
        </w:tc>
      </w:tr>
      <w:tr w14:paraId="6FCB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14:paraId="26A8A2E4">
            <w:pPr>
              <w:pStyle w:val="21"/>
              <w:keepNext/>
              <w:spacing w:line="360" w:lineRule="exact"/>
              <w:ind w:left="63" w:right="63"/>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6FA1253">
            <w:pPr>
              <w:pStyle w:val="21"/>
              <w:keepNext/>
              <w:spacing w:line="360" w:lineRule="exact"/>
              <w:ind w:left="63" w:right="63"/>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86B7874">
            <w:pPr>
              <w:pStyle w:val="21"/>
              <w:keepNext/>
              <w:spacing w:line="360" w:lineRule="exact"/>
              <w:ind w:left="63" w:right="63"/>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44FB7026">
            <w:pPr>
              <w:pStyle w:val="21"/>
              <w:keepNext/>
              <w:spacing w:line="360" w:lineRule="exact"/>
              <w:ind w:left="63" w:right="63"/>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3ED18273">
            <w:pPr>
              <w:pStyle w:val="21"/>
              <w:keepNext/>
              <w:spacing w:line="360" w:lineRule="exact"/>
              <w:ind w:left="63" w:right="63"/>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69896B14">
            <w:pPr>
              <w:pStyle w:val="21"/>
              <w:keepNext/>
              <w:spacing w:line="360" w:lineRule="exact"/>
              <w:ind w:left="63" w:right="63"/>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2837CEF">
            <w:pPr>
              <w:pStyle w:val="21"/>
              <w:keepNext/>
              <w:spacing w:line="360" w:lineRule="exact"/>
              <w:ind w:left="63" w:right="63"/>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48C07B1E">
            <w:pPr>
              <w:pStyle w:val="21"/>
              <w:keepNext/>
              <w:spacing w:line="360" w:lineRule="exact"/>
              <w:ind w:left="63" w:right="63"/>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7F7B9700">
            <w:pPr>
              <w:pStyle w:val="21"/>
              <w:keepNext/>
              <w:spacing w:line="360" w:lineRule="exact"/>
              <w:ind w:left="63" w:right="63"/>
              <w:rPr>
                <w:rFonts w:ascii="宋体" w:hAnsi="宋体"/>
                <w:color w:val="auto"/>
                <w:szCs w:val="21"/>
              </w:rPr>
            </w:pPr>
          </w:p>
        </w:tc>
      </w:tr>
      <w:tr w14:paraId="04DB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14:paraId="32FC4E0F">
            <w:pPr>
              <w:spacing w:line="360" w:lineRule="exact"/>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16EA7C8E">
            <w:pPr>
              <w:spacing w:line="360" w:lineRule="exact"/>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top"/>
          </w:tcPr>
          <w:p w14:paraId="0D97E60C">
            <w:pPr>
              <w:spacing w:line="360" w:lineRule="exact"/>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top"/>
          </w:tcPr>
          <w:p w14:paraId="042C9218">
            <w:pPr>
              <w:spacing w:line="360" w:lineRule="exact"/>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64FBA358">
            <w:pPr>
              <w:spacing w:line="360" w:lineRule="exact"/>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top"/>
          </w:tcPr>
          <w:p w14:paraId="3DBFC731">
            <w:pPr>
              <w:spacing w:line="360" w:lineRule="exact"/>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344C4FBB">
            <w:pPr>
              <w:spacing w:line="360" w:lineRule="exact"/>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7030C0B1">
            <w:pPr>
              <w:spacing w:line="360" w:lineRule="exact"/>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14:paraId="34A553CC">
            <w:pPr>
              <w:spacing w:line="360" w:lineRule="exact"/>
              <w:rPr>
                <w:rFonts w:ascii="宋体" w:hAnsi="宋体"/>
                <w:color w:val="auto"/>
                <w:szCs w:val="21"/>
              </w:rPr>
            </w:pPr>
          </w:p>
        </w:tc>
      </w:tr>
      <w:tr w14:paraId="0563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14:paraId="361236B7">
            <w:pPr>
              <w:spacing w:line="360" w:lineRule="exact"/>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5F30709B">
            <w:pPr>
              <w:spacing w:line="360" w:lineRule="exact"/>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top"/>
          </w:tcPr>
          <w:p w14:paraId="4E007DE0">
            <w:pPr>
              <w:spacing w:line="360" w:lineRule="exact"/>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top"/>
          </w:tcPr>
          <w:p w14:paraId="1C77457E">
            <w:pPr>
              <w:spacing w:line="360" w:lineRule="exact"/>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661A6856">
            <w:pPr>
              <w:spacing w:line="360" w:lineRule="exact"/>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top"/>
          </w:tcPr>
          <w:p w14:paraId="3FBF5E92">
            <w:pPr>
              <w:spacing w:line="360" w:lineRule="exact"/>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7C73E7F2">
            <w:pPr>
              <w:spacing w:line="360" w:lineRule="exact"/>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699D34EC">
            <w:pPr>
              <w:spacing w:line="360" w:lineRule="exact"/>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14:paraId="4ABCF62F">
            <w:pPr>
              <w:spacing w:line="360" w:lineRule="exact"/>
              <w:rPr>
                <w:rFonts w:ascii="宋体" w:hAnsi="宋体"/>
                <w:color w:val="auto"/>
                <w:szCs w:val="21"/>
              </w:rPr>
            </w:pPr>
          </w:p>
        </w:tc>
      </w:tr>
      <w:tr w14:paraId="53C1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14:paraId="075A4BFF">
            <w:pPr>
              <w:spacing w:line="360" w:lineRule="exact"/>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5BD40F1A">
            <w:pPr>
              <w:spacing w:line="360" w:lineRule="exact"/>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top"/>
          </w:tcPr>
          <w:p w14:paraId="2D02D41D">
            <w:pPr>
              <w:spacing w:line="360" w:lineRule="exact"/>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top"/>
          </w:tcPr>
          <w:p w14:paraId="22B22995">
            <w:pPr>
              <w:spacing w:line="360" w:lineRule="exact"/>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099590EE">
            <w:pPr>
              <w:spacing w:line="360" w:lineRule="exact"/>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top"/>
          </w:tcPr>
          <w:p w14:paraId="4124495B">
            <w:pPr>
              <w:spacing w:line="360" w:lineRule="exact"/>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52BB224D">
            <w:pPr>
              <w:spacing w:line="360" w:lineRule="exact"/>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533E72D5">
            <w:pPr>
              <w:spacing w:line="360" w:lineRule="exact"/>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14:paraId="4BCC17E3">
            <w:pPr>
              <w:spacing w:line="360" w:lineRule="exact"/>
              <w:rPr>
                <w:rFonts w:ascii="宋体" w:hAnsi="宋体"/>
                <w:color w:val="auto"/>
                <w:szCs w:val="21"/>
              </w:rPr>
            </w:pPr>
          </w:p>
        </w:tc>
      </w:tr>
      <w:tr w14:paraId="2850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14:paraId="0793CB14">
            <w:pPr>
              <w:spacing w:line="360" w:lineRule="exact"/>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0E240E1A">
            <w:pPr>
              <w:spacing w:line="360" w:lineRule="exact"/>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top"/>
          </w:tcPr>
          <w:p w14:paraId="30B397E2">
            <w:pPr>
              <w:spacing w:line="360" w:lineRule="exact"/>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top"/>
          </w:tcPr>
          <w:p w14:paraId="45CB4FC8">
            <w:pPr>
              <w:spacing w:line="360" w:lineRule="exact"/>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4DBA155B">
            <w:pPr>
              <w:spacing w:line="360" w:lineRule="exact"/>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top"/>
          </w:tcPr>
          <w:p w14:paraId="72A48ACE">
            <w:pPr>
              <w:spacing w:line="360" w:lineRule="exact"/>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7999C4BD">
            <w:pPr>
              <w:spacing w:line="360" w:lineRule="exact"/>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3845952A">
            <w:pPr>
              <w:spacing w:line="360" w:lineRule="exact"/>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14:paraId="5777FC16">
            <w:pPr>
              <w:spacing w:line="360" w:lineRule="exact"/>
              <w:rPr>
                <w:rFonts w:ascii="宋体" w:hAnsi="宋体"/>
                <w:color w:val="auto"/>
                <w:szCs w:val="21"/>
              </w:rPr>
            </w:pPr>
          </w:p>
        </w:tc>
      </w:tr>
      <w:tr w14:paraId="6A9D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14:paraId="4EF97BB6">
            <w:pPr>
              <w:spacing w:line="360" w:lineRule="exact"/>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21026473">
            <w:pPr>
              <w:spacing w:line="360" w:lineRule="exact"/>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top"/>
          </w:tcPr>
          <w:p w14:paraId="41F05B80">
            <w:pPr>
              <w:spacing w:line="360" w:lineRule="exact"/>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top"/>
          </w:tcPr>
          <w:p w14:paraId="074A9737">
            <w:pPr>
              <w:spacing w:line="360" w:lineRule="exact"/>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6BC8DB1D">
            <w:pPr>
              <w:spacing w:line="360" w:lineRule="exact"/>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top"/>
          </w:tcPr>
          <w:p w14:paraId="0EDE7CA9">
            <w:pPr>
              <w:spacing w:line="360" w:lineRule="exact"/>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3E1A7B28">
            <w:pPr>
              <w:spacing w:line="360" w:lineRule="exact"/>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2E24BCE2">
            <w:pPr>
              <w:spacing w:line="360" w:lineRule="exact"/>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14:paraId="19D65467">
            <w:pPr>
              <w:spacing w:line="360" w:lineRule="exact"/>
              <w:rPr>
                <w:rFonts w:ascii="宋体" w:hAnsi="宋体"/>
                <w:color w:val="auto"/>
                <w:szCs w:val="21"/>
              </w:rPr>
            </w:pPr>
          </w:p>
        </w:tc>
      </w:tr>
      <w:tr w14:paraId="4A2F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14:paraId="1B3BF25C">
            <w:pPr>
              <w:spacing w:line="360" w:lineRule="exact"/>
              <w:rPr>
                <w:rFonts w:ascii="宋体" w:hAnsi="宋体"/>
                <w:color w:val="auto"/>
                <w:szCs w:val="21"/>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2F503F3B">
            <w:pPr>
              <w:spacing w:line="360" w:lineRule="exact"/>
              <w:rPr>
                <w:rFonts w:ascii="宋体" w:hAnsi="宋体"/>
                <w:color w:val="auto"/>
                <w:szCs w:val="21"/>
              </w:rPr>
            </w:pPr>
          </w:p>
        </w:tc>
        <w:tc>
          <w:tcPr>
            <w:tcW w:w="1017" w:type="dxa"/>
            <w:tcBorders>
              <w:top w:val="single" w:color="auto" w:sz="4" w:space="0"/>
              <w:left w:val="single" w:color="auto" w:sz="4" w:space="0"/>
              <w:bottom w:val="single" w:color="auto" w:sz="4" w:space="0"/>
              <w:right w:val="single" w:color="auto" w:sz="4" w:space="0"/>
            </w:tcBorders>
            <w:noWrap w:val="0"/>
            <w:vAlign w:val="top"/>
          </w:tcPr>
          <w:p w14:paraId="0408AA49">
            <w:pPr>
              <w:spacing w:line="360" w:lineRule="exact"/>
              <w:rPr>
                <w:rFonts w:ascii="宋体" w:hAnsi="宋体"/>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top"/>
          </w:tcPr>
          <w:p w14:paraId="5B5399B4">
            <w:pPr>
              <w:spacing w:line="360" w:lineRule="exact"/>
              <w:rPr>
                <w:rFonts w:ascii="宋体" w:hAnsi="宋体"/>
                <w:color w:val="auto"/>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05D4E4A2">
            <w:pPr>
              <w:spacing w:line="360" w:lineRule="exact"/>
              <w:rPr>
                <w:rFonts w:ascii="宋体" w:hAnsi="宋体"/>
                <w:color w:val="auto"/>
                <w:szCs w:val="21"/>
              </w:rPr>
            </w:pPr>
          </w:p>
        </w:tc>
        <w:tc>
          <w:tcPr>
            <w:tcW w:w="923" w:type="dxa"/>
            <w:tcBorders>
              <w:top w:val="single" w:color="auto" w:sz="4" w:space="0"/>
              <w:left w:val="single" w:color="auto" w:sz="4" w:space="0"/>
              <w:bottom w:val="single" w:color="auto" w:sz="4" w:space="0"/>
              <w:right w:val="single" w:color="auto" w:sz="4" w:space="0"/>
            </w:tcBorders>
            <w:noWrap w:val="0"/>
            <w:vAlign w:val="top"/>
          </w:tcPr>
          <w:p w14:paraId="678ED90B">
            <w:pPr>
              <w:spacing w:line="360" w:lineRule="exact"/>
              <w:rPr>
                <w:rFonts w:ascii="宋体" w:hAnsi="宋体"/>
                <w:color w:val="auto"/>
                <w:szCs w:val="21"/>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2E11AB92">
            <w:pPr>
              <w:spacing w:line="360" w:lineRule="exact"/>
              <w:rPr>
                <w:rFonts w:ascii="宋体" w:hAnsi="宋体"/>
                <w:color w:val="auto"/>
                <w:szCs w:val="21"/>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2FC5808E">
            <w:pPr>
              <w:spacing w:line="360" w:lineRule="exact"/>
              <w:rPr>
                <w:rFonts w:ascii="宋体" w:hAnsi="宋体"/>
                <w:color w:val="auto"/>
                <w:szCs w:val="21"/>
              </w:rPr>
            </w:pPr>
          </w:p>
        </w:tc>
        <w:tc>
          <w:tcPr>
            <w:tcW w:w="920" w:type="dxa"/>
            <w:tcBorders>
              <w:top w:val="single" w:color="auto" w:sz="4" w:space="0"/>
              <w:left w:val="single" w:color="auto" w:sz="4" w:space="0"/>
              <w:bottom w:val="single" w:color="auto" w:sz="4" w:space="0"/>
              <w:right w:val="single" w:color="auto" w:sz="4" w:space="0"/>
            </w:tcBorders>
            <w:noWrap w:val="0"/>
            <w:vAlign w:val="top"/>
          </w:tcPr>
          <w:p w14:paraId="0868F174">
            <w:pPr>
              <w:spacing w:line="360" w:lineRule="exact"/>
              <w:rPr>
                <w:rFonts w:ascii="宋体" w:hAnsi="宋体"/>
                <w:color w:val="auto"/>
                <w:szCs w:val="21"/>
              </w:rPr>
            </w:pPr>
          </w:p>
        </w:tc>
      </w:tr>
    </w:tbl>
    <w:p w14:paraId="2F5A8B61">
      <w:pPr>
        <w:spacing w:line="360" w:lineRule="exact"/>
        <w:rPr>
          <w:color w:val="auto"/>
        </w:rPr>
      </w:pPr>
    </w:p>
    <w:p w14:paraId="4EA12A5C">
      <w:pPr>
        <w:spacing w:line="360" w:lineRule="exact"/>
        <w:jc w:val="left"/>
        <w:rPr>
          <w:rFonts w:ascii="宋体" w:hAnsi="宋体"/>
          <w:b/>
          <w:color w:val="auto"/>
          <w:kern w:val="1"/>
          <w:sz w:val="28"/>
          <w:szCs w:val="28"/>
        </w:rPr>
      </w:pPr>
    </w:p>
    <w:p w14:paraId="11512F29">
      <w:pPr>
        <w:spacing w:line="360" w:lineRule="exact"/>
        <w:jc w:val="left"/>
        <w:rPr>
          <w:rFonts w:ascii="宋体" w:hAnsi="宋体"/>
          <w:b/>
          <w:color w:val="auto"/>
          <w:kern w:val="1"/>
          <w:sz w:val="28"/>
          <w:szCs w:val="28"/>
        </w:rPr>
      </w:pPr>
    </w:p>
    <w:p w14:paraId="7F4575CC">
      <w:pPr>
        <w:spacing w:line="360" w:lineRule="exact"/>
        <w:jc w:val="left"/>
        <w:rPr>
          <w:rFonts w:ascii="宋体" w:hAnsi="宋体"/>
          <w:b/>
          <w:color w:val="auto"/>
          <w:kern w:val="1"/>
          <w:sz w:val="28"/>
          <w:szCs w:val="28"/>
        </w:rPr>
      </w:pPr>
    </w:p>
    <w:p w14:paraId="28907C32">
      <w:pPr>
        <w:spacing w:line="360" w:lineRule="exact"/>
        <w:jc w:val="left"/>
        <w:rPr>
          <w:rFonts w:ascii="宋体" w:hAnsi="宋体"/>
          <w:b/>
          <w:color w:val="auto"/>
          <w:kern w:val="1"/>
          <w:sz w:val="28"/>
          <w:szCs w:val="28"/>
        </w:rPr>
      </w:pPr>
    </w:p>
    <w:p w14:paraId="52823BDB">
      <w:pPr>
        <w:spacing w:line="360" w:lineRule="exact"/>
        <w:jc w:val="left"/>
        <w:rPr>
          <w:rFonts w:ascii="宋体" w:hAnsi="宋体"/>
          <w:b/>
          <w:color w:val="auto"/>
          <w:kern w:val="1"/>
          <w:sz w:val="28"/>
          <w:szCs w:val="28"/>
        </w:rPr>
      </w:pPr>
    </w:p>
    <w:p w14:paraId="6F51C5CD">
      <w:pPr>
        <w:spacing w:line="360" w:lineRule="exact"/>
        <w:jc w:val="left"/>
        <w:rPr>
          <w:rFonts w:ascii="宋体" w:hAnsi="宋体"/>
          <w:b/>
          <w:color w:val="auto"/>
          <w:kern w:val="1"/>
          <w:sz w:val="28"/>
          <w:szCs w:val="28"/>
        </w:rPr>
      </w:pPr>
    </w:p>
    <w:p w14:paraId="3B2273DF">
      <w:pPr>
        <w:spacing w:line="360" w:lineRule="exact"/>
        <w:jc w:val="left"/>
        <w:rPr>
          <w:rFonts w:ascii="宋体" w:hAnsi="宋体"/>
          <w:color w:val="auto"/>
          <w:kern w:val="1"/>
          <w:sz w:val="24"/>
        </w:rPr>
      </w:pPr>
      <w:r>
        <w:rPr>
          <w:rFonts w:ascii="宋体" w:hAnsi="宋体"/>
          <w:b/>
          <w:color w:val="auto"/>
          <w:kern w:val="1"/>
          <w:sz w:val="28"/>
          <w:szCs w:val="28"/>
        </w:rPr>
        <w:t>附件</w:t>
      </w:r>
      <w:r>
        <w:rPr>
          <w:rFonts w:hint="eastAsia" w:ascii="宋体" w:hAnsi="宋体"/>
          <w:b/>
          <w:color w:val="auto"/>
          <w:kern w:val="1"/>
          <w:sz w:val="28"/>
          <w:szCs w:val="28"/>
        </w:rPr>
        <w:t>：工程质量保修书</w:t>
      </w:r>
    </w:p>
    <w:p w14:paraId="756658F3">
      <w:pPr>
        <w:spacing w:before="156" w:beforeLines="50" w:after="156" w:afterLines="50" w:line="360" w:lineRule="exact"/>
        <w:jc w:val="center"/>
        <w:rPr>
          <w:rFonts w:ascii="黑体" w:eastAsia="黑体"/>
          <w:b/>
          <w:bCs/>
          <w:color w:val="auto"/>
          <w:sz w:val="32"/>
          <w:szCs w:val="32"/>
        </w:rPr>
      </w:pPr>
      <w:r>
        <w:rPr>
          <w:rFonts w:hint="eastAsia" w:ascii="黑体" w:hAnsi="宋体" w:eastAsia="黑体" w:cs="黑体"/>
          <w:b/>
          <w:bCs/>
          <w:color w:val="auto"/>
          <w:sz w:val="32"/>
          <w:szCs w:val="32"/>
        </w:rPr>
        <w:t>工程质量保修书（房屋建筑工程）</w:t>
      </w:r>
    </w:p>
    <w:p w14:paraId="1DF4F8AE">
      <w:pPr>
        <w:spacing w:line="360" w:lineRule="exact"/>
        <w:ind w:firstLine="420" w:firstLineChars="200"/>
        <w:rPr>
          <w:color w:val="auto"/>
        </w:rPr>
      </w:pPr>
      <w:r>
        <w:rPr>
          <w:rFonts w:hint="eastAsia" w:hAnsi="宋体" w:cs="宋体"/>
          <w:color w:val="auto"/>
        </w:rPr>
        <w:t>发包人（全称）：</w:t>
      </w:r>
      <w:r>
        <w:rPr>
          <w:color w:val="auto"/>
          <w:u w:val="single"/>
        </w:rPr>
        <w:t xml:space="preserve">                                </w:t>
      </w:r>
      <w:r>
        <w:rPr>
          <w:color w:val="auto"/>
        </w:rPr>
        <w:t xml:space="preserve"> </w:t>
      </w:r>
    </w:p>
    <w:p w14:paraId="7345EC5B">
      <w:pPr>
        <w:spacing w:line="360" w:lineRule="exact"/>
        <w:ind w:firstLine="420" w:firstLineChars="200"/>
        <w:rPr>
          <w:color w:val="auto"/>
        </w:rPr>
      </w:pPr>
      <w:r>
        <w:rPr>
          <w:rFonts w:hint="eastAsia" w:hAnsi="宋体" w:cs="宋体"/>
          <w:color w:val="auto"/>
        </w:rPr>
        <w:t>承包人（全称）：</w:t>
      </w:r>
      <w:r>
        <w:rPr>
          <w:color w:val="auto"/>
          <w:u w:val="single"/>
        </w:rPr>
        <w:t xml:space="preserve">                                </w:t>
      </w:r>
      <w:r>
        <w:rPr>
          <w:color w:val="auto"/>
        </w:rPr>
        <w:t xml:space="preserve"> </w:t>
      </w:r>
    </w:p>
    <w:p w14:paraId="205CF712">
      <w:pPr>
        <w:spacing w:line="360" w:lineRule="exact"/>
        <w:rPr>
          <w:color w:val="auto"/>
        </w:rPr>
      </w:pPr>
    </w:p>
    <w:p w14:paraId="02C1CAC4">
      <w:pPr>
        <w:spacing w:line="360" w:lineRule="exact"/>
        <w:ind w:firstLine="420" w:firstLineChars="200"/>
        <w:rPr>
          <w:rFonts w:hAnsi="宋体"/>
          <w:color w:val="auto"/>
        </w:rPr>
      </w:pPr>
      <w:r>
        <w:rPr>
          <w:rFonts w:hint="eastAsia" w:hAnsi="宋体" w:cs="宋体"/>
          <w:color w:val="auto"/>
        </w:rPr>
        <w:t>发包人和承包人根据《中华人民共和国建筑法》和《建设工程质量管理条例》，经协商一致就</w:t>
      </w:r>
      <w:r>
        <w:rPr>
          <w:color w:val="auto"/>
          <w:u w:val="single"/>
        </w:rPr>
        <w:t xml:space="preserve"> </w:t>
      </w:r>
      <w:r>
        <w:rPr>
          <w:rFonts w:hint="eastAsia"/>
          <w:color w:val="auto"/>
          <w:u w:val="single"/>
        </w:rPr>
        <w:t> </w:t>
      </w:r>
      <w:r>
        <w:rPr>
          <w:rFonts w:hint="eastAsia"/>
          <w:color w:val="auto"/>
          <w:u w:val="single"/>
          <w:lang w:eastAsia="zh-CN"/>
        </w:rPr>
        <w:t>岑溪市梨木中学学生食堂扩建工程</w:t>
      </w:r>
      <w:r>
        <w:rPr>
          <w:rFonts w:hint="eastAsia" w:hAnsi="宋体" w:cs="宋体"/>
          <w:color w:val="auto"/>
          <w:u w:val="single"/>
        </w:rPr>
        <w:t>（</w:t>
      </w:r>
      <w:r>
        <w:rPr>
          <w:rFonts w:hint="eastAsia" w:hAnsi="宋体" w:cs="宋体"/>
          <w:color w:val="auto"/>
        </w:rPr>
        <w:t>工程全称）签订工程质量保修书。</w:t>
      </w:r>
    </w:p>
    <w:p w14:paraId="019C9367">
      <w:pPr>
        <w:spacing w:line="360" w:lineRule="exact"/>
        <w:ind w:firstLine="420" w:firstLineChars="200"/>
        <w:rPr>
          <w:rFonts w:ascii="黑体" w:hAnsi="宋体" w:eastAsia="黑体"/>
          <w:color w:val="auto"/>
        </w:rPr>
      </w:pPr>
      <w:r>
        <w:rPr>
          <w:rFonts w:hint="eastAsia" w:ascii="黑体" w:hAnsi="宋体" w:eastAsia="黑体" w:cs="黑体"/>
          <w:color w:val="auto"/>
        </w:rPr>
        <w:t>一、工程质量保修范围和内容</w:t>
      </w:r>
    </w:p>
    <w:p w14:paraId="50FEEDED">
      <w:pPr>
        <w:spacing w:line="360" w:lineRule="exact"/>
        <w:ind w:firstLine="420" w:firstLineChars="200"/>
        <w:rPr>
          <w:color w:val="auto"/>
        </w:rPr>
      </w:pPr>
      <w:r>
        <w:rPr>
          <w:rFonts w:hint="eastAsia" w:hAnsi="宋体" w:cs="宋体"/>
          <w:color w:val="auto"/>
        </w:rPr>
        <w:t>承包人在质量保修期内，按照有关法律规定和合同约定，承担工程质量保修责任。</w:t>
      </w:r>
    </w:p>
    <w:p w14:paraId="63E6C6EE">
      <w:pPr>
        <w:spacing w:line="360" w:lineRule="exact"/>
        <w:ind w:firstLine="420"/>
        <w:rPr>
          <w:rFonts w:hAnsi="宋体"/>
          <w:color w:val="auto"/>
        </w:rPr>
      </w:pPr>
      <w:r>
        <w:rPr>
          <w:rFonts w:hint="eastAsia" w:hAnsi="宋体" w:cs="宋体"/>
          <w:color w:val="auto"/>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color w:val="auto"/>
          <w:u w:val="single"/>
        </w:rPr>
        <w:t xml:space="preserve">  </w:t>
      </w:r>
      <w:r>
        <w:rPr>
          <w:rFonts w:hint="eastAsia"/>
          <w:color w:val="auto"/>
          <w:u w:val="single"/>
        </w:rPr>
        <w:t>/</w:t>
      </w:r>
      <w:r>
        <w:rPr>
          <w:color w:val="auto"/>
          <w:u w:val="single"/>
        </w:rPr>
        <w:t xml:space="preserve">  </w:t>
      </w:r>
      <w:r>
        <w:rPr>
          <w:rFonts w:hint="eastAsia" w:hAnsi="宋体" w:cs="宋体"/>
          <w:color w:val="auto"/>
        </w:rPr>
        <w:t>。</w:t>
      </w:r>
    </w:p>
    <w:p w14:paraId="1442B872">
      <w:pPr>
        <w:spacing w:line="360" w:lineRule="exact"/>
        <w:ind w:firstLine="420"/>
        <w:rPr>
          <w:rFonts w:ascii="黑体" w:hAnsi="宋体" w:eastAsia="黑体"/>
          <w:color w:val="auto"/>
        </w:rPr>
      </w:pPr>
      <w:r>
        <w:rPr>
          <w:rFonts w:hint="eastAsia" w:ascii="黑体" w:hAnsi="宋体" w:eastAsia="黑体" w:cs="黑体"/>
          <w:color w:val="auto"/>
        </w:rPr>
        <w:t>二、质量保修期</w:t>
      </w:r>
    </w:p>
    <w:p w14:paraId="159284FF">
      <w:pPr>
        <w:spacing w:line="360" w:lineRule="exact"/>
        <w:ind w:firstLine="420"/>
        <w:rPr>
          <w:rFonts w:hAnsi="宋体"/>
          <w:color w:val="auto"/>
        </w:rPr>
      </w:pPr>
      <w:r>
        <w:rPr>
          <w:rFonts w:hint="eastAsia" w:hAnsi="宋体" w:cs="宋体"/>
          <w:color w:val="auto"/>
        </w:rPr>
        <w:t>根据《建设工程质量管理条例》及有关规定，工程的质量保修期如下：</w:t>
      </w:r>
    </w:p>
    <w:p w14:paraId="381CFEA0">
      <w:pPr>
        <w:spacing w:line="360" w:lineRule="exact"/>
        <w:ind w:firstLine="420"/>
        <w:rPr>
          <w:rFonts w:hAnsi="宋体"/>
          <w:color w:val="auto"/>
        </w:rPr>
      </w:pPr>
      <w:r>
        <w:rPr>
          <w:color w:val="auto"/>
        </w:rPr>
        <w:t>1</w:t>
      </w:r>
      <w:r>
        <w:rPr>
          <w:rFonts w:hint="eastAsia" w:hAnsi="宋体" w:cs="宋体"/>
          <w:color w:val="auto"/>
        </w:rPr>
        <w:t>．地基基础工程和主体结构工程为设计文件规定的工程合理使用年限；</w:t>
      </w:r>
    </w:p>
    <w:p w14:paraId="08CDF8B3">
      <w:pPr>
        <w:spacing w:line="360" w:lineRule="exact"/>
        <w:ind w:firstLine="420"/>
        <w:rPr>
          <w:rFonts w:hAnsi="宋体"/>
          <w:color w:val="auto"/>
        </w:rPr>
      </w:pPr>
      <w:r>
        <w:rPr>
          <w:color w:val="auto"/>
        </w:rPr>
        <w:t>2</w:t>
      </w:r>
      <w:r>
        <w:rPr>
          <w:rFonts w:hint="eastAsia" w:hAnsi="宋体" w:cs="宋体"/>
          <w:color w:val="auto"/>
        </w:rPr>
        <w:t>．屋面防水工程、有防水要求的卫生间、房间和外墙面的防渗为</w:t>
      </w:r>
      <w:r>
        <w:rPr>
          <w:color w:val="auto"/>
          <w:u w:val="single"/>
        </w:rPr>
        <w:t xml:space="preserve">  </w:t>
      </w:r>
      <w:r>
        <w:rPr>
          <w:rFonts w:hint="eastAsia"/>
          <w:color w:val="auto"/>
          <w:u w:val="single"/>
        </w:rPr>
        <w:t xml:space="preserve">伍 </w:t>
      </w:r>
      <w:r>
        <w:rPr>
          <w:color w:val="auto"/>
          <w:u w:val="single"/>
        </w:rPr>
        <w:t xml:space="preserve"> </w:t>
      </w:r>
      <w:r>
        <w:rPr>
          <w:rFonts w:hint="eastAsia" w:hAnsi="宋体" w:cs="宋体"/>
          <w:color w:val="auto"/>
        </w:rPr>
        <w:t>年；</w:t>
      </w:r>
    </w:p>
    <w:p w14:paraId="4FD56F5F">
      <w:pPr>
        <w:spacing w:line="360" w:lineRule="exact"/>
        <w:ind w:firstLine="420"/>
        <w:rPr>
          <w:rFonts w:hAnsi="宋体"/>
          <w:color w:val="auto"/>
        </w:rPr>
      </w:pPr>
      <w:r>
        <w:rPr>
          <w:color w:val="auto"/>
        </w:rPr>
        <w:t>3</w:t>
      </w:r>
      <w:r>
        <w:rPr>
          <w:rFonts w:hint="eastAsia" w:hAnsi="宋体" w:cs="宋体"/>
          <w:color w:val="auto"/>
        </w:rPr>
        <w:t>．装修工程为</w:t>
      </w:r>
      <w:r>
        <w:rPr>
          <w:color w:val="auto"/>
          <w:u w:val="single"/>
        </w:rPr>
        <w:t xml:space="preserve">   </w:t>
      </w:r>
      <w:r>
        <w:rPr>
          <w:rFonts w:hint="eastAsia"/>
          <w:color w:val="auto"/>
          <w:u w:val="single"/>
        </w:rPr>
        <w:t>贰</w:t>
      </w:r>
      <w:r>
        <w:rPr>
          <w:color w:val="auto"/>
          <w:u w:val="single"/>
        </w:rPr>
        <w:t xml:space="preserve">   </w:t>
      </w:r>
      <w:r>
        <w:rPr>
          <w:rFonts w:hint="eastAsia" w:hAnsi="宋体" w:cs="宋体"/>
          <w:color w:val="auto"/>
        </w:rPr>
        <w:t>年；</w:t>
      </w:r>
    </w:p>
    <w:p w14:paraId="443A7327">
      <w:pPr>
        <w:spacing w:line="360" w:lineRule="exact"/>
        <w:ind w:firstLine="420"/>
        <w:rPr>
          <w:rFonts w:hAnsi="宋体"/>
          <w:color w:val="auto"/>
        </w:rPr>
      </w:pPr>
      <w:r>
        <w:rPr>
          <w:color w:val="auto"/>
        </w:rPr>
        <w:t>4</w:t>
      </w:r>
      <w:r>
        <w:rPr>
          <w:rFonts w:hint="eastAsia" w:hAnsi="宋体" w:cs="宋体"/>
          <w:color w:val="auto"/>
        </w:rPr>
        <w:t>．电气管线、给排水管道、设备安装工程为</w:t>
      </w:r>
      <w:r>
        <w:rPr>
          <w:color w:val="auto"/>
          <w:u w:val="single"/>
        </w:rPr>
        <w:t xml:space="preserve">   </w:t>
      </w:r>
      <w:r>
        <w:rPr>
          <w:rFonts w:hint="eastAsia"/>
          <w:color w:val="auto"/>
          <w:u w:val="single"/>
        </w:rPr>
        <w:t>贰</w:t>
      </w:r>
      <w:r>
        <w:rPr>
          <w:color w:val="auto"/>
          <w:u w:val="single"/>
        </w:rPr>
        <w:t xml:space="preserve">   </w:t>
      </w:r>
      <w:r>
        <w:rPr>
          <w:rFonts w:hint="eastAsia" w:hAnsi="宋体" w:cs="宋体"/>
          <w:color w:val="auto"/>
        </w:rPr>
        <w:t>年；</w:t>
      </w:r>
    </w:p>
    <w:p w14:paraId="69F554AB">
      <w:pPr>
        <w:spacing w:line="360" w:lineRule="exact"/>
        <w:ind w:firstLine="420"/>
        <w:rPr>
          <w:rFonts w:hAnsi="宋体"/>
          <w:color w:val="auto"/>
        </w:rPr>
      </w:pPr>
      <w:r>
        <w:rPr>
          <w:color w:val="auto"/>
        </w:rPr>
        <w:t>5</w:t>
      </w:r>
      <w:r>
        <w:rPr>
          <w:rFonts w:hint="eastAsia" w:hAnsi="宋体" w:cs="宋体"/>
          <w:color w:val="auto"/>
        </w:rPr>
        <w:t>．供热与供冷系统为</w:t>
      </w:r>
      <w:r>
        <w:rPr>
          <w:color w:val="auto"/>
          <w:u w:val="single"/>
        </w:rPr>
        <w:t xml:space="preserve">   </w:t>
      </w:r>
      <w:r>
        <w:rPr>
          <w:rFonts w:hint="eastAsia"/>
          <w:color w:val="auto"/>
          <w:u w:val="single"/>
        </w:rPr>
        <w:t>贰</w:t>
      </w:r>
      <w:r>
        <w:rPr>
          <w:color w:val="auto"/>
          <w:u w:val="single"/>
        </w:rPr>
        <w:t xml:space="preserve">   </w:t>
      </w:r>
      <w:r>
        <w:rPr>
          <w:rFonts w:hint="eastAsia" w:hAnsi="宋体" w:cs="宋体"/>
          <w:color w:val="auto"/>
        </w:rPr>
        <w:t>个采暖期、供冷期；</w:t>
      </w:r>
    </w:p>
    <w:p w14:paraId="3CA885E9">
      <w:pPr>
        <w:spacing w:line="360" w:lineRule="exact"/>
        <w:ind w:firstLine="420"/>
        <w:rPr>
          <w:rFonts w:hAnsi="宋体"/>
          <w:color w:val="auto"/>
        </w:rPr>
      </w:pPr>
      <w:r>
        <w:rPr>
          <w:color w:val="auto"/>
        </w:rPr>
        <w:t>6</w:t>
      </w:r>
      <w:r>
        <w:rPr>
          <w:rFonts w:hint="eastAsia" w:hAnsi="宋体" w:cs="宋体"/>
          <w:color w:val="auto"/>
        </w:rPr>
        <w:t>．住宅小区内的给排水设施、道路等配套工程为</w:t>
      </w:r>
      <w:r>
        <w:rPr>
          <w:color w:val="auto"/>
          <w:u w:val="single"/>
        </w:rPr>
        <w:t xml:space="preserve">  </w:t>
      </w:r>
      <w:r>
        <w:rPr>
          <w:rFonts w:hint="eastAsia"/>
          <w:color w:val="auto"/>
          <w:u w:val="single"/>
        </w:rPr>
        <w:t>贰</w:t>
      </w:r>
      <w:r>
        <w:rPr>
          <w:color w:val="auto"/>
          <w:u w:val="single"/>
        </w:rPr>
        <w:t xml:space="preserve">  </w:t>
      </w:r>
      <w:r>
        <w:rPr>
          <w:rFonts w:hint="eastAsia" w:hAnsi="宋体" w:cs="宋体"/>
          <w:color w:val="auto"/>
        </w:rPr>
        <w:t>年；</w:t>
      </w:r>
    </w:p>
    <w:p w14:paraId="25DD83C9">
      <w:pPr>
        <w:spacing w:line="360" w:lineRule="exact"/>
        <w:ind w:firstLine="420"/>
        <w:rPr>
          <w:rFonts w:hAnsi="宋体"/>
          <w:color w:val="auto"/>
        </w:rPr>
      </w:pPr>
      <w:r>
        <w:rPr>
          <w:color w:val="auto"/>
        </w:rPr>
        <w:t>7</w:t>
      </w:r>
      <w:r>
        <w:rPr>
          <w:rFonts w:hint="eastAsia" w:hAnsi="宋体" w:cs="宋体"/>
          <w:color w:val="auto"/>
        </w:rPr>
        <w:t>．其他项目保修期限约定如下：</w:t>
      </w:r>
    </w:p>
    <w:p w14:paraId="43E86A2E">
      <w:pPr>
        <w:spacing w:line="360" w:lineRule="exact"/>
        <w:ind w:firstLine="420"/>
        <w:rPr>
          <w:rFonts w:hAnsi="宋体"/>
          <w:color w:val="auto"/>
        </w:rPr>
      </w:pPr>
      <w:r>
        <w:rPr>
          <w:color w:val="auto"/>
          <w:u w:val="single"/>
        </w:rPr>
        <w:t xml:space="preserve">  </w:t>
      </w:r>
      <w:r>
        <w:rPr>
          <w:rFonts w:hint="eastAsia"/>
          <w:color w:val="auto"/>
          <w:u w:val="single"/>
        </w:rPr>
        <w:t>不少于贰年</w:t>
      </w:r>
      <w:r>
        <w:rPr>
          <w:color w:val="auto"/>
          <w:u w:val="single"/>
        </w:rPr>
        <w:t xml:space="preserve"> </w:t>
      </w:r>
      <w:r>
        <w:rPr>
          <w:rFonts w:hint="eastAsia"/>
          <w:color w:val="auto"/>
        </w:rPr>
        <w:t>，</w:t>
      </w:r>
      <w:r>
        <w:rPr>
          <w:rFonts w:hint="eastAsia" w:hAnsi="宋体" w:cs="宋体"/>
          <w:color w:val="auto"/>
        </w:rPr>
        <w:t>质量保修期自工程竣工验收合格之日起计算。</w:t>
      </w:r>
    </w:p>
    <w:p w14:paraId="32343667">
      <w:pPr>
        <w:spacing w:line="360" w:lineRule="exact"/>
        <w:ind w:firstLine="420"/>
        <w:rPr>
          <w:rFonts w:ascii="黑体" w:hAnsi="宋体" w:eastAsia="黑体"/>
          <w:color w:val="auto"/>
        </w:rPr>
      </w:pPr>
      <w:r>
        <w:rPr>
          <w:rFonts w:hint="eastAsia" w:ascii="黑体" w:hAnsi="宋体" w:eastAsia="黑体" w:cs="黑体"/>
          <w:color w:val="auto"/>
        </w:rPr>
        <w:t>三、缺陷责任期</w:t>
      </w:r>
    </w:p>
    <w:p w14:paraId="1D27D349">
      <w:pPr>
        <w:spacing w:line="360" w:lineRule="exact"/>
        <w:ind w:firstLine="420"/>
        <w:rPr>
          <w:rFonts w:hAnsi="宋体"/>
          <w:color w:val="auto"/>
        </w:rPr>
      </w:pPr>
      <w:r>
        <w:rPr>
          <w:rFonts w:hint="eastAsia" w:hAnsi="宋体" w:cs="宋体"/>
          <w:color w:val="auto"/>
        </w:rPr>
        <w:t>工程缺陷责任期为</w:t>
      </w:r>
      <w:r>
        <w:rPr>
          <w:rFonts w:hint="eastAsia"/>
          <w:color w:val="auto"/>
          <w:u w:val="single"/>
        </w:rPr>
        <w:t>12</w:t>
      </w:r>
      <w:r>
        <w:rPr>
          <w:rFonts w:hint="eastAsia" w:hAnsi="宋体" w:cs="宋体"/>
          <w:color w:val="auto"/>
        </w:rPr>
        <w:t>个月（最长不超过</w:t>
      </w:r>
      <w:r>
        <w:rPr>
          <w:rFonts w:hAnsi="宋体"/>
          <w:color w:val="auto"/>
        </w:rPr>
        <w:t>24</w:t>
      </w:r>
      <w:r>
        <w:rPr>
          <w:rFonts w:hint="eastAsia" w:hAnsi="宋体" w:cs="宋体"/>
          <w:color w:val="auto"/>
        </w:rPr>
        <w:t>个月），缺陷责任期自工程竣工验收合格之日起计算。单位工程先于全部工程进行验收，单位工程缺陷责任期自单位工程验收合格之日起算。</w:t>
      </w:r>
    </w:p>
    <w:p w14:paraId="76B246B5">
      <w:pPr>
        <w:spacing w:line="360" w:lineRule="exact"/>
        <w:ind w:firstLine="420"/>
        <w:rPr>
          <w:rFonts w:hAnsi="宋体"/>
          <w:color w:val="auto"/>
        </w:rPr>
      </w:pPr>
      <w:r>
        <w:rPr>
          <w:rFonts w:hint="eastAsia" w:hAnsi="宋体" w:cs="宋体"/>
          <w:color w:val="auto"/>
        </w:rPr>
        <w:t>缺陷责任期</w:t>
      </w:r>
      <w:r>
        <w:rPr>
          <w:rFonts w:hint="eastAsia" w:hAnsi="宋体" w:cs="宋体"/>
          <w:color w:val="auto"/>
          <w:u w:val="single"/>
        </w:rPr>
        <w:t>满</w:t>
      </w:r>
      <w:r>
        <w:rPr>
          <w:rFonts w:hint="eastAsia" w:ascii="仿宋_GB2312" w:hAnsi="宋体"/>
          <w:color w:val="auto"/>
        </w:rPr>
        <w:t>之日起</w:t>
      </w:r>
      <w:r>
        <w:rPr>
          <w:rFonts w:hint="eastAsia" w:ascii="仿宋_GB2312" w:hAnsi="宋体"/>
          <w:color w:val="auto"/>
          <w:u w:val="single"/>
        </w:rPr>
        <w:t xml:space="preserve"> 15</w:t>
      </w:r>
      <w:r>
        <w:rPr>
          <w:rFonts w:hint="eastAsia" w:ascii="仿宋_GB2312" w:hAnsi="宋体"/>
          <w:color w:val="auto"/>
        </w:rPr>
        <w:t>天</w:t>
      </w:r>
      <w:r>
        <w:rPr>
          <w:rFonts w:hint="eastAsia" w:hAnsi="宋体" w:cs="宋体"/>
          <w:color w:val="auto"/>
          <w:u w:val="single"/>
        </w:rPr>
        <w:t>（按</w:t>
      </w:r>
      <w:r>
        <w:rPr>
          <w:rFonts w:hAnsi="宋体" w:cs="宋体"/>
          <w:color w:val="auto"/>
          <w:u w:val="single"/>
        </w:rPr>
        <w:t>合同约定期限）</w:t>
      </w:r>
      <w:r>
        <w:rPr>
          <w:rFonts w:hint="eastAsia" w:hAnsi="宋体" w:cs="宋体"/>
          <w:color w:val="auto"/>
          <w:u w:val="single"/>
        </w:rPr>
        <w:t>，</w:t>
      </w:r>
      <w:r>
        <w:rPr>
          <w:rFonts w:hint="eastAsia" w:hAnsi="宋体" w:cs="宋体"/>
          <w:color w:val="auto"/>
        </w:rPr>
        <w:t>发包人应退还剩余的质量保证金。</w:t>
      </w:r>
    </w:p>
    <w:p w14:paraId="4041366C">
      <w:pPr>
        <w:spacing w:line="360" w:lineRule="exact"/>
        <w:ind w:firstLine="420"/>
        <w:rPr>
          <w:rFonts w:ascii="黑体" w:hAnsi="宋体" w:eastAsia="黑体"/>
          <w:color w:val="auto"/>
        </w:rPr>
      </w:pPr>
      <w:r>
        <w:rPr>
          <w:rFonts w:hint="eastAsia" w:ascii="黑体" w:hAnsi="宋体" w:eastAsia="黑体" w:cs="黑体"/>
          <w:color w:val="auto"/>
        </w:rPr>
        <w:t>四、质量保修责任</w:t>
      </w:r>
    </w:p>
    <w:p w14:paraId="21064566">
      <w:pPr>
        <w:spacing w:line="360" w:lineRule="exact"/>
        <w:ind w:left="105" w:leftChars="50" w:firstLine="430" w:firstLineChars="205"/>
        <w:rPr>
          <w:rFonts w:hAnsi="宋体"/>
          <w:color w:val="auto"/>
        </w:rPr>
      </w:pPr>
      <w:r>
        <w:rPr>
          <w:color w:val="auto"/>
        </w:rPr>
        <w:t>1</w:t>
      </w:r>
      <w:r>
        <w:rPr>
          <w:rFonts w:hint="eastAsia" w:hAnsi="宋体" w:cs="宋体"/>
          <w:color w:val="auto"/>
        </w:rPr>
        <w:t>．属于保修范围、内容的项目，承包人应当在接到保修通知之日起</w:t>
      </w:r>
      <w:r>
        <w:rPr>
          <w:color w:val="auto"/>
          <w:u w:val="single"/>
        </w:rPr>
        <w:t xml:space="preserve"> </w:t>
      </w:r>
      <w:r>
        <w:rPr>
          <w:rFonts w:hint="eastAsia"/>
          <w:color w:val="auto"/>
          <w:u w:val="single"/>
        </w:rPr>
        <w:t>3</w:t>
      </w:r>
      <w:r>
        <w:rPr>
          <w:color w:val="auto"/>
          <w:u w:val="single"/>
        </w:rPr>
        <w:t xml:space="preserve"> </w:t>
      </w:r>
      <w:r>
        <w:rPr>
          <w:rFonts w:hint="eastAsia" w:hAnsi="宋体" w:cs="宋体"/>
          <w:color w:val="auto"/>
        </w:rPr>
        <w:t>天内派人保修。承包人不在约定期限内派人保修的，发包人可以委托他人修理，修理费用从质量保证金内扣除。</w:t>
      </w:r>
    </w:p>
    <w:p w14:paraId="365D1A32">
      <w:pPr>
        <w:spacing w:line="360" w:lineRule="exact"/>
        <w:ind w:firstLine="420"/>
        <w:rPr>
          <w:rFonts w:hAnsi="宋体"/>
          <w:color w:val="auto"/>
        </w:rPr>
      </w:pPr>
      <w:r>
        <w:rPr>
          <w:color w:val="auto"/>
        </w:rPr>
        <w:t>2</w:t>
      </w:r>
      <w:r>
        <w:rPr>
          <w:rFonts w:hint="eastAsia" w:hAnsi="宋体" w:cs="宋体"/>
          <w:color w:val="auto"/>
        </w:rPr>
        <w:t>．发生紧急事故需抢修的，承包人在接到事故通知后，应当立即到达事故现场抢修。</w:t>
      </w:r>
    </w:p>
    <w:p w14:paraId="45607449">
      <w:pPr>
        <w:spacing w:line="360" w:lineRule="exact"/>
        <w:ind w:firstLine="420"/>
        <w:rPr>
          <w:rFonts w:hAnsi="宋体"/>
          <w:color w:val="auto"/>
        </w:rPr>
      </w:pPr>
      <w:r>
        <w:rPr>
          <w:color w:val="auto"/>
        </w:rPr>
        <w:t>3</w:t>
      </w:r>
      <w:r>
        <w:rPr>
          <w:rFonts w:hint="eastAsia" w:hAnsi="宋体" w:cs="宋体"/>
          <w:color w:val="auto"/>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6315B4">
      <w:pPr>
        <w:spacing w:line="360" w:lineRule="exact"/>
        <w:ind w:firstLine="420"/>
        <w:rPr>
          <w:rFonts w:hAnsi="宋体"/>
          <w:color w:val="auto"/>
        </w:rPr>
      </w:pPr>
      <w:r>
        <w:rPr>
          <w:color w:val="auto"/>
        </w:rPr>
        <w:t>4</w:t>
      </w:r>
      <w:r>
        <w:rPr>
          <w:rFonts w:hint="eastAsia" w:hAnsi="宋体" w:cs="宋体"/>
          <w:color w:val="auto"/>
        </w:rPr>
        <w:t>．质量保修完成后，由发包人组织验收。</w:t>
      </w:r>
    </w:p>
    <w:p w14:paraId="1D4092BF">
      <w:pPr>
        <w:spacing w:line="360" w:lineRule="exact"/>
        <w:ind w:firstLine="420"/>
        <w:rPr>
          <w:rFonts w:ascii="黑体" w:hAnsi="宋体" w:eastAsia="黑体"/>
          <w:color w:val="auto"/>
        </w:rPr>
      </w:pPr>
      <w:r>
        <w:rPr>
          <w:rFonts w:hint="eastAsia" w:ascii="黑体" w:hAnsi="宋体" w:eastAsia="黑体" w:cs="黑体"/>
          <w:color w:val="auto"/>
        </w:rPr>
        <w:t>五、保修费用</w:t>
      </w:r>
    </w:p>
    <w:p w14:paraId="1BB7AA43">
      <w:pPr>
        <w:tabs>
          <w:tab w:val="left" w:pos="7380"/>
        </w:tabs>
        <w:spacing w:line="360" w:lineRule="exact"/>
        <w:ind w:firstLine="420"/>
        <w:rPr>
          <w:rFonts w:hAnsi="宋体"/>
          <w:color w:val="auto"/>
        </w:rPr>
      </w:pPr>
      <w:r>
        <w:rPr>
          <w:rFonts w:hint="eastAsia" w:hAnsi="宋体" w:cs="宋体"/>
          <w:color w:val="auto"/>
        </w:rPr>
        <w:t>保修费用由造成质量缺陷的责任方承担。</w:t>
      </w:r>
    </w:p>
    <w:p w14:paraId="276AEB73">
      <w:pPr>
        <w:spacing w:line="360" w:lineRule="exact"/>
        <w:ind w:firstLine="420"/>
        <w:rPr>
          <w:rFonts w:ascii="黑体" w:hAnsi="宋体" w:eastAsia="黑体" w:cs="黑体"/>
          <w:color w:val="auto"/>
        </w:rPr>
      </w:pPr>
      <w:r>
        <w:rPr>
          <w:rFonts w:hint="eastAsia" w:ascii="黑体" w:hAnsi="宋体" w:eastAsia="黑体" w:cs="黑体"/>
          <w:color w:val="auto"/>
        </w:rPr>
        <w:t>六、双方约定的其他工程质量保修事项：</w:t>
      </w:r>
      <w:r>
        <w:rPr>
          <w:rFonts w:ascii="黑体" w:hAnsi="宋体" w:eastAsia="黑体" w:cs="黑体"/>
          <w:color w:val="auto"/>
        </w:rPr>
        <w:t xml:space="preserve"> </w:t>
      </w:r>
    </w:p>
    <w:p w14:paraId="2650A1CB">
      <w:pPr>
        <w:spacing w:line="360" w:lineRule="exact"/>
        <w:ind w:firstLine="420" w:firstLineChars="200"/>
        <w:jc w:val="left"/>
        <w:rPr>
          <w:color w:val="auto"/>
        </w:rPr>
      </w:pPr>
      <w:r>
        <w:rPr>
          <w:color w:val="auto"/>
          <w:u w:val="single"/>
        </w:rPr>
        <w:t xml:space="preserve">                                                                                                                                                             </w:t>
      </w:r>
      <w:r>
        <w:rPr>
          <w:rFonts w:hint="eastAsia" w:hAnsi="宋体" w:cs="宋体"/>
          <w:color w:val="auto"/>
        </w:rPr>
        <w:t>。</w:t>
      </w:r>
    </w:p>
    <w:p w14:paraId="1B6C5169">
      <w:pPr>
        <w:spacing w:line="360" w:lineRule="exact"/>
        <w:ind w:firstLine="399" w:firstLineChars="190"/>
        <w:rPr>
          <w:color w:val="auto"/>
        </w:rPr>
      </w:pPr>
      <w:r>
        <w:rPr>
          <w:rFonts w:hint="eastAsia" w:hAnsi="宋体" w:cs="宋体"/>
          <w:color w:val="auto"/>
        </w:rPr>
        <w:t>工程质量保修书由发包人、承包人在工程竣工验收前共同签署，作为施工合同附件，其有效期限至保修期满。</w:t>
      </w:r>
    </w:p>
    <w:p w14:paraId="3F9A9D2E">
      <w:pPr>
        <w:spacing w:line="360" w:lineRule="exact"/>
        <w:ind w:firstLine="399" w:firstLineChars="190"/>
        <w:rPr>
          <w:rFonts w:ascii="宋体"/>
          <w:color w:val="auto"/>
        </w:rPr>
      </w:pPr>
      <w:r>
        <w:rPr>
          <w:rFonts w:hint="eastAsia" w:ascii="宋体" w:hAnsi="宋体" w:cs="宋体"/>
          <w:color w:val="auto"/>
        </w:rPr>
        <w:t>工程质量保修书由发包人、承包人在工程竣工验收前共同签署，作为施工合同附件，其有效期限至保修期满。</w:t>
      </w:r>
    </w:p>
    <w:p w14:paraId="5DBA62EE">
      <w:pPr>
        <w:spacing w:line="360" w:lineRule="exact"/>
        <w:rPr>
          <w:rFonts w:ascii="宋体" w:hAnsi="宋体"/>
          <w:color w:val="auto"/>
          <w:szCs w:val="21"/>
        </w:rPr>
      </w:pPr>
    </w:p>
    <w:p w14:paraId="3EB5638D">
      <w:pPr>
        <w:spacing w:line="360" w:lineRule="exact"/>
        <w:ind w:right="-420" w:rightChars="-200"/>
        <w:rPr>
          <w:rFonts w:ascii="宋体" w:hAnsi="宋体"/>
          <w:color w:val="auto"/>
          <w:kern w:val="1"/>
          <w:szCs w:val="21"/>
        </w:rPr>
      </w:pPr>
      <w:r>
        <w:rPr>
          <w:rFonts w:ascii="宋体" w:hAnsi="宋体" w:cs="宋体"/>
          <w:color w:val="auto"/>
          <w:kern w:val="1"/>
          <w:szCs w:val="21"/>
        </w:rPr>
        <w:t>发包人：</w:t>
      </w:r>
      <w:r>
        <w:rPr>
          <w:rFonts w:hint="eastAsia" w:ascii="宋体" w:hAnsi="宋体" w:cs="宋体"/>
          <w:color w:val="auto"/>
          <w:kern w:val="1"/>
          <w:szCs w:val="21"/>
          <w:u w:val="single"/>
          <w:lang w:eastAsia="zh-CN"/>
        </w:rPr>
        <w:t>岑溪市梨木中学</w:t>
      </w:r>
      <w:r>
        <w:rPr>
          <w:rFonts w:hint="eastAsia"/>
          <w:color w:val="auto"/>
          <w:spacing w:val="6"/>
          <w:szCs w:val="21"/>
          <w:u w:val="single"/>
        </w:rPr>
        <w:t xml:space="preserve">  </w:t>
      </w:r>
      <w:r>
        <w:rPr>
          <w:rFonts w:hint="eastAsia"/>
          <w:color w:val="auto"/>
          <w:spacing w:val="6"/>
          <w:szCs w:val="21"/>
        </w:rPr>
        <w:t xml:space="preserve">             </w:t>
      </w:r>
      <w:r>
        <w:rPr>
          <w:rFonts w:ascii="宋体" w:hAnsi="宋体" w:cs="宋体"/>
          <w:color w:val="auto"/>
          <w:kern w:val="1"/>
          <w:szCs w:val="21"/>
        </w:rPr>
        <w:t>承包人：</w:t>
      </w:r>
      <w:r>
        <w:rPr>
          <w:rFonts w:hint="eastAsia"/>
          <w:color w:val="auto"/>
          <w:spacing w:val="6"/>
          <w:szCs w:val="21"/>
          <w:u w:val="single"/>
        </w:rPr>
        <w:t xml:space="preserve">        </w:t>
      </w:r>
      <w:r>
        <w:rPr>
          <w:rFonts w:hint="eastAsia"/>
          <w:color w:val="auto"/>
          <w:spacing w:val="6"/>
          <w:szCs w:val="21"/>
          <w:u w:val="single"/>
          <w:lang w:val="en-US" w:eastAsia="zh-CN"/>
        </w:rPr>
        <w:t xml:space="preserve">      </w:t>
      </w:r>
      <w:r>
        <w:rPr>
          <w:rFonts w:hint="eastAsia"/>
          <w:color w:val="auto"/>
          <w:spacing w:val="6"/>
          <w:szCs w:val="21"/>
          <w:u w:val="single"/>
        </w:rPr>
        <w:t xml:space="preserve">     </w:t>
      </w:r>
    </w:p>
    <w:p w14:paraId="75162E2E">
      <w:pPr>
        <w:spacing w:line="360" w:lineRule="exact"/>
        <w:ind w:firstLine="1680" w:firstLineChars="800"/>
        <w:rPr>
          <w:rFonts w:ascii="宋体" w:hAnsi="宋体"/>
          <w:color w:val="auto"/>
          <w:kern w:val="1"/>
          <w:szCs w:val="21"/>
        </w:rPr>
      </w:pPr>
      <w:r>
        <w:rPr>
          <w:rFonts w:hint="eastAsia" w:ascii="宋体" w:hAnsi="宋体"/>
          <w:color w:val="auto"/>
          <w:kern w:val="1"/>
          <w:szCs w:val="21"/>
        </w:rPr>
        <w:t>（</w:t>
      </w:r>
      <w:r>
        <w:rPr>
          <w:rFonts w:ascii="宋体" w:hAnsi="宋体" w:cs="宋体"/>
          <w:color w:val="auto"/>
          <w:kern w:val="1"/>
          <w:szCs w:val="21"/>
        </w:rPr>
        <w:t>公章</w:t>
      </w:r>
      <w:r>
        <w:rPr>
          <w:rFonts w:hint="eastAsia" w:ascii="宋体" w:hAnsi="宋体"/>
          <w:color w:val="auto"/>
          <w:kern w:val="1"/>
          <w:szCs w:val="21"/>
        </w:rPr>
        <w:t>）                                     （</w:t>
      </w:r>
      <w:r>
        <w:rPr>
          <w:rFonts w:ascii="宋体" w:hAnsi="宋体" w:cs="宋体"/>
          <w:color w:val="auto"/>
          <w:kern w:val="1"/>
          <w:szCs w:val="21"/>
        </w:rPr>
        <w:t>公章</w:t>
      </w:r>
      <w:r>
        <w:rPr>
          <w:rFonts w:hint="eastAsia" w:ascii="宋体" w:hAnsi="宋体"/>
          <w:color w:val="auto"/>
          <w:kern w:val="1"/>
          <w:szCs w:val="21"/>
        </w:rPr>
        <w:t>）</w:t>
      </w:r>
    </w:p>
    <w:p w14:paraId="2709EB83">
      <w:pPr>
        <w:spacing w:line="360" w:lineRule="exact"/>
        <w:rPr>
          <w:rFonts w:ascii="宋体" w:hAnsi="宋体"/>
          <w:color w:val="auto"/>
          <w:kern w:val="1"/>
          <w:szCs w:val="21"/>
        </w:rPr>
      </w:pPr>
      <w:r>
        <w:rPr>
          <w:rFonts w:ascii="宋体" w:hAnsi="宋体" w:cs="宋体"/>
          <w:color w:val="auto"/>
          <w:kern w:val="1"/>
          <w:szCs w:val="21"/>
        </w:rPr>
        <w:t>法定代表人或其委托代理人：</w:t>
      </w:r>
      <w:r>
        <w:rPr>
          <w:rFonts w:hint="eastAsia" w:ascii="宋体" w:hAnsi="宋体" w:cs="宋体"/>
          <w:color w:val="auto"/>
          <w:kern w:val="1"/>
          <w:szCs w:val="21"/>
        </w:rPr>
        <w:t xml:space="preserve">                    </w:t>
      </w:r>
      <w:r>
        <w:rPr>
          <w:rFonts w:ascii="宋体" w:hAnsi="宋体" w:cs="宋体"/>
          <w:color w:val="auto"/>
          <w:kern w:val="1"/>
          <w:szCs w:val="21"/>
        </w:rPr>
        <w:t>法定代表人或其委托代理人：</w:t>
      </w:r>
    </w:p>
    <w:p w14:paraId="2390515E">
      <w:pPr>
        <w:spacing w:line="360" w:lineRule="exact"/>
        <w:ind w:firstLine="420" w:firstLineChars="200"/>
        <w:rPr>
          <w:rFonts w:ascii="宋体" w:hAnsi="宋体"/>
          <w:color w:val="auto"/>
          <w:kern w:val="1"/>
          <w:szCs w:val="21"/>
        </w:rPr>
      </w:pPr>
      <w:r>
        <w:rPr>
          <w:rFonts w:ascii="宋体" w:hAnsi="宋体" w:cs="宋体"/>
          <w:color w:val="auto"/>
          <w:kern w:val="1"/>
          <w:szCs w:val="21"/>
        </w:rPr>
        <w:t>（签字</w:t>
      </w:r>
      <w:r>
        <w:rPr>
          <w:rFonts w:hint="eastAsia" w:ascii="宋体" w:hAnsi="宋体" w:cs="宋体"/>
          <w:color w:val="auto"/>
          <w:kern w:val="1"/>
          <w:szCs w:val="21"/>
        </w:rPr>
        <w:t>或盖章</w:t>
      </w:r>
      <w:r>
        <w:rPr>
          <w:rFonts w:ascii="宋体" w:hAnsi="宋体" w:cs="宋体"/>
          <w:color w:val="auto"/>
          <w:kern w:val="1"/>
          <w:szCs w:val="21"/>
        </w:rPr>
        <w:t>）</w:t>
      </w:r>
      <w:r>
        <w:rPr>
          <w:rFonts w:hint="eastAsia" w:ascii="宋体" w:hAnsi="宋体" w:cs="宋体"/>
          <w:color w:val="auto"/>
          <w:kern w:val="1"/>
          <w:szCs w:val="21"/>
        </w:rPr>
        <w:t xml:space="preserve">                                </w:t>
      </w:r>
      <w:r>
        <w:rPr>
          <w:rFonts w:ascii="宋体" w:hAnsi="宋体" w:cs="宋体"/>
          <w:color w:val="auto"/>
          <w:kern w:val="1"/>
          <w:szCs w:val="21"/>
        </w:rPr>
        <w:t>（签字</w:t>
      </w:r>
      <w:r>
        <w:rPr>
          <w:rFonts w:hint="eastAsia" w:ascii="宋体" w:hAnsi="宋体" w:cs="宋体"/>
          <w:color w:val="auto"/>
          <w:kern w:val="1"/>
          <w:szCs w:val="21"/>
        </w:rPr>
        <w:t>或盖章</w:t>
      </w:r>
      <w:r>
        <w:rPr>
          <w:rFonts w:ascii="宋体" w:hAnsi="宋体" w:cs="宋体"/>
          <w:color w:val="auto"/>
          <w:kern w:val="1"/>
          <w:szCs w:val="21"/>
        </w:rPr>
        <w:t>）</w:t>
      </w:r>
    </w:p>
    <w:p w14:paraId="2951D6A7">
      <w:pPr>
        <w:tabs>
          <w:tab w:val="left" w:pos="4410"/>
        </w:tabs>
        <w:spacing w:line="360" w:lineRule="exact"/>
        <w:rPr>
          <w:rFonts w:ascii="宋体" w:hAnsi="宋体"/>
          <w:color w:val="auto"/>
          <w:kern w:val="1"/>
          <w:szCs w:val="21"/>
        </w:rPr>
      </w:pPr>
      <w:r>
        <w:rPr>
          <w:rFonts w:ascii="宋体" w:hAnsi="宋体" w:cs="宋体"/>
          <w:color w:val="auto"/>
          <w:kern w:val="1"/>
          <w:szCs w:val="21"/>
        </w:rPr>
        <w:t>组织机构代码：</w:t>
      </w:r>
      <w:r>
        <w:rPr>
          <w:rFonts w:hint="eastAsia" w:ascii="宋体" w:hAnsi="宋体" w:cs="宋体"/>
          <w:color w:val="auto"/>
          <w:kern w:val="1"/>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hAnsi="宋体"/>
          <w:color w:val="auto"/>
          <w:szCs w:val="21"/>
        </w:rPr>
        <w:t xml:space="preserve">           </w:t>
      </w:r>
      <w:r>
        <w:rPr>
          <w:rFonts w:ascii="宋体" w:hAnsi="宋体" w:cs="宋体"/>
          <w:color w:val="auto"/>
          <w:kern w:val="1"/>
          <w:szCs w:val="21"/>
        </w:rPr>
        <w:t>组织机构代码：</w:t>
      </w:r>
      <w:r>
        <w:rPr>
          <w:rFonts w:hint="eastAsia" w:ascii="宋体" w:hAnsi="宋体" w:cs="宋体"/>
          <w:color w:val="auto"/>
          <w:kern w:val="1"/>
          <w:szCs w:val="21"/>
          <w:u w:val="single"/>
        </w:rPr>
        <w:t xml:space="preserve">                </w:t>
      </w:r>
    </w:p>
    <w:p w14:paraId="2914F989">
      <w:pPr>
        <w:spacing w:line="360" w:lineRule="exact"/>
        <w:rPr>
          <w:rFonts w:hint="eastAsia" w:ascii="宋体" w:hAnsi="宋体"/>
          <w:color w:val="auto"/>
          <w:szCs w:val="21"/>
          <w:u w:val="single"/>
        </w:rPr>
      </w:pPr>
      <w:r>
        <w:rPr>
          <w:rFonts w:ascii="宋体" w:hAnsi="宋体" w:cs="宋体"/>
          <w:color w:val="auto"/>
          <w:kern w:val="1"/>
          <w:szCs w:val="21"/>
        </w:rPr>
        <w:t>地址：</w:t>
      </w:r>
      <w:r>
        <w:rPr>
          <w:rFonts w:hint="eastAsia"/>
          <w:color w:val="auto"/>
          <w:spacing w:val="6"/>
          <w:szCs w:val="21"/>
          <w:u w:val="single"/>
        </w:rPr>
        <w:t xml:space="preserve">岑溪                      </w:t>
      </w:r>
      <w:r>
        <w:rPr>
          <w:rFonts w:hint="eastAsia"/>
          <w:color w:val="auto"/>
          <w:spacing w:val="6"/>
          <w:szCs w:val="21"/>
        </w:rPr>
        <w:t xml:space="preserve">         </w:t>
      </w:r>
      <w:r>
        <w:rPr>
          <w:rFonts w:ascii="宋体" w:hAnsi="宋体" w:cs="宋体"/>
          <w:color w:val="auto"/>
          <w:kern w:val="1"/>
          <w:szCs w:val="21"/>
        </w:rPr>
        <w:t>地址：</w:t>
      </w:r>
      <w:r>
        <w:rPr>
          <w:rFonts w:hint="eastAsia" w:ascii="宋体" w:hAnsi="宋体"/>
          <w:color w:val="auto"/>
          <w:szCs w:val="21"/>
          <w:u w:val="single"/>
        </w:rPr>
        <w:t xml:space="preserve">                    </w:t>
      </w:r>
    </w:p>
    <w:p w14:paraId="2E1A4CD5">
      <w:pPr>
        <w:spacing w:line="360" w:lineRule="exact"/>
        <w:rPr>
          <w:rFonts w:ascii="宋体" w:hAnsi="宋体"/>
          <w:color w:val="auto"/>
          <w:kern w:val="1"/>
          <w:szCs w:val="21"/>
        </w:rPr>
      </w:pPr>
      <w:r>
        <w:rPr>
          <w:rFonts w:ascii="宋体" w:hAnsi="宋体" w:cs="宋体"/>
          <w:color w:val="auto"/>
          <w:kern w:val="1"/>
          <w:szCs w:val="21"/>
        </w:rPr>
        <w:t>邮政编码：</w:t>
      </w:r>
      <w:r>
        <w:rPr>
          <w:rFonts w:hint="eastAsia" w:ascii="宋体" w:hAnsi="宋体" w:cs="宋体"/>
          <w:color w:val="auto"/>
          <w:kern w:val="1"/>
          <w:szCs w:val="21"/>
          <w:u w:val="single"/>
        </w:rPr>
        <w:t xml:space="preserve">                 </w:t>
      </w:r>
      <w:r>
        <w:rPr>
          <w:rFonts w:hint="eastAsia" w:ascii="宋体" w:hAnsi="宋体" w:cs="宋体"/>
          <w:color w:val="auto"/>
          <w:kern w:val="1"/>
          <w:szCs w:val="21"/>
        </w:rPr>
        <w:t xml:space="preserve">                  </w:t>
      </w:r>
      <w:r>
        <w:rPr>
          <w:rFonts w:ascii="宋体" w:hAnsi="宋体" w:cs="宋体"/>
          <w:color w:val="auto"/>
          <w:kern w:val="1"/>
          <w:szCs w:val="21"/>
        </w:rPr>
        <w:t>邮政编码：</w:t>
      </w:r>
      <w:r>
        <w:rPr>
          <w:rFonts w:hint="eastAsia" w:ascii="宋体" w:hAnsi="宋体" w:cs="宋体"/>
          <w:color w:val="auto"/>
          <w:kern w:val="1"/>
          <w:szCs w:val="21"/>
          <w:u w:val="single"/>
        </w:rPr>
        <w:t xml:space="preserve">                  </w:t>
      </w:r>
    </w:p>
    <w:p w14:paraId="300AD026">
      <w:pPr>
        <w:spacing w:line="360" w:lineRule="exact"/>
        <w:rPr>
          <w:rFonts w:hint="eastAsia" w:ascii="宋体" w:hAnsi="宋体"/>
          <w:color w:val="auto"/>
          <w:kern w:val="1"/>
          <w:szCs w:val="21"/>
          <w:u w:val="single"/>
        </w:rPr>
      </w:pPr>
      <w:r>
        <w:rPr>
          <w:rFonts w:ascii="宋体" w:hAnsi="宋体" w:cs="宋体"/>
          <w:color w:val="auto"/>
          <w:kern w:val="1"/>
          <w:szCs w:val="21"/>
        </w:rPr>
        <w:t>法定代表人：</w:t>
      </w:r>
      <w:r>
        <w:rPr>
          <w:rFonts w:hint="eastAsia" w:ascii="宋体" w:hAnsi="宋体" w:cs="宋体"/>
          <w:color w:val="auto"/>
          <w:kern w:val="1"/>
          <w:szCs w:val="21"/>
          <w:u w:val="single"/>
        </w:rPr>
        <w:t xml:space="preserve">                </w:t>
      </w:r>
      <w:r>
        <w:rPr>
          <w:rFonts w:hint="eastAsia" w:ascii="宋体" w:hAnsi="宋体" w:cs="宋体"/>
          <w:color w:val="auto"/>
          <w:kern w:val="1"/>
          <w:szCs w:val="21"/>
        </w:rPr>
        <w:t xml:space="preserve">                 </w:t>
      </w:r>
      <w:r>
        <w:rPr>
          <w:rFonts w:ascii="宋体" w:hAnsi="宋体" w:cs="宋体"/>
          <w:color w:val="auto"/>
          <w:kern w:val="1"/>
          <w:szCs w:val="21"/>
        </w:rPr>
        <w:t>法定代表人：</w:t>
      </w:r>
      <w:r>
        <w:rPr>
          <w:rFonts w:hint="eastAsia" w:ascii="宋体" w:hAnsi="宋体"/>
          <w:color w:val="auto"/>
          <w:kern w:val="1"/>
          <w:szCs w:val="21"/>
          <w:u w:val="single"/>
        </w:rPr>
        <w:t xml:space="preserve">             </w:t>
      </w:r>
    </w:p>
    <w:p w14:paraId="0B28C555">
      <w:pPr>
        <w:spacing w:line="360" w:lineRule="exact"/>
        <w:rPr>
          <w:rFonts w:ascii="宋体" w:hAnsi="宋体"/>
          <w:color w:val="auto"/>
          <w:kern w:val="1"/>
          <w:szCs w:val="21"/>
          <w:u w:val="single"/>
        </w:rPr>
      </w:pPr>
      <w:r>
        <w:rPr>
          <w:rFonts w:ascii="宋体" w:hAnsi="宋体" w:cs="宋体"/>
          <w:color w:val="auto"/>
          <w:kern w:val="1"/>
          <w:szCs w:val="21"/>
        </w:rPr>
        <w:t>委托代理人：</w:t>
      </w:r>
      <w:r>
        <w:rPr>
          <w:rFonts w:hint="eastAsia" w:ascii="宋体" w:hAnsi="宋体" w:cs="宋体"/>
          <w:color w:val="auto"/>
          <w:kern w:val="1"/>
          <w:szCs w:val="21"/>
          <w:u w:val="single"/>
        </w:rPr>
        <w:t xml:space="preserve">                 </w:t>
      </w:r>
      <w:r>
        <w:rPr>
          <w:rFonts w:hint="eastAsia" w:ascii="宋体" w:hAnsi="宋体" w:cs="宋体"/>
          <w:color w:val="auto"/>
          <w:kern w:val="1"/>
          <w:szCs w:val="21"/>
        </w:rPr>
        <w:t xml:space="preserve">                </w:t>
      </w:r>
      <w:r>
        <w:rPr>
          <w:rFonts w:ascii="宋体" w:hAnsi="宋体" w:cs="宋体"/>
          <w:color w:val="auto"/>
          <w:kern w:val="1"/>
          <w:szCs w:val="21"/>
        </w:rPr>
        <w:t>委托代理人：</w:t>
      </w:r>
      <w:r>
        <w:rPr>
          <w:rFonts w:hint="eastAsia" w:ascii="宋体" w:hAnsi="宋体" w:cs="宋体"/>
          <w:color w:val="auto"/>
          <w:kern w:val="1"/>
          <w:szCs w:val="21"/>
          <w:u w:val="single"/>
        </w:rPr>
        <w:t xml:space="preserve">             </w:t>
      </w:r>
    </w:p>
    <w:p w14:paraId="61B75CE1">
      <w:pPr>
        <w:spacing w:line="360" w:lineRule="exact"/>
        <w:rPr>
          <w:rFonts w:hint="eastAsia" w:ascii="宋体" w:hAnsi="宋体" w:cs="宋体"/>
          <w:color w:val="auto"/>
          <w:szCs w:val="21"/>
          <w:u w:val="single"/>
        </w:rPr>
      </w:pPr>
      <w:r>
        <w:rPr>
          <w:rFonts w:ascii="宋体" w:hAnsi="宋体" w:cs="宋体"/>
          <w:color w:val="auto"/>
          <w:kern w:val="1"/>
          <w:szCs w:val="21"/>
        </w:rPr>
        <w:t>电话：</w:t>
      </w:r>
      <w:r>
        <w:rPr>
          <w:rFonts w:hint="eastAsia" w:ascii="宋体" w:hAnsi="宋体" w:cs="宋体"/>
          <w:color w:val="auto"/>
          <w:kern w:val="1"/>
          <w:szCs w:val="21"/>
          <w:u w:val="single"/>
        </w:rPr>
        <w:t xml:space="preserve">              </w:t>
      </w:r>
      <w:r>
        <w:rPr>
          <w:rFonts w:hint="eastAsia" w:ascii="宋体" w:hAnsi="宋体" w:cs="宋体"/>
          <w:color w:val="auto"/>
          <w:kern w:val="1"/>
          <w:szCs w:val="21"/>
        </w:rPr>
        <w:t xml:space="preserve">                         </w:t>
      </w:r>
      <w:r>
        <w:rPr>
          <w:rFonts w:ascii="宋体" w:hAnsi="宋体" w:cs="宋体"/>
          <w:color w:val="auto"/>
          <w:kern w:val="1"/>
          <w:szCs w:val="21"/>
        </w:rPr>
        <w:t>电话：</w:t>
      </w:r>
      <w:r>
        <w:rPr>
          <w:rFonts w:hint="eastAsia" w:ascii="宋体" w:hAnsi="宋体" w:cs="宋体"/>
          <w:color w:val="auto"/>
          <w:szCs w:val="21"/>
          <w:u w:val="single"/>
        </w:rPr>
        <w:t xml:space="preserve">               </w:t>
      </w:r>
    </w:p>
    <w:p w14:paraId="4F0E950D">
      <w:pPr>
        <w:spacing w:line="360" w:lineRule="exact"/>
        <w:rPr>
          <w:rFonts w:ascii="宋体" w:hAnsi="宋体"/>
          <w:color w:val="auto"/>
          <w:kern w:val="1"/>
          <w:szCs w:val="21"/>
          <w:u w:val="single"/>
        </w:rPr>
      </w:pPr>
      <w:r>
        <w:rPr>
          <w:rFonts w:ascii="宋体" w:hAnsi="宋体" w:cs="宋体"/>
          <w:color w:val="auto"/>
          <w:kern w:val="1"/>
          <w:szCs w:val="21"/>
        </w:rPr>
        <w:t>传真：</w:t>
      </w:r>
      <w:r>
        <w:rPr>
          <w:rFonts w:hint="eastAsia" w:ascii="宋体" w:hAnsi="宋体" w:cs="宋体"/>
          <w:color w:val="auto"/>
          <w:szCs w:val="21"/>
          <w:u w:val="single"/>
        </w:rPr>
        <w:t xml:space="preserve">              </w:t>
      </w:r>
      <w:r>
        <w:rPr>
          <w:rFonts w:hint="eastAsia" w:ascii="宋体" w:hAnsi="宋体" w:cs="宋体"/>
          <w:color w:val="auto"/>
          <w:kern w:val="1"/>
          <w:szCs w:val="21"/>
          <w:u w:val="single"/>
        </w:rPr>
        <w:t xml:space="preserve">  </w:t>
      </w:r>
      <w:r>
        <w:rPr>
          <w:rFonts w:hint="eastAsia" w:ascii="宋体" w:hAnsi="宋体" w:cs="宋体"/>
          <w:color w:val="auto"/>
          <w:kern w:val="1"/>
          <w:szCs w:val="21"/>
        </w:rPr>
        <w:t xml:space="preserve">                       </w:t>
      </w:r>
      <w:r>
        <w:rPr>
          <w:rFonts w:ascii="宋体" w:hAnsi="宋体" w:cs="宋体"/>
          <w:color w:val="auto"/>
          <w:kern w:val="1"/>
          <w:szCs w:val="21"/>
        </w:rPr>
        <w:t>传真：</w:t>
      </w:r>
      <w:r>
        <w:rPr>
          <w:rFonts w:hint="eastAsia" w:ascii="宋体" w:hAnsi="宋体" w:cs="宋体"/>
          <w:color w:val="auto"/>
          <w:kern w:val="1"/>
          <w:szCs w:val="21"/>
          <w:u w:val="single"/>
        </w:rPr>
        <w:t xml:space="preserve">               </w:t>
      </w:r>
    </w:p>
    <w:p w14:paraId="362A751B">
      <w:pPr>
        <w:spacing w:line="360" w:lineRule="exact"/>
        <w:rPr>
          <w:rFonts w:ascii="宋体" w:hAnsi="宋体"/>
          <w:color w:val="auto"/>
          <w:kern w:val="1"/>
          <w:szCs w:val="21"/>
          <w:u w:val="single"/>
        </w:rPr>
      </w:pPr>
      <w:r>
        <w:rPr>
          <w:rFonts w:ascii="宋体" w:hAnsi="宋体" w:cs="宋体"/>
          <w:color w:val="auto"/>
          <w:kern w:val="1"/>
          <w:szCs w:val="21"/>
        </w:rPr>
        <w:t>电子信箱：</w:t>
      </w:r>
      <w:r>
        <w:rPr>
          <w:rFonts w:hint="eastAsia" w:ascii="宋体" w:hAnsi="宋体" w:cs="宋体"/>
          <w:color w:val="auto"/>
          <w:kern w:val="1"/>
          <w:szCs w:val="21"/>
          <w:u w:val="single"/>
        </w:rPr>
        <w:t xml:space="preserve">                 </w:t>
      </w:r>
      <w:r>
        <w:rPr>
          <w:rFonts w:hint="eastAsia" w:ascii="宋体" w:hAnsi="宋体" w:cs="宋体"/>
          <w:color w:val="auto"/>
          <w:kern w:val="1"/>
          <w:szCs w:val="21"/>
        </w:rPr>
        <w:t xml:space="preserve">                  </w:t>
      </w:r>
      <w:r>
        <w:rPr>
          <w:rFonts w:ascii="宋体" w:hAnsi="宋体" w:cs="宋体"/>
          <w:color w:val="auto"/>
          <w:kern w:val="1"/>
          <w:szCs w:val="21"/>
        </w:rPr>
        <w:t>电子信箱：</w:t>
      </w:r>
      <w:r>
        <w:rPr>
          <w:rFonts w:hint="eastAsia" w:ascii="宋体" w:hAnsi="宋体" w:cs="宋体"/>
          <w:color w:val="auto"/>
          <w:kern w:val="1"/>
          <w:szCs w:val="21"/>
          <w:u w:val="single"/>
        </w:rPr>
        <w:t xml:space="preserve">            </w:t>
      </w:r>
    </w:p>
    <w:p w14:paraId="3C2CD528">
      <w:pPr>
        <w:spacing w:line="360" w:lineRule="exact"/>
        <w:ind w:right="-525" w:rightChars="-250"/>
        <w:rPr>
          <w:rFonts w:ascii="宋体" w:hAnsi="宋体"/>
          <w:color w:val="auto"/>
          <w:kern w:val="1"/>
          <w:szCs w:val="21"/>
        </w:rPr>
      </w:pPr>
      <w:r>
        <w:rPr>
          <w:rFonts w:ascii="宋体" w:hAnsi="宋体" w:cs="宋体"/>
          <w:color w:val="auto"/>
          <w:kern w:val="1"/>
          <w:szCs w:val="21"/>
        </w:rPr>
        <w:t>开户银行：</w:t>
      </w:r>
      <w:r>
        <w:rPr>
          <w:rFonts w:hint="eastAsia"/>
          <w:color w:val="auto"/>
          <w:spacing w:val="6"/>
          <w:szCs w:val="21"/>
        </w:rPr>
        <w:t xml:space="preserve"> </w:t>
      </w:r>
      <w:r>
        <w:rPr>
          <w:rFonts w:hint="eastAsia" w:ascii="宋体" w:hAnsi="宋体" w:cs="宋体"/>
          <w:color w:val="auto"/>
          <w:kern w:val="1"/>
          <w:szCs w:val="21"/>
          <w:u w:val="single"/>
        </w:rPr>
        <w:t xml:space="preserve">                 </w:t>
      </w:r>
      <w:r>
        <w:rPr>
          <w:rFonts w:hint="eastAsia" w:ascii="宋体" w:hAnsi="宋体" w:cs="宋体"/>
          <w:color w:val="auto"/>
          <w:kern w:val="1"/>
          <w:szCs w:val="21"/>
        </w:rPr>
        <w:t xml:space="preserve"> </w:t>
      </w:r>
      <w:r>
        <w:rPr>
          <w:rFonts w:hint="eastAsia"/>
          <w:color w:val="auto"/>
          <w:spacing w:val="6"/>
          <w:szCs w:val="21"/>
        </w:rPr>
        <w:t xml:space="preserve">              </w:t>
      </w:r>
      <w:r>
        <w:rPr>
          <w:rFonts w:ascii="宋体" w:hAnsi="宋体" w:cs="宋体"/>
          <w:color w:val="auto"/>
          <w:kern w:val="1"/>
          <w:szCs w:val="21"/>
        </w:rPr>
        <w:t>开户银行：</w:t>
      </w:r>
      <w:r>
        <w:rPr>
          <w:rFonts w:hint="eastAsia" w:ascii="宋体" w:hAnsi="宋体" w:cs="宋体"/>
          <w:color w:val="auto"/>
          <w:kern w:val="1"/>
          <w:szCs w:val="21"/>
          <w:u w:val="single"/>
        </w:rPr>
        <w:t xml:space="preserve">               </w:t>
      </w:r>
    </w:p>
    <w:p w14:paraId="689B573F">
      <w:pPr>
        <w:pStyle w:val="7"/>
        <w:spacing w:line="360" w:lineRule="exact"/>
        <w:jc w:val="left"/>
        <w:rPr>
          <w:rFonts w:hint="eastAsia" w:ascii="宋体" w:hAnsi="宋体" w:cs="宋体"/>
          <w:b w:val="0"/>
          <w:bCs w:val="0"/>
          <w:color w:val="auto"/>
          <w:sz w:val="21"/>
          <w:szCs w:val="21"/>
        </w:rPr>
      </w:pPr>
      <w:r>
        <w:rPr>
          <w:rFonts w:ascii="宋体" w:hAnsi="宋体" w:cs="宋体"/>
          <w:b w:val="0"/>
          <w:bCs w:val="0"/>
          <w:color w:val="auto"/>
          <w:kern w:val="1"/>
          <w:sz w:val="21"/>
          <w:szCs w:val="21"/>
        </w:rPr>
        <w:t>账号：</w:t>
      </w:r>
      <w:r>
        <w:rPr>
          <w:rFonts w:hint="eastAsia" w:ascii="宋体" w:hAnsi="宋体"/>
          <w:b w:val="0"/>
          <w:bCs w:val="0"/>
          <w:color w:val="auto"/>
          <w:spacing w:val="6"/>
          <w:sz w:val="21"/>
          <w:szCs w:val="21"/>
          <w:u w:val="single"/>
        </w:rPr>
        <w:t xml:space="preserve"> </w:t>
      </w:r>
      <w:r>
        <w:rPr>
          <w:rFonts w:hint="eastAsia" w:ascii="宋体" w:hAnsi="宋体" w:cs="宋体"/>
          <w:color w:val="auto"/>
          <w:kern w:val="1"/>
          <w:szCs w:val="21"/>
          <w:u w:val="single"/>
        </w:rPr>
        <w:t xml:space="preserve">                 </w:t>
      </w:r>
      <w:r>
        <w:rPr>
          <w:rFonts w:hint="eastAsia" w:ascii="宋体" w:hAnsi="宋体" w:cs="宋体"/>
          <w:color w:val="auto"/>
          <w:kern w:val="1"/>
          <w:szCs w:val="21"/>
        </w:rPr>
        <w:t xml:space="preserve"> </w:t>
      </w:r>
      <w:r>
        <w:rPr>
          <w:rFonts w:hint="eastAsia" w:ascii="宋体" w:hAnsi="宋体"/>
          <w:b w:val="0"/>
          <w:bCs w:val="0"/>
          <w:color w:val="auto"/>
          <w:spacing w:val="6"/>
          <w:sz w:val="21"/>
          <w:szCs w:val="21"/>
        </w:rPr>
        <w:t xml:space="preserve">         </w:t>
      </w:r>
      <w:r>
        <w:rPr>
          <w:rFonts w:ascii="宋体" w:hAnsi="宋体" w:cs="宋体"/>
          <w:b w:val="0"/>
          <w:bCs w:val="0"/>
          <w:color w:val="auto"/>
          <w:kern w:val="1"/>
          <w:sz w:val="21"/>
          <w:szCs w:val="21"/>
        </w:rPr>
        <w:t>账号：</w:t>
      </w:r>
      <w:r>
        <w:rPr>
          <w:rFonts w:ascii="宋体" w:hAnsi="宋体" w:cs="宋体"/>
          <w:b w:val="0"/>
          <w:bCs w:val="0"/>
          <w:color w:val="auto"/>
          <w:kern w:val="1"/>
          <w:sz w:val="21"/>
          <w:szCs w:val="21"/>
          <w:u w:val="single"/>
        </w:rPr>
        <w:t xml:space="preserve"> </w:t>
      </w:r>
      <w:r>
        <w:rPr>
          <w:rFonts w:hint="eastAsia" w:ascii="宋体" w:hAnsi="宋体" w:cs="宋体"/>
          <w:b w:val="0"/>
          <w:bCs w:val="0"/>
          <w:color w:val="auto"/>
          <w:kern w:val="1"/>
          <w:sz w:val="21"/>
          <w:szCs w:val="21"/>
          <w:u w:val="single"/>
        </w:rPr>
        <w:t xml:space="preserve">                  </w:t>
      </w:r>
    </w:p>
    <w:bookmarkEnd w:id="1426"/>
    <w:p w14:paraId="33E88F46">
      <w:pPr>
        <w:spacing w:line="360" w:lineRule="exact"/>
        <w:rPr>
          <w:rFonts w:hint="eastAsia" w:ascii="宋体" w:hAnsi="宋体" w:cs="宋体"/>
          <w:color w:val="auto"/>
          <w:szCs w:val="21"/>
        </w:rPr>
      </w:pPr>
    </w:p>
    <w:p w14:paraId="6ACA4F9E">
      <w:pPr>
        <w:spacing w:line="360" w:lineRule="auto"/>
        <w:ind w:left="2940" w:leftChars="1400"/>
        <w:rPr>
          <w:rFonts w:ascii="宋体" w:hAnsi="宋体" w:cs="宋体"/>
          <w:color w:val="auto"/>
          <w:sz w:val="24"/>
        </w:rPr>
      </w:pPr>
    </w:p>
    <w:sectPr>
      <w:headerReference r:id="rId8" w:type="first"/>
      <w:footerReference r:id="rId10" w:type="first"/>
      <w:headerReference r:id="rId7" w:type="default"/>
      <w:footerReference r:id="rId9"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imes New Roman)">
    <w:altName w:val="微软雅黑"/>
    <w:panose1 w:val="00000000000000000000"/>
    <w:charset w:val="00"/>
    <w:family w:val="auto"/>
    <w:pitch w:val="default"/>
    <w:sig w:usb0="00000000" w:usb1="00000000" w:usb2="00000000" w:usb3="00000000" w:csb0="00040001" w:csb1="00000000"/>
  </w:font>
  <w:font w:name="宋体正文">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0000000000000000000"/>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CFC51">
    <w:pPr>
      <w:pStyle w:val="3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82F1D0">
                          <w:pPr>
                            <w:pStyle w:val="3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0NPFs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3m5&#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9DTxbLAQAAnAMAAA4AAAAAAAAAAQAgAAAAHgEAAGRycy9lMm9E&#10;b2MueG1sUEsFBgAAAAAGAAYAWQEAAFsFAAAAAA==&#10;">
              <v:fill on="f" focussize="0,0"/>
              <v:stroke on="f"/>
              <v:imagedata o:title=""/>
              <o:lock v:ext="edit" aspectratio="f"/>
              <v:textbox inset="0mm,0mm,0mm,0mm" style="mso-fit-shape-to-text:t;">
                <w:txbxContent>
                  <w:p w14:paraId="5382F1D0">
                    <w:pPr>
                      <w:pStyle w:val="32"/>
                    </w:pPr>
                    <w:r>
                      <w:fldChar w:fldCharType="begin"/>
                    </w:r>
                    <w:r>
                      <w:instrText xml:space="preserve"> PAGE  \* MERGEFORMAT </w:instrText>
                    </w:r>
                    <w:r>
                      <w:fldChar w:fldCharType="separate"/>
                    </w:r>
                    <w:r>
                      <w:t>1</w:t>
                    </w:r>
                    <w:r>
                      <w:fldChar w:fldCharType="end"/>
                    </w:r>
                  </w:p>
                </w:txbxContent>
              </v:textbox>
            </v:shape>
          </w:pict>
        </mc:Fallback>
      </mc:AlternateContent>
    </w:r>
  </w:p>
  <w:p w14:paraId="1ACE10D2">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F5A79">
    <w:pPr>
      <w:pStyle w:val="3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C1FD1"/>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25socsBAACc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3m5&#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ubKHLAQAAnAMAAA4AAAAAAAAAAQAgAAAAHgEAAGRycy9lMm9E&#10;b2MueG1sUEsFBgAAAAAGAAYAWQEAAFsFAAAAAA==&#10;">
              <v:fill on="f" focussize="0,0"/>
              <v:stroke on="f"/>
              <v:imagedata o:title=""/>
              <o:lock v:ext="edit" aspectratio="f"/>
              <v:textbox inset="0mm,0mm,0mm,0mm" style="mso-fit-shape-to-text:t;">
                <w:txbxContent>
                  <w:p w14:paraId="5EAC1FD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B328">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B4D5EA">
                          <w:pPr>
                            <w:pStyle w:val="32"/>
                            <w:jc w:val="center"/>
                          </w:pPr>
                          <w:r>
                            <w:fldChar w:fldCharType="begin"/>
                          </w:r>
                          <w:r>
                            <w:instrText xml:space="preserve"> PAGE  \* MERGEFORMAT </w:instrText>
                          </w:r>
                          <w:r>
                            <w:fldChar w:fldCharType="separate"/>
                          </w:r>
                          <w:r>
                            <w:t>331</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v:fill on="f" focussize="0,0"/>
              <v:stroke on="f"/>
              <v:imagedata o:title=""/>
              <o:lock v:ext="edit" aspectratio="f"/>
              <v:textbox inset="0mm,0mm,0mm,0mm" style="mso-fit-shape-to-text:t;">
                <w:txbxContent>
                  <w:p w14:paraId="5EB4D5EA">
                    <w:pPr>
                      <w:pStyle w:val="32"/>
                      <w:jc w:val="center"/>
                    </w:pPr>
                    <w:r>
                      <w:fldChar w:fldCharType="begin"/>
                    </w:r>
                    <w:r>
                      <w:instrText xml:space="preserve"> PAGE  \* MERGEFORMAT </w:instrText>
                    </w:r>
                    <w:r>
                      <w:fldChar w:fldCharType="separate"/>
                    </w:r>
                    <w:r>
                      <w:t>331</w:t>
                    </w:r>
                    <w:r>
                      <w:fldChar w:fldCharType="end"/>
                    </w:r>
                  </w:p>
                </w:txbxContent>
              </v:textbox>
            </v:shape>
          </w:pict>
        </mc:Fallback>
      </mc:AlternateContent>
    </w:r>
  </w:p>
  <w:p w14:paraId="7D4DAC21">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2CE0">
    <w:pPr>
      <w:pStyle w:val="3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25F886">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110</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6E25F886">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110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34977">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588AC">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8D66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3963C">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EAAA0"/>
    <w:multiLevelType w:val="singleLevel"/>
    <w:tmpl w:val="D38EAAA0"/>
    <w:lvl w:ilvl="0" w:tentative="0">
      <w:start w:val="2"/>
      <w:numFmt w:val="decimal"/>
      <w:suff w:val="space"/>
      <w:lvlText w:val="%1."/>
      <w:lvlJc w:val="left"/>
    </w:lvl>
  </w:abstractNum>
  <w:abstractNum w:abstractNumId="1">
    <w:nsid w:val="00000006"/>
    <w:multiLevelType w:val="singleLevel"/>
    <w:tmpl w:val="0000000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YzlmNjZiNWM5NGNlMmY2ZDFlMjEwYmMzODAyNmQifQ=="/>
  </w:docVars>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474D"/>
    <w:rsid w:val="0000529E"/>
    <w:rsid w:val="000057F8"/>
    <w:rsid w:val="00005CC0"/>
    <w:rsid w:val="00005FDF"/>
    <w:rsid w:val="0000644A"/>
    <w:rsid w:val="00006D8A"/>
    <w:rsid w:val="00007081"/>
    <w:rsid w:val="000070B3"/>
    <w:rsid w:val="000076B8"/>
    <w:rsid w:val="000109DC"/>
    <w:rsid w:val="00010D39"/>
    <w:rsid w:val="0001172C"/>
    <w:rsid w:val="00011BC9"/>
    <w:rsid w:val="00012854"/>
    <w:rsid w:val="00012D72"/>
    <w:rsid w:val="00012EA6"/>
    <w:rsid w:val="00013359"/>
    <w:rsid w:val="000139CF"/>
    <w:rsid w:val="00013AA4"/>
    <w:rsid w:val="00013DFE"/>
    <w:rsid w:val="000141EA"/>
    <w:rsid w:val="00015111"/>
    <w:rsid w:val="0001657F"/>
    <w:rsid w:val="00016ABC"/>
    <w:rsid w:val="000177DB"/>
    <w:rsid w:val="000179C9"/>
    <w:rsid w:val="00017CCC"/>
    <w:rsid w:val="00020227"/>
    <w:rsid w:val="00020263"/>
    <w:rsid w:val="00020455"/>
    <w:rsid w:val="00020813"/>
    <w:rsid w:val="000215D0"/>
    <w:rsid w:val="00021F52"/>
    <w:rsid w:val="00021FCF"/>
    <w:rsid w:val="000220B2"/>
    <w:rsid w:val="0002264C"/>
    <w:rsid w:val="00022731"/>
    <w:rsid w:val="00022792"/>
    <w:rsid w:val="00023287"/>
    <w:rsid w:val="00024061"/>
    <w:rsid w:val="00024463"/>
    <w:rsid w:val="00025461"/>
    <w:rsid w:val="00025636"/>
    <w:rsid w:val="00025E36"/>
    <w:rsid w:val="000260F7"/>
    <w:rsid w:val="00026855"/>
    <w:rsid w:val="00026886"/>
    <w:rsid w:val="0002754F"/>
    <w:rsid w:val="0002785D"/>
    <w:rsid w:val="000307BE"/>
    <w:rsid w:val="00031DD0"/>
    <w:rsid w:val="00032633"/>
    <w:rsid w:val="000326A2"/>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EE8"/>
    <w:rsid w:val="000439AA"/>
    <w:rsid w:val="0004440C"/>
    <w:rsid w:val="00046B5E"/>
    <w:rsid w:val="000470CB"/>
    <w:rsid w:val="000506DE"/>
    <w:rsid w:val="000509D9"/>
    <w:rsid w:val="00051006"/>
    <w:rsid w:val="00051165"/>
    <w:rsid w:val="000512AF"/>
    <w:rsid w:val="00051ACB"/>
    <w:rsid w:val="000533E7"/>
    <w:rsid w:val="00053B29"/>
    <w:rsid w:val="00054B4B"/>
    <w:rsid w:val="000550E8"/>
    <w:rsid w:val="00055519"/>
    <w:rsid w:val="00055D41"/>
    <w:rsid w:val="00056EF6"/>
    <w:rsid w:val="000575CF"/>
    <w:rsid w:val="00057CD6"/>
    <w:rsid w:val="00060D7F"/>
    <w:rsid w:val="00060DCE"/>
    <w:rsid w:val="000610E3"/>
    <w:rsid w:val="000614F3"/>
    <w:rsid w:val="00061A1B"/>
    <w:rsid w:val="000623B4"/>
    <w:rsid w:val="00062405"/>
    <w:rsid w:val="00062EC2"/>
    <w:rsid w:val="000634A7"/>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40E"/>
    <w:rsid w:val="00076D70"/>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44FC"/>
    <w:rsid w:val="0009560F"/>
    <w:rsid w:val="0009588E"/>
    <w:rsid w:val="000959EE"/>
    <w:rsid w:val="00096C2E"/>
    <w:rsid w:val="00096DB9"/>
    <w:rsid w:val="00097183"/>
    <w:rsid w:val="000972CB"/>
    <w:rsid w:val="00097608"/>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A12"/>
    <w:rsid w:val="000A7A72"/>
    <w:rsid w:val="000B0FE0"/>
    <w:rsid w:val="000B1202"/>
    <w:rsid w:val="000B12FF"/>
    <w:rsid w:val="000B1801"/>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FC"/>
    <w:rsid w:val="000B7E0A"/>
    <w:rsid w:val="000C09A4"/>
    <w:rsid w:val="000C144E"/>
    <w:rsid w:val="000C1679"/>
    <w:rsid w:val="000C190E"/>
    <w:rsid w:val="000C1953"/>
    <w:rsid w:val="000C1BFE"/>
    <w:rsid w:val="000C1EE3"/>
    <w:rsid w:val="000C3AE7"/>
    <w:rsid w:val="000C3CC9"/>
    <w:rsid w:val="000C3DBC"/>
    <w:rsid w:val="000C5823"/>
    <w:rsid w:val="000C59C6"/>
    <w:rsid w:val="000C6DE4"/>
    <w:rsid w:val="000C7202"/>
    <w:rsid w:val="000C7432"/>
    <w:rsid w:val="000C7926"/>
    <w:rsid w:val="000D0A89"/>
    <w:rsid w:val="000D10F1"/>
    <w:rsid w:val="000D1389"/>
    <w:rsid w:val="000D1798"/>
    <w:rsid w:val="000D2626"/>
    <w:rsid w:val="000D264F"/>
    <w:rsid w:val="000D2BEF"/>
    <w:rsid w:val="000D2CD3"/>
    <w:rsid w:val="000D4016"/>
    <w:rsid w:val="000D411D"/>
    <w:rsid w:val="000D4589"/>
    <w:rsid w:val="000D4809"/>
    <w:rsid w:val="000D484F"/>
    <w:rsid w:val="000D4FB6"/>
    <w:rsid w:val="000D5C29"/>
    <w:rsid w:val="000D6F6B"/>
    <w:rsid w:val="000D73DD"/>
    <w:rsid w:val="000E02E8"/>
    <w:rsid w:val="000E1C38"/>
    <w:rsid w:val="000E1C51"/>
    <w:rsid w:val="000E1D3E"/>
    <w:rsid w:val="000E28AB"/>
    <w:rsid w:val="000E2E3E"/>
    <w:rsid w:val="000E3583"/>
    <w:rsid w:val="000E3AF0"/>
    <w:rsid w:val="000E43EC"/>
    <w:rsid w:val="000E4DC7"/>
    <w:rsid w:val="000E4E04"/>
    <w:rsid w:val="000E592E"/>
    <w:rsid w:val="000E693B"/>
    <w:rsid w:val="000E6D5C"/>
    <w:rsid w:val="000E6EC9"/>
    <w:rsid w:val="000E6FB6"/>
    <w:rsid w:val="000E70B4"/>
    <w:rsid w:val="000E7B62"/>
    <w:rsid w:val="000E7EDC"/>
    <w:rsid w:val="000F085D"/>
    <w:rsid w:val="000F0E1E"/>
    <w:rsid w:val="000F1129"/>
    <w:rsid w:val="000F1A1B"/>
    <w:rsid w:val="000F2A95"/>
    <w:rsid w:val="000F2BB7"/>
    <w:rsid w:val="000F3281"/>
    <w:rsid w:val="000F32FD"/>
    <w:rsid w:val="000F3733"/>
    <w:rsid w:val="000F5B2B"/>
    <w:rsid w:val="000F5F8B"/>
    <w:rsid w:val="000F6153"/>
    <w:rsid w:val="000F64AA"/>
    <w:rsid w:val="000F6C7B"/>
    <w:rsid w:val="000F73AD"/>
    <w:rsid w:val="000F7AF4"/>
    <w:rsid w:val="000F7C33"/>
    <w:rsid w:val="000F7F0C"/>
    <w:rsid w:val="001004D6"/>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01C1"/>
    <w:rsid w:val="00121979"/>
    <w:rsid w:val="00122064"/>
    <w:rsid w:val="0012301B"/>
    <w:rsid w:val="00123428"/>
    <w:rsid w:val="00124341"/>
    <w:rsid w:val="00124492"/>
    <w:rsid w:val="00124B12"/>
    <w:rsid w:val="001250A0"/>
    <w:rsid w:val="001263B8"/>
    <w:rsid w:val="00130217"/>
    <w:rsid w:val="00130641"/>
    <w:rsid w:val="00130783"/>
    <w:rsid w:val="00130A47"/>
    <w:rsid w:val="00130FB0"/>
    <w:rsid w:val="00132B47"/>
    <w:rsid w:val="00132DDA"/>
    <w:rsid w:val="0013346C"/>
    <w:rsid w:val="001337F8"/>
    <w:rsid w:val="001341B2"/>
    <w:rsid w:val="001348B4"/>
    <w:rsid w:val="00134B1F"/>
    <w:rsid w:val="0013506E"/>
    <w:rsid w:val="00135147"/>
    <w:rsid w:val="001351CB"/>
    <w:rsid w:val="00135530"/>
    <w:rsid w:val="00135947"/>
    <w:rsid w:val="001359A2"/>
    <w:rsid w:val="00135F92"/>
    <w:rsid w:val="00136020"/>
    <w:rsid w:val="00136445"/>
    <w:rsid w:val="00136965"/>
    <w:rsid w:val="00136A9C"/>
    <w:rsid w:val="00137389"/>
    <w:rsid w:val="00140132"/>
    <w:rsid w:val="00141455"/>
    <w:rsid w:val="0014190C"/>
    <w:rsid w:val="00141B9B"/>
    <w:rsid w:val="00141C9C"/>
    <w:rsid w:val="0014277F"/>
    <w:rsid w:val="00142AD2"/>
    <w:rsid w:val="001434BE"/>
    <w:rsid w:val="00143AAD"/>
    <w:rsid w:val="00144050"/>
    <w:rsid w:val="00144369"/>
    <w:rsid w:val="00144398"/>
    <w:rsid w:val="0014479F"/>
    <w:rsid w:val="001452B4"/>
    <w:rsid w:val="00145320"/>
    <w:rsid w:val="00145B3E"/>
    <w:rsid w:val="001476D3"/>
    <w:rsid w:val="001509CF"/>
    <w:rsid w:val="00150D1D"/>
    <w:rsid w:val="001525AA"/>
    <w:rsid w:val="00152A87"/>
    <w:rsid w:val="00152AC1"/>
    <w:rsid w:val="00153A84"/>
    <w:rsid w:val="00153BB5"/>
    <w:rsid w:val="00154518"/>
    <w:rsid w:val="00154D26"/>
    <w:rsid w:val="001556B8"/>
    <w:rsid w:val="00156359"/>
    <w:rsid w:val="00156DD6"/>
    <w:rsid w:val="00160238"/>
    <w:rsid w:val="0016086E"/>
    <w:rsid w:val="001609B9"/>
    <w:rsid w:val="00160B2E"/>
    <w:rsid w:val="00160D0C"/>
    <w:rsid w:val="00160DD1"/>
    <w:rsid w:val="00161172"/>
    <w:rsid w:val="00161998"/>
    <w:rsid w:val="00161E65"/>
    <w:rsid w:val="00161F0E"/>
    <w:rsid w:val="00162597"/>
    <w:rsid w:val="0016288C"/>
    <w:rsid w:val="001629AF"/>
    <w:rsid w:val="001629FD"/>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13DA"/>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4E2"/>
    <w:rsid w:val="00181813"/>
    <w:rsid w:val="00181EAD"/>
    <w:rsid w:val="00182862"/>
    <w:rsid w:val="00182FBD"/>
    <w:rsid w:val="00184F57"/>
    <w:rsid w:val="00185091"/>
    <w:rsid w:val="00185544"/>
    <w:rsid w:val="00185617"/>
    <w:rsid w:val="00186FE1"/>
    <w:rsid w:val="00187A14"/>
    <w:rsid w:val="00190D50"/>
    <w:rsid w:val="00191177"/>
    <w:rsid w:val="0019171E"/>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7C9"/>
    <w:rsid w:val="001B59FF"/>
    <w:rsid w:val="001B5D13"/>
    <w:rsid w:val="001B6512"/>
    <w:rsid w:val="001B65D7"/>
    <w:rsid w:val="001B6752"/>
    <w:rsid w:val="001B6768"/>
    <w:rsid w:val="001B6F1F"/>
    <w:rsid w:val="001B6F35"/>
    <w:rsid w:val="001B7ECC"/>
    <w:rsid w:val="001C025B"/>
    <w:rsid w:val="001C059D"/>
    <w:rsid w:val="001C115F"/>
    <w:rsid w:val="001C1DED"/>
    <w:rsid w:val="001C1EAB"/>
    <w:rsid w:val="001C25A7"/>
    <w:rsid w:val="001C2775"/>
    <w:rsid w:val="001C2A1D"/>
    <w:rsid w:val="001C318C"/>
    <w:rsid w:val="001C35C4"/>
    <w:rsid w:val="001C4287"/>
    <w:rsid w:val="001C4479"/>
    <w:rsid w:val="001C4F79"/>
    <w:rsid w:val="001C5190"/>
    <w:rsid w:val="001C6081"/>
    <w:rsid w:val="001C7284"/>
    <w:rsid w:val="001C73EB"/>
    <w:rsid w:val="001C7781"/>
    <w:rsid w:val="001C7B48"/>
    <w:rsid w:val="001D0CFB"/>
    <w:rsid w:val="001D108A"/>
    <w:rsid w:val="001D1A0D"/>
    <w:rsid w:val="001D1DD1"/>
    <w:rsid w:val="001D23DA"/>
    <w:rsid w:val="001D267C"/>
    <w:rsid w:val="001D2F77"/>
    <w:rsid w:val="001D343C"/>
    <w:rsid w:val="001D56E2"/>
    <w:rsid w:val="001D58A1"/>
    <w:rsid w:val="001D58C2"/>
    <w:rsid w:val="001D5A8A"/>
    <w:rsid w:val="001D5B64"/>
    <w:rsid w:val="001D61CA"/>
    <w:rsid w:val="001D654A"/>
    <w:rsid w:val="001D6E87"/>
    <w:rsid w:val="001D735E"/>
    <w:rsid w:val="001D73C8"/>
    <w:rsid w:val="001D7BC6"/>
    <w:rsid w:val="001E129E"/>
    <w:rsid w:val="001E175C"/>
    <w:rsid w:val="001E1B0E"/>
    <w:rsid w:val="001E308A"/>
    <w:rsid w:val="001E38EC"/>
    <w:rsid w:val="001E3B63"/>
    <w:rsid w:val="001E57B2"/>
    <w:rsid w:val="001E5A94"/>
    <w:rsid w:val="001E5CBB"/>
    <w:rsid w:val="001E5CDC"/>
    <w:rsid w:val="001E6CE9"/>
    <w:rsid w:val="001E7416"/>
    <w:rsid w:val="001F13FD"/>
    <w:rsid w:val="001F2A2E"/>
    <w:rsid w:val="001F3180"/>
    <w:rsid w:val="001F3356"/>
    <w:rsid w:val="001F3A99"/>
    <w:rsid w:val="001F3C63"/>
    <w:rsid w:val="001F4141"/>
    <w:rsid w:val="001F4460"/>
    <w:rsid w:val="001F4833"/>
    <w:rsid w:val="001F6C96"/>
    <w:rsid w:val="001F711A"/>
    <w:rsid w:val="001F75B0"/>
    <w:rsid w:val="001F7CBE"/>
    <w:rsid w:val="0020057C"/>
    <w:rsid w:val="0020083C"/>
    <w:rsid w:val="00200CE5"/>
    <w:rsid w:val="00200F7C"/>
    <w:rsid w:val="002014DB"/>
    <w:rsid w:val="0020150B"/>
    <w:rsid w:val="00201E12"/>
    <w:rsid w:val="00202295"/>
    <w:rsid w:val="002033B5"/>
    <w:rsid w:val="0020382C"/>
    <w:rsid w:val="002042E9"/>
    <w:rsid w:val="0020437A"/>
    <w:rsid w:val="0020454C"/>
    <w:rsid w:val="00204740"/>
    <w:rsid w:val="00205129"/>
    <w:rsid w:val="0020521F"/>
    <w:rsid w:val="0020532C"/>
    <w:rsid w:val="00206AE8"/>
    <w:rsid w:val="002114C7"/>
    <w:rsid w:val="00211A7B"/>
    <w:rsid w:val="0021302C"/>
    <w:rsid w:val="002139F1"/>
    <w:rsid w:val="00213B1C"/>
    <w:rsid w:val="00213F1E"/>
    <w:rsid w:val="00214202"/>
    <w:rsid w:val="002148E3"/>
    <w:rsid w:val="00214C1A"/>
    <w:rsid w:val="0021552D"/>
    <w:rsid w:val="002156AE"/>
    <w:rsid w:val="0021577B"/>
    <w:rsid w:val="00215DC7"/>
    <w:rsid w:val="00215E99"/>
    <w:rsid w:val="00217B07"/>
    <w:rsid w:val="00217C26"/>
    <w:rsid w:val="00220043"/>
    <w:rsid w:val="0022054D"/>
    <w:rsid w:val="0022107B"/>
    <w:rsid w:val="00221805"/>
    <w:rsid w:val="002223EB"/>
    <w:rsid w:val="00223DDB"/>
    <w:rsid w:val="00223FA4"/>
    <w:rsid w:val="00223FB0"/>
    <w:rsid w:val="0022405A"/>
    <w:rsid w:val="00224067"/>
    <w:rsid w:val="0022421C"/>
    <w:rsid w:val="0022454F"/>
    <w:rsid w:val="00224C4A"/>
    <w:rsid w:val="00224E83"/>
    <w:rsid w:val="00225664"/>
    <w:rsid w:val="00225F84"/>
    <w:rsid w:val="0022663D"/>
    <w:rsid w:val="00226995"/>
    <w:rsid w:val="0022755B"/>
    <w:rsid w:val="00227C56"/>
    <w:rsid w:val="00227F2D"/>
    <w:rsid w:val="00227F52"/>
    <w:rsid w:val="00231851"/>
    <w:rsid w:val="002319FB"/>
    <w:rsid w:val="00231B89"/>
    <w:rsid w:val="00231F11"/>
    <w:rsid w:val="00231F5E"/>
    <w:rsid w:val="00233395"/>
    <w:rsid w:val="002346B4"/>
    <w:rsid w:val="00234F6E"/>
    <w:rsid w:val="002351FA"/>
    <w:rsid w:val="002355BE"/>
    <w:rsid w:val="002358EA"/>
    <w:rsid w:val="0023609B"/>
    <w:rsid w:val="00236578"/>
    <w:rsid w:val="00236A10"/>
    <w:rsid w:val="00236DE9"/>
    <w:rsid w:val="00237342"/>
    <w:rsid w:val="00237D5A"/>
    <w:rsid w:val="002407BA"/>
    <w:rsid w:val="00240922"/>
    <w:rsid w:val="00240D75"/>
    <w:rsid w:val="00240F92"/>
    <w:rsid w:val="00241288"/>
    <w:rsid w:val="002412E4"/>
    <w:rsid w:val="002415AE"/>
    <w:rsid w:val="00241B38"/>
    <w:rsid w:val="00241BC7"/>
    <w:rsid w:val="00241D3C"/>
    <w:rsid w:val="00242109"/>
    <w:rsid w:val="00242B6B"/>
    <w:rsid w:val="00243189"/>
    <w:rsid w:val="002439AB"/>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8A8"/>
    <w:rsid w:val="00251C4A"/>
    <w:rsid w:val="0025271C"/>
    <w:rsid w:val="0025277A"/>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B14"/>
    <w:rsid w:val="00265A12"/>
    <w:rsid w:val="00266165"/>
    <w:rsid w:val="00266F2C"/>
    <w:rsid w:val="00267910"/>
    <w:rsid w:val="00267DAF"/>
    <w:rsid w:val="00270122"/>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F6B"/>
    <w:rsid w:val="002807B0"/>
    <w:rsid w:val="00281B9B"/>
    <w:rsid w:val="0028282C"/>
    <w:rsid w:val="00282D56"/>
    <w:rsid w:val="002835B0"/>
    <w:rsid w:val="00283C74"/>
    <w:rsid w:val="0028407E"/>
    <w:rsid w:val="0028410F"/>
    <w:rsid w:val="00284572"/>
    <w:rsid w:val="002850AA"/>
    <w:rsid w:val="00285221"/>
    <w:rsid w:val="00286FB5"/>
    <w:rsid w:val="00287763"/>
    <w:rsid w:val="00290606"/>
    <w:rsid w:val="002908D0"/>
    <w:rsid w:val="002909B2"/>
    <w:rsid w:val="00291D6D"/>
    <w:rsid w:val="00291FF1"/>
    <w:rsid w:val="00292AA2"/>
    <w:rsid w:val="00293361"/>
    <w:rsid w:val="00293B47"/>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3B7"/>
    <w:rsid w:val="002A3950"/>
    <w:rsid w:val="002A3A57"/>
    <w:rsid w:val="002A4320"/>
    <w:rsid w:val="002A4B4F"/>
    <w:rsid w:val="002A57A8"/>
    <w:rsid w:val="002A5D75"/>
    <w:rsid w:val="002A6DEF"/>
    <w:rsid w:val="002A6F58"/>
    <w:rsid w:val="002A739E"/>
    <w:rsid w:val="002A770B"/>
    <w:rsid w:val="002B013E"/>
    <w:rsid w:val="002B058D"/>
    <w:rsid w:val="002B0C16"/>
    <w:rsid w:val="002B1BA5"/>
    <w:rsid w:val="002B1E01"/>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DC4"/>
    <w:rsid w:val="002C03AE"/>
    <w:rsid w:val="002C0C1C"/>
    <w:rsid w:val="002C10A7"/>
    <w:rsid w:val="002C1190"/>
    <w:rsid w:val="002C2CC9"/>
    <w:rsid w:val="002C41BF"/>
    <w:rsid w:val="002C5023"/>
    <w:rsid w:val="002C5424"/>
    <w:rsid w:val="002C54C2"/>
    <w:rsid w:val="002C5D34"/>
    <w:rsid w:val="002C60BB"/>
    <w:rsid w:val="002C661A"/>
    <w:rsid w:val="002D06EE"/>
    <w:rsid w:val="002D073E"/>
    <w:rsid w:val="002D0A40"/>
    <w:rsid w:val="002D0D6F"/>
    <w:rsid w:val="002D1E81"/>
    <w:rsid w:val="002D25FC"/>
    <w:rsid w:val="002D46AB"/>
    <w:rsid w:val="002D4AC6"/>
    <w:rsid w:val="002D59BF"/>
    <w:rsid w:val="002D5BF5"/>
    <w:rsid w:val="002D5EE8"/>
    <w:rsid w:val="002D63F6"/>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16DD"/>
    <w:rsid w:val="002F199D"/>
    <w:rsid w:val="002F1B2C"/>
    <w:rsid w:val="002F213C"/>
    <w:rsid w:val="002F2453"/>
    <w:rsid w:val="002F2607"/>
    <w:rsid w:val="002F30BD"/>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2EFC"/>
    <w:rsid w:val="00303243"/>
    <w:rsid w:val="00303BCC"/>
    <w:rsid w:val="00303F2B"/>
    <w:rsid w:val="00303F8D"/>
    <w:rsid w:val="0030572D"/>
    <w:rsid w:val="0030586A"/>
    <w:rsid w:val="00305A5E"/>
    <w:rsid w:val="0030622D"/>
    <w:rsid w:val="00306811"/>
    <w:rsid w:val="00306F32"/>
    <w:rsid w:val="003074C5"/>
    <w:rsid w:val="00307A3C"/>
    <w:rsid w:val="00307FA4"/>
    <w:rsid w:val="00310290"/>
    <w:rsid w:val="003103B1"/>
    <w:rsid w:val="00310CC1"/>
    <w:rsid w:val="003118A8"/>
    <w:rsid w:val="00312504"/>
    <w:rsid w:val="00312B89"/>
    <w:rsid w:val="00313026"/>
    <w:rsid w:val="00313913"/>
    <w:rsid w:val="00313DAA"/>
    <w:rsid w:val="0031421F"/>
    <w:rsid w:val="0031466A"/>
    <w:rsid w:val="00314B31"/>
    <w:rsid w:val="00314D86"/>
    <w:rsid w:val="003151F4"/>
    <w:rsid w:val="00315569"/>
    <w:rsid w:val="00315A65"/>
    <w:rsid w:val="003165D7"/>
    <w:rsid w:val="0031666B"/>
    <w:rsid w:val="00316ABE"/>
    <w:rsid w:val="00317601"/>
    <w:rsid w:val="00317BA7"/>
    <w:rsid w:val="00317EB1"/>
    <w:rsid w:val="00320BE2"/>
    <w:rsid w:val="0032188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30C9"/>
    <w:rsid w:val="0033342D"/>
    <w:rsid w:val="0033364C"/>
    <w:rsid w:val="00334415"/>
    <w:rsid w:val="0033481F"/>
    <w:rsid w:val="00335EA1"/>
    <w:rsid w:val="0033691E"/>
    <w:rsid w:val="00336A6A"/>
    <w:rsid w:val="00336CCB"/>
    <w:rsid w:val="003411D1"/>
    <w:rsid w:val="003416BA"/>
    <w:rsid w:val="00342148"/>
    <w:rsid w:val="00342658"/>
    <w:rsid w:val="003427BE"/>
    <w:rsid w:val="00342F99"/>
    <w:rsid w:val="00343AEA"/>
    <w:rsid w:val="00344D99"/>
    <w:rsid w:val="0034575A"/>
    <w:rsid w:val="00345F1D"/>
    <w:rsid w:val="00345F57"/>
    <w:rsid w:val="0034698A"/>
    <w:rsid w:val="00350458"/>
    <w:rsid w:val="00350E6C"/>
    <w:rsid w:val="0035153C"/>
    <w:rsid w:val="003518A6"/>
    <w:rsid w:val="00351E7F"/>
    <w:rsid w:val="00352953"/>
    <w:rsid w:val="00353D91"/>
    <w:rsid w:val="00354062"/>
    <w:rsid w:val="0035459E"/>
    <w:rsid w:val="00354AE9"/>
    <w:rsid w:val="00355527"/>
    <w:rsid w:val="00355C0D"/>
    <w:rsid w:val="003560A6"/>
    <w:rsid w:val="003566A9"/>
    <w:rsid w:val="00356988"/>
    <w:rsid w:val="003569D3"/>
    <w:rsid w:val="00356CE9"/>
    <w:rsid w:val="00356D82"/>
    <w:rsid w:val="003570BB"/>
    <w:rsid w:val="00357128"/>
    <w:rsid w:val="0035755E"/>
    <w:rsid w:val="00357A80"/>
    <w:rsid w:val="00360116"/>
    <w:rsid w:val="00360AEB"/>
    <w:rsid w:val="00361441"/>
    <w:rsid w:val="00361B8B"/>
    <w:rsid w:val="00363F39"/>
    <w:rsid w:val="003640FC"/>
    <w:rsid w:val="0036445C"/>
    <w:rsid w:val="00364627"/>
    <w:rsid w:val="00364AB0"/>
    <w:rsid w:val="00364D71"/>
    <w:rsid w:val="003667B0"/>
    <w:rsid w:val="003667DD"/>
    <w:rsid w:val="00366B48"/>
    <w:rsid w:val="00366D71"/>
    <w:rsid w:val="003674FB"/>
    <w:rsid w:val="00367721"/>
    <w:rsid w:val="00367764"/>
    <w:rsid w:val="00370316"/>
    <w:rsid w:val="00370DC7"/>
    <w:rsid w:val="003713D7"/>
    <w:rsid w:val="003714AC"/>
    <w:rsid w:val="00371CBD"/>
    <w:rsid w:val="00371F20"/>
    <w:rsid w:val="003721E3"/>
    <w:rsid w:val="00372B98"/>
    <w:rsid w:val="003737B7"/>
    <w:rsid w:val="003740CC"/>
    <w:rsid w:val="003745F4"/>
    <w:rsid w:val="0037491A"/>
    <w:rsid w:val="00374E79"/>
    <w:rsid w:val="0037529A"/>
    <w:rsid w:val="00375388"/>
    <w:rsid w:val="00375559"/>
    <w:rsid w:val="003759E2"/>
    <w:rsid w:val="00375FB9"/>
    <w:rsid w:val="00376170"/>
    <w:rsid w:val="003762F9"/>
    <w:rsid w:val="003766DE"/>
    <w:rsid w:val="00376851"/>
    <w:rsid w:val="00376FA2"/>
    <w:rsid w:val="00377133"/>
    <w:rsid w:val="00377A3B"/>
    <w:rsid w:val="00377B8B"/>
    <w:rsid w:val="00377E3C"/>
    <w:rsid w:val="00377F89"/>
    <w:rsid w:val="00380874"/>
    <w:rsid w:val="00380878"/>
    <w:rsid w:val="00380BBE"/>
    <w:rsid w:val="00380EA3"/>
    <w:rsid w:val="00381243"/>
    <w:rsid w:val="00381B1B"/>
    <w:rsid w:val="00381D70"/>
    <w:rsid w:val="0038235E"/>
    <w:rsid w:val="0038260A"/>
    <w:rsid w:val="003829D0"/>
    <w:rsid w:val="0038326A"/>
    <w:rsid w:val="0038444F"/>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EC8"/>
    <w:rsid w:val="00395E42"/>
    <w:rsid w:val="00396409"/>
    <w:rsid w:val="00396A2D"/>
    <w:rsid w:val="00396FC3"/>
    <w:rsid w:val="0039779B"/>
    <w:rsid w:val="003A13E2"/>
    <w:rsid w:val="003A1431"/>
    <w:rsid w:val="003A1936"/>
    <w:rsid w:val="003A1A94"/>
    <w:rsid w:val="003A1FF5"/>
    <w:rsid w:val="003A204E"/>
    <w:rsid w:val="003A2B19"/>
    <w:rsid w:val="003A2D25"/>
    <w:rsid w:val="003A2DB1"/>
    <w:rsid w:val="003A5101"/>
    <w:rsid w:val="003A51BE"/>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A90"/>
    <w:rsid w:val="003B3D01"/>
    <w:rsid w:val="003B534F"/>
    <w:rsid w:val="003B7A79"/>
    <w:rsid w:val="003C0FE1"/>
    <w:rsid w:val="003C151A"/>
    <w:rsid w:val="003C1D27"/>
    <w:rsid w:val="003C33A0"/>
    <w:rsid w:val="003C350C"/>
    <w:rsid w:val="003C3733"/>
    <w:rsid w:val="003C3903"/>
    <w:rsid w:val="003C3BA0"/>
    <w:rsid w:val="003C4580"/>
    <w:rsid w:val="003C51C0"/>
    <w:rsid w:val="003C5C5E"/>
    <w:rsid w:val="003C65D3"/>
    <w:rsid w:val="003C6692"/>
    <w:rsid w:val="003C6746"/>
    <w:rsid w:val="003C7555"/>
    <w:rsid w:val="003C7898"/>
    <w:rsid w:val="003D0FF5"/>
    <w:rsid w:val="003D11A3"/>
    <w:rsid w:val="003D1537"/>
    <w:rsid w:val="003D183C"/>
    <w:rsid w:val="003D214B"/>
    <w:rsid w:val="003D2D1B"/>
    <w:rsid w:val="003D3558"/>
    <w:rsid w:val="003D36C0"/>
    <w:rsid w:val="003D40E5"/>
    <w:rsid w:val="003D48C7"/>
    <w:rsid w:val="003D4C27"/>
    <w:rsid w:val="003D6D03"/>
    <w:rsid w:val="003D7109"/>
    <w:rsid w:val="003D7CE8"/>
    <w:rsid w:val="003D7CEF"/>
    <w:rsid w:val="003E0514"/>
    <w:rsid w:val="003E0BAA"/>
    <w:rsid w:val="003E1032"/>
    <w:rsid w:val="003E1904"/>
    <w:rsid w:val="003E285E"/>
    <w:rsid w:val="003E2BD8"/>
    <w:rsid w:val="003E3124"/>
    <w:rsid w:val="003E3300"/>
    <w:rsid w:val="003E3BC7"/>
    <w:rsid w:val="003E43D3"/>
    <w:rsid w:val="003E48E1"/>
    <w:rsid w:val="003E50F4"/>
    <w:rsid w:val="003E59BB"/>
    <w:rsid w:val="003E6225"/>
    <w:rsid w:val="003E65AC"/>
    <w:rsid w:val="003E66AE"/>
    <w:rsid w:val="003E6CFE"/>
    <w:rsid w:val="003E72B9"/>
    <w:rsid w:val="003E7612"/>
    <w:rsid w:val="003E7ED4"/>
    <w:rsid w:val="003F0187"/>
    <w:rsid w:val="003F0CAA"/>
    <w:rsid w:val="003F0E52"/>
    <w:rsid w:val="003F0F6B"/>
    <w:rsid w:val="003F1FC6"/>
    <w:rsid w:val="003F1FE3"/>
    <w:rsid w:val="003F2112"/>
    <w:rsid w:val="003F2359"/>
    <w:rsid w:val="003F2457"/>
    <w:rsid w:val="003F3232"/>
    <w:rsid w:val="003F359A"/>
    <w:rsid w:val="003F3865"/>
    <w:rsid w:val="003F38AC"/>
    <w:rsid w:val="003F3D55"/>
    <w:rsid w:val="003F44E2"/>
    <w:rsid w:val="003F4632"/>
    <w:rsid w:val="003F47BA"/>
    <w:rsid w:val="003F49F3"/>
    <w:rsid w:val="003F4FE6"/>
    <w:rsid w:val="003F5638"/>
    <w:rsid w:val="003F6617"/>
    <w:rsid w:val="003F7F36"/>
    <w:rsid w:val="00400A58"/>
    <w:rsid w:val="00402332"/>
    <w:rsid w:val="004025C2"/>
    <w:rsid w:val="00403195"/>
    <w:rsid w:val="004033A9"/>
    <w:rsid w:val="00403E55"/>
    <w:rsid w:val="0040407C"/>
    <w:rsid w:val="0040416C"/>
    <w:rsid w:val="004041CA"/>
    <w:rsid w:val="004044B4"/>
    <w:rsid w:val="00404681"/>
    <w:rsid w:val="004048F9"/>
    <w:rsid w:val="00404A80"/>
    <w:rsid w:val="00405445"/>
    <w:rsid w:val="00405AC1"/>
    <w:rsid w:val="00406923"/>
    <w:rsid w:val="0040763D"/>
    <w:rsid w:val="0041038E"/>
    <w:rsid w:val="00410D17"/>
    <w:rsid w:val="0041183A"/>
    <w:rsid w:val="00412656"/>
    <w:rsid w:val="00412AA9"/>
    <w:rsid w:val="00413442"/>
    <w:rsid w:val="0041368D"/>
    <w:rsid w:val="00413821"/>
    <w:rsid w:val="00413BA5"/>
    <w:rsid w:val="004141A3"/>
    <w:rsid w:val="00414909"/>
    <w:rsid w:val="0041582F"/>
    <w:rsid w:val="00415AC9"/>
    <w:rsid w:val="00415CF3"/>
    <w:rsid w:val="00415F5B"/>
    <w:rsid w:val="00416112"/>
    <w:rsid w:val="004167AD"/>
    <w:rsid w:val="0041716A"/>
    <w:rsid w:val="00417A18"/>
    <w:rsid w:val="00417AE0"/>
    <w:rsid w:val="00417BAA"/>
    <w:rsid w:val="0042042B"/>
    <w:rsid w:val="00420B45"/>
    <w:rsid w:val="00420D7A"/>
    <w:rsid w:val="00421257"/>
    <w:rsid w:val="00422193"/>
    <w:rsid w:val="004223DE"/>
    <w:rsid w:val="00422645"/>
    <w:rsid w:val="00422A10"/>
    <w:rsid w:val="00424D17"/>
    <w:rsid w:val="004259FC"/>
    <w:rsid w:val="00425DFD"/>
    <w:rsid w:val="00425EA9"/>
    <w:rsid w:val="004263A3"/>
    <w:rsid w:val="0042711B"/>
    <w:rsid w:val="00427713"/>
    <w:rsid w:val="00427C77"/>
    <w:rsid w:val="00427CCC"/>
    <w:rsid w:val="0043013A"/>
    <w:rsid w:val="004302BE"/>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68C9"/>
    <w:rsid w:val="004371D5"/>
    <w:rsid w:val="0043773F"/>
    <w:rsid w:val="00437FBF"/>
    <w:rsid w:val="0044006B"/>
    <w:rsid w:val="0044033F"/>
    <w:rsid w:val="00440576"/>
    <w:rsid w:val="00440630"/>
    <w:rsid w:val="00440E07"/>
    <w:rsid w:val="0044142F"/>
    <w:rsid w:val="00441F0F"/>
    <w:rsid w:val="00442965"/>
    <w:rsid w:val="004432B6"/>
    <w:rsid w:val="00444157"/>
    <w:rsid w:val="0044417C"/>
    <w:rsid w:val="00444DB3"/>
    <w:rsid w:val="00445617"/>
    <w:rsid w:val="00445A2F"/>
    <w:rsid w:val="0044680A"/>
    <w:rsid w:val="0044684E"/>
    <w:rsid w:val="00446F22"/>
    <w:rsid w:val="0045019F"/>
    <w:rsid w:val="004503A4"/>
    <w:rsid w:val="00450555"/>
    <w:rsid w:val="004506FA"/>
    <w:rsid w:val="00450DC6"/>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F74"/>
    <w:rsid w:val="004604D5"/>
    <w:rsid w:val="004605C6"/>
    <w:rsid w:val="00460697"/>
    <w:rsid w:val="0046117B"/>
    <w:rsid w:val="00461735"/>
    <w:rsid w:val="00461FC2"/>
    <w:rsid w:val="004632B9"/>
    <w:rsid w:val="00464AB7"/>
    <w:rsid w:val="00465DE5"/>
    <w:rsid w:val="00466103"/>
    <w:rsid w:val="00467A83"/>
    <w:rsid w:val="00467EF8"/>
    <w:rsid w:val="00470006"/>
    <w:rsid w:val="00470611"/>
    <w:rsid w:val="00470848"/>
    <w:rsid w:val="00471AC3"/>
    <w:rsid w:val="00472429"/>
    <w:rsid w:val="004725E5"/>
    <w:rsid w:val="00472751"/>
    <w:rsid w:val="00473128"/>
    <w:rsid w:val="004748A5"/>
    <w:rsid w:val="00475078"/>
    <w:rsid w:val="00475767"/>
    <w:rsid w:val="004779A0"/>
    <w:rsid w:val="00477F17"/>
    <w:rsid w:val="00480363"/>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4D4"/>
    <w:rsid w:val="00486D60"/>
    <w:rsid w:val="00486DBC"/>
    <w:rsid w:val="00491FA1"/>
    <w:rsid w:val="00492A25"/>
    <w:rsid w:val="004938A3"/>
    <w:rsid w:val="004950A6"/>
    <w:rsid w:val="0049558B"/>
    <w:rsid w:val="00496254"/>
    <w:rsid w:val="00496350"/>
    <w:rsid w:val="004974A4"/>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EDE"/>
    <w:rsid w:val="004B0D93"/>
    <w:rsid w:val="004B19C8"/>
    <w:rsid w:val="004B1FA4"/>
    <w:rsid w:val="004B29AC"/>
    <w:rsid w:val="004B35DF"/>
    <w:rsid w:val="004B3627"/>
    <w:rsid w:val="004B3837"/>
    <w:rsid w:val="004B4922"/>
    <w:rsid w:val="004B57DF"/>
    <w:rsid w:val="004B5976"/>
    <w:rsid w:val="004B6E54"/>
    <w:rsid w:val="004B722E"/>
    <w:rsid w:val="004B72E8"/>
    <w:rsid w:val="004B771A"/>
    <w:rsid w:val="004C01A5"/>
    <w:rsid w:val="004C0412"/>
    <w:rsid w:val="004C0882"/>
    <w:rsid w:val="004C0D7C"/>
    <w:rsid w:val="004C2138"/>
    <w:rsid w:val="004C2B69"/>
    <w:rsid w:val="004C302E"/>
    <w:rsid w:val="004C3940"/>
    <w:rsid w:val="004C51FD"/>
    <w:rsid w:val="004C5ED7"/>
    <w:rsid w:val="004C65A8"/>
    <w:rsid w:val="004C6689"/>
    <w:rsid w:val="004C6BF3"/>
    <w:rsid w:val="004C7408"/>
    <w:rsid w:val="004C7850"/>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B54"/>
    <w:rsid w:val="004D5C03"/>
    <w:rsid w:val="004D5D45"/>
    <w:rsid w:val="004D618D"/>
    <w:rsid w:val="004D62A9"/>
    <w:rsid w:val="004D6FC3"/>
    <w:rsid w:val="004D7476"/>
    <w:rsid w:val="004D7716"/>
    <w:rsid w:val="004E0306"/>
    <w:rsid w:val="004E0572"/>
    <w:rsid w:val="004E1641"/>
    <w:rsid w:val="004E1818"/>
    <w:rsid w:val="004E1990"/>
    <w:rsid w:val="004E2186"/>
    <w:rsid w:val="004E25A8"/>
    <w:rsid w:val="004E2B53"/>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500258"/>
    <w:rsid w:val="00500B2D"/>
    <w:rsid w:val="0050130B"/>
    <w:rsid w:val="00501A99"/>
    <w:rsid w:val="00502456"/>
    <w:rsid w:val="00503180"/>
    <w:rsid w:val="005038A4"/>
    <w:rsid w:val="00504C56"/>
    <w:rsid w:val="00504CD4"/>
    <w:rsid w:val="0050524B"/>
    <w:rsid w:val="00505450"/>
    <w:rsid w:val="00505FC6"/>
    <w:rsid w:val="00506DA6"/>
    <w:rsid w:val="0050717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65"/>
    <w:rsid w:val="00526332"/>
    <w:rsid w:val="00526338"/>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38AB"/>
    <w:rsid w:val="00534668"/>
    <w:rsid w:val="005348CA"/>
    <w:rsid w:val="00534DDD"/>
    <w:rsid w:val="00535291"/>
    <w:rsid w:val="00535A94"/>
    <w:rsid w:val="0053686A"/>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F7"/>
    <w:rsid w:val="00547EFB"/>
    <w:rsid w:val="00550186"/>
    <w:rsid w:val="00550192"/>
    <w:rsid w:val="00550BD9"/>
    <w:rsid w:val="005522F2"/>
    <w:rsid w:val="005531DF"/>
    <w:rsid w:val="00553874"/>
    <w:rsid w:val="00553DCE"/>
    <w:rsid w:val="005541E0"/>
    <w:rsid w:val="005543B3"/>
    <w:rsid w:val="00554577"/>
    <w:rsid w:val="005545A1"/>
    <w:rsid w:val="00554AD8"/>
    <w:rsid w:val="00554F78"/>
    <w:rsid w:val="00555C46"/>
    <w:rsid w:val="00555DA1"/>
    <w:rsid w:val="005562FB"/>
    <w:rsid w:val="00556731"/>
    <w:rsid w:val="00556BF7"/>
    <w:rsid w:val="00556E53"/>
    <w:rsid w:val="00557F60"/>
    <w:rsid w:val="00560D81"/>
    <w:rsid w:val="00561730"/>
    <w:rsid w:val="00561B97"/>
    <w:rsid w:val="00562149"/>
    <w:rsid w:val="0056248C"/>
    <w:rsid w:val="0056362D"/>
    <w:rsid w:val="005640EB"/>
    <w:rsid w:val="00565559"/>
    <w:rsid w:val="005666A4"/>
    <w:rsid w:val="00567B5D"/>
    <w:rsid w:val="00570593"/>
    <w:rsid w:val="00570757"/>
    <w:rsid w:val="00571CE9"/>
    <w:rsid w:val="0057257D"/>
    <w:rsid w:val="00573293"/>
    <w:rsid w:val="00573733"/>
    <w:rsid w:val="00573E08"/>
    <w:rsid w:val="00573F8B"/>
    <w:rsid w:val="005743E0"/>
    <w:rsid w:val="00574554"/>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B77"/>
    <w:rsid w:val="00590D9A"/>
    <w:rsid w:val="005913A3"/>
    <w:rsid w:val="00591A5A"/>
    <w:rsid w:val="00592C40"/>
    <w:rsid w:val="00593B28"/>
    <w:rsid w:val="005940D4"/>
    <w:rsid w:val="00594A7B"/>
    <w:rsid w:val="0059580E"/>
    <w:rsid w:val="00595D90"/>
    <w:rsid w:val="00596A6F"/>
    <w:rsid w:val="00596D11"/>
    <w:rsid w:val="00596FCE"/>
    <w:rsid w:val="005A0300"/>
    <w:rsid w:val="005A11BC"/>
    <w:rsid w:val="005A1525"/>
    <w:rsid w:val="005A188D"/>
    <w:rsid w:val="005A1E17"/>
    <w:rsid w:val="005A252B"/>
    <w:rsid w:val="005A2A8F"/>
    <w:rsid w:val="005A3008"/>
    <w:rsid w:val="005A3204"/>
    <w:rsid w:val="005A3341"/>
    <w:rsid w:val="005A3C3D"/>
    <w:rsid w:val="005A46EC"/>
    <w:rsid w:val="005A5EAE"/>
    <w:rsid w:val="005A5EB8"/>
    <w:rsid w:val="005A6407"/>
    <w:rsid w:val="005A726C"/>
    <w:rsid w:val="005A7920"/>
    <w:rsid w:val="005A79CF"/>
    <w:rsid w:val="005A7DDF"/>
    <w:rsid w:val="005B05D8"/>
    <w:rsid w:val="005B07EC"/>
    <w:rsid w:val="005B21B0"/>
    <w:rsid w:val="005B2B11"/>
    <w:rsid w:val="005B32A4"/>
    <w:rsid w:val="005B3371"/>
    <w:rsid w:val="005B338D"/>
    <w:rsid w:val="005B33A1"/>
    <w:rsid w:val="005B3852"/>
    <w:rsid w:val="005B3BAF"/>
    <w:rsid w:val="005B43D5"/>
    <w:rsid w:val="005B4470"/>
    <w:rsid w:val="005B4DA3"/>
    <w:rsid w:val="005B5BEE"/>
    <w:rsid w:val="005B6AA9"/>
    <w:rsid w:val="005B77D2"/>
    <w:rsid w:val="005B7BDA"/>
    <w:rsid w:val="005C0195"/>
    <w:rsid w:val="005C019B"/>
    <w:rsid w:val="005C08D0"/>
    <w:rsid w:val="005C15A1"/>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438"/>
    <w:rsid w:val="005C6B8B"/>
    <w:rsid w:val="005C727F"/>
    <w:rsid w:val="005D02E3"/>
    <w:rsid w:val="005D1F34"/>
    <w:rsid w:val="005D2C1F"/>
    <w:rsid w:val="005D34B2"/>
    <w:rsid w:val="005D3B54"/>
    <w:rsid w:val="005D3E28"/>
    <w:rsid w:val="005D40CD"/>
    <w:rsid w:val="005D4C6F"/>
    <w:rsid w:val="005D6B59"/>
    <w:rsid w:val="005D71C3"/>
    <w:rsid w:val="005D74D2"/>
    <w:rsid w:val="005D784B"/>
    <w:rsid w:val="005D7B90"/>
    <w:rsid w:val="005E00AF"/>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1F58"/>
    <w:rsid w:val="00602A3C"/>
    <w:rsid w:val="00602A60"/>
    <w:rsid w:val="00603EFD"/>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2"/>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65C4"/>
    <w:rsid w:val="0062678A"/>
    <w:rsid w:val="00626AF1"/>
    <w:rsid w:val="00626FCA"/>
    <w:rsid w:val="006270AF"/>
    <w:rsid w:val="00632F83"/>
    <w:rsid w:val="00634367"/>
    <w:rsid w:val="00635E8A"/>
    <w:rsid w:val="006364D7"/>
    <w:rsid w:val="00636554"/>
    <w:rsid w:val="006367E9"/>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7A8"/>
    <w:rsid w:val="00672CA5"/>
    <w:rsid w:val="006735A2"/>
    <w:rsid w:val="00673711"/>
    <w:rsid w:val="00673CDA"/>
    <w:rsid w:val="00673F82"/>
    <w:rsid w:val="00674F74"/>
    <w:rsid w:val="0067508F"/>
    <w:rsid w:val="00676B25"/>
    <w:rsid w:val="00677576"/>
    <w:rsid w:val="0068051E"/>
    <w:rsid w:val="00680B9D"/>
    <w:rsid w:val="00680DF1"/>
    <w:rsid w:val="006816BA"/>
    <w:rsid w:val="00681F13"/>
    <w:rsid w:val="0068231C"/>
    <w:rsid w:val="00682344"/>
    <w:rsid w:val="00682772"/>
    <w:rsid w:val="00682C87"/>
    <w:rsid w:val="00682F28"/>
    <w:rsid w:val="00683515"/>
    <w:rsid w:val="00683CA4"/>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E6"/>
    <w:rsid w:val="00693186"/>
    <w:rsid w:val="00693381"/>
    <w:rsid w:val="00693B6C"/>
    <w:rsid w:val="006942AE"/>
    <w:rsid w:val="0069464B"/>
    <w:rsid w:val="006947A1"/>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B60"/>
    <w:rsid w:val="006B21DC"/>
    <w:rsid w:val="006B224E"/>
    <w:rsid w:val="006B25FA"/>
    <w:rsid w:val="006B376E"/>
    <w:rsid w:val="006B4589"/>
    <w:rsid w:val="006B5157"/>
    <w:rsid w:val="006B610E"/>
    <w:rsid w:val="006B6805"/>
    <w:rsid w:val="006B6C07"/>
    <w:rsid w:val="006B6DE0"/>
    <w:rsid w:val="006B723D"/>
    <w:rsid w:val="006C1337"/>
    <w:rsid w:val="006C13B7"/>
    <w:rsid w:val="006C16C3"/>
    <w:rsid w:val="006C1FA6"/>
    <w:rsid w:val="006C2187"/>
    <w:rsid w:val="006C27D9"/>
    <w:rsid w:val="006C32F4"/>
    <w:rsid w:val="006C3C54"/>
    <w:rsid w:val="006C3CA5"/>
    <w:rsid w:val="006C3CAA"/>
    <w:rsid w:val="006C4B6B"/>
    <w:rsid w:val="006C4CE1"/>
    <w:rsid w:val="006C4F9F"/>
    <w:rsid w:val="006C54B1"/>
    <w:rsid w:val="006C71A2"/>
    <w:rsid w:val="006C73EC"/>
    <w:rsid w:val="006D0997"/>
    <w:rsid w:val="006D0C1D"/>
    <w:rsid w:val="006D1BB1"/>
    <w:rsid w:val="006D28F3"/>
    <w:rsid w:val="006D2E9D"/>
    <w:rsid w:val="006D3B48"/>
    <w:rsid w:val="006D4305"/>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481"/>
    <w:rsid w:val="006E2668"/>
    <w:rsid w:val="006E2B0A"/>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F018A"/>
    <w:rsid w:val="006F0760"/>
    <w:rsid w:val="006F0D30"/>
    <w:rsid w:val="006F11E2"/>
    <w:rsid w:val="006F1A50"/>
    <w:rsid w:val="006F1A67"/>
    <w:rsid w:val="006F2574"/>
    <w:rsid w:val="006F3231"/>
    <w:rsid w:val="006F3BEF"/>
    <w:rsid w:val="006F3DE3"/>
    <w:rsid w:val="006F4787"/>
    <w:rsid w:val="006F57E6"/>
    <w:rsid w:val="006F61D8"/>
    <w:rsid w:val="006F62B7"/>
    <w:rsid w:val="006F63E7"/>
    <w:rsid w:val="006F70BC"/>
    <w:rsid w:val="006F726C"/>
    <w:rsid w:val="006F7A22"/>
    <w:rsid w:val="006F7E7C"/>
    <w:rsid w:val="0070174E"/>
    <w:rsid w:val="007018DB"/>
    <w:rsid w:val="00701DE6"/>
    <w:rsid w:val="00702740"/>
    <w:rsid w:val="007028E3"/>
    <w:rsid w:val="00703407"/>
    <w:rsid w:val="0070381B"/>
    <w:rsid w:val="00706759"/>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E54"/>
    <w:rsid w:val="00717280"/>
    <w:rsid w:val="0072033C"/>
    <w:rsid w:val="00720B1B"/>
    <w:rsid w:val="00721062"/>
    <w:rsid w:val="00721D3D"/>
    <w:rsid w:val="00721E5D"/>
    <w:rsid w:val="007229D4"/>
    <w:rsid w:val="00722E35"/>
    <w:rsid w:val="007230F8"/>
    <w:rsid w:val="007233F4"/>
    <w:rsid w:val="007235E3"/>
    <w:rsid w:val="0072381D"/>
    <w:rsid w:val="00723A10"/>
    <w:rsid w:val="00724044"/>
    <w:rsid w:val="00724120"/>
    <w:rsid w:val="007243F2"/>
    <w:rsid w:val="007248D3"/>
    <w:rsid w:val="00724DF8"/>
    <w:rsid w:val="00725137"/>
    <w:rsid w:val="00725378"/>
    <w:rsid w:val="00725C31"/>
    <w:rsid w:val="00727795"/>
    <w:rsid w:val="00727A43"/>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5DC1"/>
    <w:rsid w:val="007362CC"/>
    <w:rsid w:val="0073792F"/>
    <w:rsid w:val="00740C81"/>
    <w:rsid w:val="00740DA6"/>
    <w:rsid w:val="0074197B"/>
    <w:rsid w:val="00741B4B"/>
    <w:rsid w:val="00741D1E"/>
    <w:rsid w:val="00741DD6"/>
    <w:rsid w:val="00741EE2"/>
    <w:rsid w:val="0074207F"/>
    <w:rsid w:val="00742118"/>
    <w:rsid w:val="00742367"/>
    <w:rsid w:val="00742EAA"/>
    <w:rsid w:val="00742F80"/>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8AD"/>
    <w:rsid w:val="0076504E"/>
    <w:rsid w:val="0076721D"/>
    <w:rsid w:val="0076767E"/>
    <w:rsid w:val="00767BFD"/>
    <w:rsid w:val="00767EA0"/>
    <w:rsid w:val="0077068F"/>
    <w:rsid w:val="00771EDF"/>
    <w:rsid w:val="00772530"/>
    <w:rsid w:val="00772A90"/>
    <w:rsid w:val="00772F8D"/>
    <w:rsid w:val="0077301A"/>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2811"/>
    <w:rsid w:val="007838F3"/>
    <w:rsid w:val="0078419B"/>
    <w:rsid w:val="00785612"/>
    <w:rsid w:val="007856FE"/>
    <w:rsid w:val="00785F46"/>
    <w:rsid w:val="007865F4"/>
    <w:rsid w:val="00786D5C"/>
    <w:rsid w:val="00786E96"/>
    <w:rsid w:val="00787BB6"/>
    <w:rsid w:val="00787DFF"/>
    <w:rsid w:val="00787F93"/>
    <w:rsid w:val="00791E6D"/>
    <w:rsid w:val="00791EB5"/>
    <w:rsid w:val="00792377"/>
    <w:rsid w:val="0079343F"/>
    <w:rsid w:val="00793696"/>
    <w:rsid w:val="00793F13"/>
    <w:rsid w:val="007955DA"/>
    <w:rsid w:val="00796C05"/>
    <w:rsid w:val="00796F65"/>
    <w:rsid w:val="007A11C2"/>
    <w:rsid w:val="007A1781"/>
    <w:rsid w:val="007A18BB"/>
    <w:rsid w:val="007A2489"/>
    <w:rsid w:val="007A27DD"/>
    <w:rsid w:val="007A41BF"/>
    <w:rsid w:val="007A490A"/>
    <w:rsid w:val="007A7289"/>
    <w:rsid w:val="007A7B95"/>
    <w:rsid w:val="007B0297"/>
    <w:rsid w:val="007B02FA"/>
    <w:rsid w:val="007B0F53"/>
    <w:rsid w:val="007B110A"/>
    <w:rsid w:val="007B1A4D"/>
    <w:rsid w:val="007B2027"/>
    <w:rsid w:val="007B2084"/>
    <w:rsid w:val="007B21AE"/>
    <w:rsid w:val="007B2570"/>
    <w:rsid w:val="007B3113"/>
    <w:rsid w:val="007B3304"/>
    <w:rsid w:val="007B3BF0"/>
    <w:rsid w:val="007B6927"/>
    <w:rsid w:val="007B6B18"/>
    <w:rsid w:val="007B7490"/>
    <w:rsid w:val="007B7C61"/>
    <w:rsid w:val="007C00B9"/>
    <w:rsid w:val="007C0525"/>
    <w:rsid w:val="007C06DB"/>
    <w:rsid w:val="007C13F7"/>
    <w:rsid w:val="007C1D77"/>
    <w:rsid w:val="007C218D"/>
    <w:rsid w:val="007C2590"/>
    <w:rsid w:val="007C2D28"/>
    <w:rsid w:val="007C3E22"/>
    <w:rsid w:val="007C58C1"/>
    <w:rsid w:val="007C5B39"/>
    <w:rsid w:val="007C6218"/>
    <w:rsid w:val="007C6484"/>
    <w:rsid w:val="007C67C6"/>
    <w:rsid w:val="007C78BE"/>
    <w:rsid w:val="007C79A5"/>
    <w:rsid w:val="007C7A5D"/>
    <w:rsid w:val="007C7E59"/>
    <w:rsid w:val="007D0476"/>
    <w:rsid w:val="007D0B91"/>
    <w:rsid w:val="007D0FE7"/>
    <w:rsid w:val="007D1197"/>
    <w:rsid w:val="007D1452"/>
    <w:rsid w:val="007D1563"/>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4DB"/>
    <w:rsid w:val="007E194F"/>
    <w:rsid w:val="007E201B"/>
    <w:rsid w:val="007E250B"/>
    <w:rsid w:val="007E2EE9"/>
    <w:rsid w:val="007E32A3"/>
    <w:rsid w:val="007E32DA"/>
    <w:rsid w:val="007E4998"/>
    <w:rsid w:val="007E4A9C"/>
    <w:rsid w:val="007E5248"/>
    <w:rsid w:val="007E5C4F"/>
    <w:rsid w:val="007E6914"/>
    <w:rsid w:val="007E7F78"/>
    <w:rsid w:val="007F0179"/>
    <w:rsid w:val="007F0FF8"/>
    <w:rsid w:val="007F148A"/>
    <w:rsid w:val="007F2640"/>
    <w:rsid w:val="007F2C13"/>
    <w:rsid w:val="007F2CEC"/>
    <w:rsid w:val="007F2ED1"/>
    <w:rsid w:val="007F3435"/>
    <w:rsid w:val="007F505D"/>
    <w:rsid w:val="007F531B"/>
    <w:rsid w:val="007F54CF"/>
    <w:rsid w:val="007F55DE"/>
    <w:rsid w:val="007F5BAC"/>
    <w:rsid w:val="007F6153"/>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6C33"/>
    <w:rsid w:val="0081010F"/>
    <w:rsid w:val="00810BB6"/>
    <w:rsid w:val="00810E8E"/>
    <w:rsid w:val="00812C44"/>
    <w:rsid w:val="008135E1"/>
    <w:rsid w:val="00813779"/>
    <w:rsid w:val="00813792"/>
    <w:rsid w:val="00813AA2"/>
    <w:rsid w:val="00813E26"/>
    <w:rsid w:val="00814321"/>
    <w:rsid w:val="0081481D"/>
    <w:rsid w:val="00814BE8"/>
    <w:rsid w:val="00814D94"/>
    <w:rsid w:val="00814F6E"/>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AB9"/>
    <w:rsid w:val="00826E0E"/>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906"/>
    <w:rsid w:val="00835F26"/>
    <w:rsid w:val="00836075"/>
    <w:rsid w:val="00836417"/>
    <w:rsid w:val="0083698A"/>
    <w:rsid w:val="00836BC6"/>
    <w:rsid w:val="00836D47"/>
    <w:rsid w:val="00837526"/>
    <w:rsid w:val="008407A7"/>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50272"/>
    <w:rsid w:val="008506B9"/>
    <w:rsid w:val="0085086F"/>
    <w:rsid w:val="00850B42"/>
    <w:rsid w:val="00851822"/>
    <w:rsid w:val="00851C16"/>
    <w:rsid w:val="008532BF"/>
    <w:rsid w:val="008539B2"/>
    <w:rsid w:val="00853BF4"/>
    <w:rsid w:val="00854294"/>
    <w:rsid w:val="00854295"/>
    <w:rsid w:val="008545CE"/>
    <w:rsid w:val="0085572E"/>
    <w:rsid w:val="00857295"/>
    <w:rsid w:val="0085788B"/>
    <w:rsid w:val="00857A9E"/>
    <w:rsid w:val="00857D1F"/>
    <w:rsid w:val="00857DE2"/>
    <w:rsid w:val="0086003D"/>
    <w:rsid w:val="00860F07"/>
    <w:rsid w:val="00860F11"/>
    <w:rsid w:val="00861D63"/>
    <w:rsid w:val="0086358C"/>
    <w:rsid w:val="00863A8E"/>
    <w:rsid w:val="0086407F"/>
    <w:rsid w:val="008644DD"/>
    <w:rsid w:val="008645E3"/>
    <w:rsid w:val="0086486A"/>
    <w:rsid w:val="00864E79"/>
    <w:rsid w:val="00864EC0"/>
    <w:rsid w:val="0086572B"/>
    <w:rsid w:val="00866615"/>
    <w:rsid w:val="0086661F"/>
    <w:rsid w:val="00866A0D"/>
    <w:rsid w:val="00866DB5"/>
    <w:rsid w:val="0086701D"/>
    <w:rsid w:val="0086702B"/>
    <w:rsid w:val="008672E2"/>
    <w:rsid w:val="0086784E"/>
    <w:rsid w:val="008678E3"/>
    <w:rsid w:val="0087110C"/>
    <w:rsid w:val="0087121C"/>
    <w:rsid w:val="00871FD2"/>
    <w:rsid w:val="00872084"/>
    <w:rsid w:val="00872827"/>
    <w:rsid w:val="00872A32"/>
    <w:rsid w:val="00873653"/>
    <w:rsid w:val="00874911"/>
    <w:rsid w:val="008754E4"/>
    <w:rsid w:val="00876EAE"/>
    <w:rsid w:val="00876F72"/>
    <w:rsid w:val="00877305"/>
    <w:rsid w:val="00877983"/>
    <w:rsid w:val="00880106"/>
    <w:rsid w:val="00880F95"/>
    <w:rsid w:val="00881EE2"/>
    <w:rsid w:val="00882910"/>
    <w:rsid w:val="00882B44"/>
    <w:rsid w:val="008838AD"/>
    <w:rsid w:val="00885381"/>
    <w:rsid w:val="0088572B"/>
    <w:rsid w:val="00885BC9"/>
    <w:rsid w:val="008864B3"/>
    <w:rsid w:val="008865E5"/>
    <w:rsid w:val="0088682F"/>
    <w:rsid w:val="00886900"/>
    <w:rsid w:val="008871B0"/>
    <w:rsid w:val="008900D3"/>
    <w:rsid w:val="008905A6"/>
    <w:rsid w:val="00890B57"/>
    <w:rsid w:val="008916BA"/>
    <w:rsid w:val="0089217C"/>
    <w:rsid w:val="00892476"/>
    <w:rsid w:val="00892790"/>
    <w:rsid w:val="00893671"/>
    <w:rsid w:val="0089445B"/>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40D3"/>
    <w:rsid w:val="008A413F"/>
    <w:rsid w:val="008A451F"/>
    <w:rsid w:val="008A469C"/>
    <w:rsid w:val="008A50FB"/>
    <w:rsid w:val="008A51D1"/>
    <w:rsid w:val="008A5C90"/>
    <w:rsid w:val="008A5DCE"/>
    <w:rsid w:val="008A75D3"/>
    <w:rsid w:val="008A7F09"/>
    <w:rsid w:val="008B05DD"/>
    <w:rsid w:val="008B07B8"/>
    <w:rsid w:val="008B17E8"/>
    <w:rsid w:val="008B2C45"/>
    <w:rsid w:val="008B2E7C"/>
    <w:rsid w:val="008B399A"/>
    <w:rsid w:val="008B45F0"/>
    <w:rsid w:val="008B4A70"/>
    <w:rsid w:val="008B4AF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6118"/>
    <w:rsid w:val="008C6341"/>
    <w:rsid w:val="008C653D"/>
    <w:rsid w:val="008C731F"/>
    <w:rsid w:val="008C74D9"/>
    <w:rsid w:val="008D2050"/>
    <w:rsid w:val="008D2D79"/>
    <w:rsid w:val="008D2F7A"/>
    <w:rsid w:val="008D35CA"/>
    <w:rsid w:val="008D3B2D"/>
    <w:rsid w:val="008D58D9"/>
    <w:rsid w:val="008D5AD4"/>
    <w:rsid w:val="008D5E4E"/>
    <w:rsid w:val="008D5E9D"/>
    <w:rsid w:val="008D5F65"/>
    <w:rsid w:val="008D695E"/>
    <w:rsid w:val="008D6DD5"/>
    <w:rsid w:val="008D6E59"/>
    <w:rsid w:val="008D7155"/>
    <w:rsid w:val="008D76E0"/>
    <w:rsid w:val="008E079C"/>
    <w:rsid w:val="008E0B29"/>
    <w:rsid w:val="008E141A"/>
    <w:rsid w:val="008E1A44"/>
    <w:rsid w:val="008E2859"/>
    <w:rsid w:val="008E28E6"/>
    <w:rsid w:val="008E2C57"/>
    <w:rsid w:val="008E3232"/>
    <w:rsid w:val="008E3674"/>
    <w:rsid w:val="008E3B6C"/>
    <w:rsid w:val="008E3DE7"/>
    <w:rsid w:val="008E5227"/>
    <w:rsid w:val="008E562C"/>
    <w:rsid w:val="008E57C8"/>
    <w:rsid w:val="008E5FB9"/>
    <w:rsid w:val="008E6540"/>
    <w:rsid w:val="008E6A1C"/>
    <w:rsid w:val="008E6FBE"/>
    <w:rsid w:val="008E77D4"/>
    <w:rsid w:val="008E7ADD"/>
    <w:rsid w:val="008F091F"/>
    <w:rsid w:val="008F1548"/>
    <w:rsid w:val="008F17B2"/>
    <w:rsid w:val="008F22B3"/>
    <w:rsid w:val="008F357B"/>
    <w:rsid w:val="008F366E"/>
    <w:rsid w:val="008F3B56"/>
    <w:rsid w:val="008F44CA"/>
    <w:rsid w:val="008F49D3"/>
    <w:rsid w:val="008F5B69"/>
    <w:rsid w:val="008F6519"/>
    <w:rsid w:val="008F6F4C"/>
    <w:rsid w:val="008F7012"/>
    <w:rsid w:val="008F7ADA"/>
    <w:rsid w:val="008F7B17"/>
    <w:rsid w:val="00900042"/>
    <w:rsid w:val="0090034B"/>
    <w:rsid w:val="0090087C"/>
    <w:rsid w:val="00900D2F"/>
    <w:rsid w:val="00901121"/>
    <w:rsid w:val="00901B50"/>
    <w:rsid w:val="00902623"/>
    <w:rsid w:val="00902A67"/>
    <w:rsid w:val="00902C5E"/>
    <w:rsid w:val="0090303D"/>
    <w:rsid w:val="00904BE4"/>
    <w:rsid w:val="00904FEA"/>
    <w:rsid w:val="0090504A"/>
    <w:rsid w:val="009051F5"/>
    <w:rsid w:val="00905221"/>
    <w:rsid w:val="0090530B"/>
    <w:rsid w:val="00905664"/>
    <w:rsid w:val="00905A7C"/>
    <w:rsid w:val="00905D7E"/>
    <w:rsid w:val="00907037"/>
    <w:rsid w:val="00907259"/>
    <w:rsid w:val="00907929"/>
    <w:rsid w:val="00910577"/>
    <w:rsid w:val="00910C5D"/>
    <w:rsid w:val="0091112C"/>
    <w:rsid w:val="009113F2"/>
    <w:rsid w:val="0091160A"/>
    <w:rsid w:val="00911945"/>
    <w:rsid w:val="009128A9"/>
    <w:rsid w:val="00912A06"/>
    <w:rsid w:val="00912E04"/>
    <w:rsid w:val="00913258"/>
    <w:rsid w:val="00913851"/>
    <w:rsid w:val="00913BB0"/>
    <w:rsid w:val="0091456C"/>
    <w:rsid w:val="00914C58"/>
    <w:rsid w:val="00914D78"/>
    <w:rsid w:val="009151FC"/>
    <w:rsid w:val="009153D3"/>
    <w:rsid w:val="0091564D"/>
    <w:rsid w:val="009156DA"/>
    <w:rsid w:val="00915774"/>
    <w:rsid w:val="00916BC5"/>
    <w:rsid w:val="0091726A"/>
    <w:rsid w:val="00917C01"/>
    <w:rsid w:val="00920184"/>
    <w:rsid w:val="00920421"/>
    <w:rsid w:val="00920EA4"/>
    <w:rsid w:val="00921792"/>
    <w:rsid w:val="00921BEA"/>
    <w:rsid w:val="009227BE"/>
    <w:rsid w:val="009238FD"/>
    <w:rsid w:val="00923998"/>
    <w:rsid w:val="00923DB4"/>
    <w:rsid w:val="0092420B"/>
    <w:rsid w:val="0092430E"/>
    <w:rsid w:val="00924451"/>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04"/>
    <w:rsid w:val="0093422D"/>
    <w:rsid w:val="0093483B"/>
    <w:rsid w:val="00934CF9"/>
    <w:rsid w:val="00934DD7"/>
    <w:rsid w:val="00934F9C"/>
    <w:rsid w:val="00934FEB"/>
    <w:rsid w:val="00935CB2"/>
    <w:rsid w:val="009369A9"/>
    <w:rsid w:val="00936CF7"/>
    <w:rsid w:val="00937783"/>
    <w:rsid w:val="00937EAD"/>
    <w:rsid w:val="00937F28"/>
    <w:rsid w:val="00940FE1"/>
    <w:rsid w:val="0094117A"/>
    <w:rsid w:val="00941474"/>
    <w:rsid w:val="009418B5"/>
    <w:rsid w:val="00942306"/>
    <w:rsid w:val="009424B8"/>
    <w:rsid w:val="009426BA"/>
    <w:rsid w:val="0094286B"/>
    <w:rsid w:val="00943026"/>
    <w:rsid w:val="009432E2"/>
    <w:rsid w:val="00944668"/>
    <w:rsid w:val="00944DC6"/>
    <w:rsid w:val="00944FE6"/>
    <w:rsid w:val="00945829"/>
    <w:rsid w:val="009458B0"/>
    <w:rsid w:val="00945B52"/>
    <w:rsid w:val="00945B7A"/>
    <w:rsid w:val="00945F05"/>
    <w:rsid w:val="00945FE0"/>
    <w:rsid w:val="00946348"/>
    <w:rsid w:val="00946B10"/>
    <w:rsid w:val="00947070"/>
    <w:rsid w:val="00947224"/>
    <w:rsid w:val="00947797"/>
    <w:rsid w:val="009478A2"/>
    <w:rsid w:val="00947942"/>
    <w:rsid w:val="00950181"/>
    <w:rsid w:val="00950865"/>
    <w:rsid w:val="009533BD"/>
    <w:rsid w:val="009536FB"/>
    <w:rsid w:val="00953808"/>
    <w:rsid w:val="009539A6"/>
    <w:rsid w:val="00954032"/>
    <w:rsid w:val="00954537"/>
    <w:rsid w:val="0095472D"/>
    <w:rsid w:val="00954F0F"/>
    <w:rsid w:val="00955342"/>
    <w:rsid w:val="00955D57"/>
    <w:rsid w:val="00955FBB"/>
    <w:rsid w:val="0095694B"/>
    <w:rsid w:val="00956BD5"/>
    <w:rsid w:val="00956D84"/>
    <w:rsid w:val="009577B5"/>
    <w:rsid w:val="00957D66"/>
    <w:rsid w:val="009608E6"/>
    <w:rsid w:val="00960F57"/>
    <w:rsid w:val="00961669"/>
    <w:rsid w:val="00961C90"/>
    <w:rsid w:val="00962A26"/>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3772"/>
    <w:rsid w:val="0097560A"/>
    <w:rsid w:val="009759A3"/>
    <w:rsid w:val="00975E1E"/>
    <w:rsid w:val="00975E70"/>
    <w:rsid w:val="009761DE"/>
    <w:rsid w:val="009766FA"/>
    <w:rsid w:val="00977944"/>
    <w:rsid w:val="00977CD6"/>
    <w:rsid w:val="0098048B"/>
    <w:rsid w:val="00980908"/>
    <w:rsid w:val="00980DF9"/>
    <w:rsid w:val="00981CD8"/>
    <w:rsid w:val="0098243D"/>
    <w:rsid w:val="00982C19"/>
    <w:rsid w:val="00982D26"/>
    <w:rsid w:val="00983B6E"/>
    <w:rsid w:val="00983FE5"/>
    <w:rsid w:val="0098452D"/>
    <w:rsid w:val="00984544"/>
    <w:rsid w:val="009849E9"/>
    <w:rsid w:val="00984AFF"/>
    <w:rsid w:val="00985048"/>
    <w:rsid w:val="009855AC"/>
    <w:rsid w:val="009859E4"/>
    <w:rsid w:val="00985D7F"/>
    <w:rsid w:val="00987812"/>
    <w:rsid w:val="00990225"/>
    <w:rsid w:val="00991307"/>
    <w:rsid w:val="00991FAA"/>
    <w:rsid w:val="00992A13"/>
    <w:rsid w:val="00993DB1"/>
    <w:rsid w:val="00994AAD"/>
    <w:rsid w:val="00995150"/>
    <w:rsid w:val="00995D67"/>
    <w:rsid w:val="00997613"/>
    <w:rsid w:val="009A013B"/>
    <w:rsid w:val="009A02F4"/>
    <w:rsid w:val="009A06BF"/>
    <w:rsid w:val="009A0D17"/>
    <w:rsid w:val="009A2494"/>
    <w:rsid w:val="009A32B1"/>
    <w:rsid w:val="009A33A3"/>
    <w:rsid w:val="009A36F2"/>
    <w:rsid w:val="009A3942"/>
    <w:rsid w:val="009A4073"/>
    <w:rsid w:val="009A40C3"/>
    <w:rsid w:val="009A40D5"/>
    <w:rsid w:val="009A5268"/>
    <w:rsid w:val="009A5621"/>
    <w:rsid w:val="009A57D0"/>
    <w:rsid w:val="009A6559"/>
    <w:rsid w:val="009A68FC"/>
    <w:rsid w:val="009A6CE4"/>
    <w:rsid w:val="009A7514"/>
    <w:rsid w:val="009A7665"/>
    <w:rsid w:val="009A7E7A"/>
    <w:rsid w:val="009B0925"/>
    <w:rsid w:val="009B1584"/>
    <w:rsid w:val="009B18F0"/>
    <w:rsid w:val="009B1F4C"/>
    <w:rsid w:val="009B2203"/>
    <w:rsid w:val="009B2471"/>
    <w:rsid w:val="009B314F"/>
    <w:rsid w:val="009B3CFE"/>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3EE6"/>
    <w:rsid w:val="009C5314"/>
    <w:rsid w:val="009C5AFE"/>
    <w:rsid w:val="009C6606"/>
    <w:rsid w:val="009C6CE5"/>
    <w:rsid w:val="009C6D50"/>
    <w:rsid w:val="009C72B2"/>
    <w:rsid w:val="009C7547"/>
    <w:rsid w:val="009D05EC"/>
    <w:rsid w:val="009D18D4"/>
    <w:rsid w:val="009D1FCF"/>
    <w:rsid w:val="009D2F60"/>
    <w:rsid w:val="009D3A2E"/>
    <w:rsid w:val="009D4C2E"/>
    <w:rsid w:val="009D5ADE"/>
    <w:rsid w:val="009D5BAC"/>
    <w:rsid w:val="009D5C56"/>
    <w:rsid w:val="009D6265"/>
    <w:rsid w:val="009D64BD"/>
    <w:rsid w:val="009D6B1E"/>
    <w:rsid w:val="009D6CB1"/>
    <w:rsid w:val="009E0286"/>
    <w:rsid w:val="009E153F"/>
    <w:rsid w:val="009E18C5"/>
    <w:rsid w:val="009E2B98"/>
    <w:rsid w:val="009E322A"/>
    <w:rsid w:val="009E3483"/>
    <w:rsid w:val="009E393E"/>
    <w:rsid w:val="009E444E"/>
    <w:rsid w:val="009E454D"/>
    <w:rsid w:val="009E4968"/>
    <w:rsid w:val="009E663C"/>
    <w:rsid w:val="009E684A"/>
    <w:rsid w:val="009E6BB1"/>
    <w:rsid w:val="009E6E14"/>
    <w:rsid w:val="009E794A"/>
    <w:rsid w:val="009E7C14"/>
    <w:rsid w:val="009F0494"/>
    <w:rsid w:val="009F0CD9"/>
    <w:rsid w:val="009F1A79"/>
    <w:rsid w:val="009F1F57"/>
    <w:rsid w:val="009F2DDD"/>
    <w:rsid w:val="009F3447"/>
    <w:rsid w:val="009F3BF5"/>
    <w:rsid w:val="009F65F4"/>
    <w:rsid w:val="009F6763"/>
    <w:rsid w:val="009F676B"/>
    <w:rsid w:val="009F6D2D"/>
    <w:rsid w:val="009F6D54"/>
    <w:rsid w:val="00A004DF"/>
    <w:rsid w:val="00A00FD5"/>
    <w:rsid w:val="00A012C0"/>
    <w:rsid w:val="00A019A8"/>
    <w:rsid w:val="00A01B03"/>
    <w:rsid w:val="00A01B89"/>
    <w:rsid w:val="00A02C66"/>
    <w:rsid w:val="00A02C84"/>
    <w:rsid w:val="00A03223"/>
    <w:rsid w:val="00A03842"/>
    <w:rsid w:val="00A04394"/>
    <w:rsid w:val="00A0464C"/>
    <w:rsid w:val="00A050BB"/>
    <w:rsid w:val="00A05128"/>
    <w:rsid w:val="00A0521B"/>
    <w:rsid w:val="00A054E0"/>
    <w:rsid w:val="00A057C9"/>
    <w:rsid w:val="00A05D91"/>
    <w:rsid w:val="00A0740B"/>
    <w:rsid w:val="00A07ED3"/>
    <w:rsid w:val="00A10162"/>
    <w:rsid w:val="00A10A81"/>
    <w:rsid w:val="00A10CA8"/>
    <w:rsid w:val="00A10D5A"/>
    <w:rsid w:val="00A11042"/>
    <w:rsid w:val="00A12579"/>
    <w:rsid w:val="00A12CDC"/>
    <w:rsid w:val="00A12E1D"/>
    <w:rsid w:val="00A133D8"/>
    <w:rsid w:val="00A13553"/>
    <w:rsid w:val="00A13F58"/>
    <w:rsid w:val="00A14382"/>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7D"/>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B8F"/>
    <w:rsid w:val="00A42D8E"/>
    <w:rsid w:val="00A43254"/>
    <w:rsid w:val="00A43896"/>
    <w:rsid w:val="00A43951"/>
    <w:rsid w:val="00A43A26"/>
    <w:rsid w:val="00A447A0"/>
    <w:rsid w:val="00A4505E"/>
    <w:rsid w:val="00A459F5"/>
    <w:rsid w:val="00A45FC0"/>
    <w:rsid w:val="00A468C7"/>
    <w:rsid w:val="00A46B74"/>
    <w:rsid w:val="00A47BF7"/>
    <w:rsid w:val="00A47ECC"/>
    <w:rsid w:val="00A50171"/>
    <w:rsid w:val="00A50418"/>
    <w:rsid w:val="00A504FA"/>
    <w:rsid w:val="00A5102E"/>
    <w:rsid w:val="00A5132E"/>
    <w:rsid w:val="00A51375"/>
    <w:rsid w:val="00A51533"/>
    <w:rsid w:val="00A516D4"/>
    <w:rsid w:val="00A531D4"/>
    <w:rsid w:val="00A53622"/>
    <w:rsid w:val="00A53736"/>
    <w:rsid w:val="00A54572"/>
    <w:rsid w:val="00A559D8"/>
    <w:rsid w:val="00A575B8"/>
    <w:rsid w:val="00A6020A"/>
    <w:rsid w:val="00A60CE7"/>
    <w:rsid w:val="00A60CF8"/>
    <w:rsid w:val="00A619BB"/>
    <w:rsid w:val="00A61C60"/>
    <w:rsid w:val="00A61ECB"/>
    <w:rsid w:val="00A63FE9"/>
    <w:rsid w:val="00A6410C"/>
    <w:rsid w:val="00A647B1"/>
    <w:rsid w:val="00A64DEF"/>
    <w:rsid w:val="00A65311"/>
    <w:rsid w:val="00A654D2"/>
    <w:rsid w:val="00A665DF"/>
    <w:rsid w:val="00A671B4"/>
    <w:rsid w:val="00A673F1"/>
    <w:rsid w:val="00A674DB"/>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EF9"/>
    <w:rsid w:val="00A7642C"/>
    <w:rsid w:val="00A7657C"/>
    <w:rsid w:val="00A76B5E"/>
    <w:rsid w:val="00A76E4E"/>
    <w:rsid w:val="00A80A5D"/>
    <w:rsid w:val="00A81ECA"/>
    <w:rsid w:val="00A82764"/>
    <w:rsid w:val="00A8311C"/>
    <w:rsid w:val="00A835D0"/>
    <w:rsid w:val="00A83821"/>
    <w:rsid w:val="00A84150"/>
    <w:rsid w:val="00A84761"/>
    <w:rsid w:val="00A84C5F"/>
    <w:rsid w:val="00A85240"/>
    <w:rsid w:val="00A85930"/>
    <w:rsid w:val="00A863F7"/>
    <w:rsid w:val="00A86604"/>
    <w:rsid w:val="00A86ACC"/>
    <w:rsid w:val="00A87519"/>
    <w:rsid w:val="00A90213"/>
    <w:rsid w:val="00A905A5"/>
    <w:rsid w:val="00A90870"/>
    <w:rsid w:val="00A9246D"/>
    <w:rsid w:val="00A92CCA"/>
    <w:rsid w:val="00A93BD0"/>
    <w:rsid w:val="00A93CC2"/>
    <w:rsid w:val="00A94D4B"/>
    <w:rsid w:val="00A956AC"/>
    <w:rsid w:val="00A95A90"/>
    <w:rsid w:val="00A974CC"/>
    <w:rsid w:val="00A97EE7"/>
    <w:rsid w:val="00A97FC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99F"/>
    <w:rsid w:val="00AB1C40"/>
    <w:rsid w:val="00AB2000"/>
    <w:rsid w:val="00AB21CC"/>
    <w:rsid w:val="00AB2C06"/>
    <w:rsid w:val="00AB38CB"/>
    <w:rsid w:val="00AB3BEC"/>
    <w:rsid w:val="00AB4080"/>
    <w:rsid w:val="00AB44E4"/>
    <w:rsid w:val="00AB4AEB"/>
    <w:rsid w:val="00AB4E5F"/>
    <w:rsid w:val="00AB5352"/>
    <w:rsid w:val="00AB56AE"/>
    <w:rsid w:val="00AB62D5"/>
    <w:rsid w:val="00AB65B5"/>
    <w:rsid w:val="00AB6DCD"/>
    <w:rsid w:val="00AB6EE0"/>
    <w:rsid w:val="00AB71D6"/>
    <w:rsid w:val="00AB7D43"/>
    <w:rsid w:val="00AB7F2C"/>
    <w:rsid w:val="00AC022E"/>
    <w:rsid w:val="00AC17A2"/>
    <w:rsid w:val="00AC18C7"/>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0D57"/>
    <w:rsid w:val="00AD1119"/>
    <w:rsid w:val="00AD1315"/>
    <w:rsid w:val="00AD23EF"/>
    <w:rsid w:val="00AD2662"/>
    <w:rsid w:val="00AD307B"/>
    <w:rsid w:val="00AD36D2"/>
    <w:rsid w:val="00AD3992"/>
    <w:rsid w:val="00AD4014"/>
    <w:rsid w:val="00AD41B3"/>
    <w:rsid w:val="00AD5721"/>
    <w:rsid w:val="00AD69F0"/>
    <w:rsid w:val="00AD7127"/>
    <w:rsid w:val="00AD730C"/>
    <w:rsid w:val="00AE0F90"/>
    <w:rsid w:val="00AE123A"/>
    <w:rsid w:val="00AE1539"/>
    <w:rsid w:val="00AE28A7"/>
    <w:rsid w:val="00AE2A98"/>
    <w:rsid w:val="00AE2CF2"/>
    <w:rsid w:val="00AE2F19"/>
    <w:rsid w:val="00AE3012"/>
    <w:rsid w:val="00AE3297"/>
    <w:rsid w:val="00AE33A6"/>
    <w:rsid w:val="00AE3513"/>
    <w:rsid w:val="00AE3729"/>
    <w:rsid w:val="00AE3C81"/>
    <w:rsid w:val="00AE49C1"/>
    <w:rsid w:val="00AE4A3E"/>
    <w:rsid w:val="00AE4CCE"/>
    <w:rsid w:val="00AE5C6A"/>
    <w:rsid w:val="00AE7058"/>
    <w:rsid w:val="00AE7280"/>
    <w:rsid w:val="00AE7B5F"/>
    <w:rsid w:val="00AF01FA"/>
    <w:rsid w:val="00AF033A"/>
    <w:rsid w:val="00AF118E"/>
    <w:rsid w:val="00AF1658"/>
    <w:rsid w:val="00AF1699"/>
    <w:rsid w:val="00AF18D1"/>
    <w:rsid w:val="00AF1BA4"/>
    <w:rsid w:val="00AF1FD3"/>
    <w:rsid w:val="00AF2775"/>
    <w:rsid w:val="00AF2910"/>
    <w:rsid w:val="00AF34B8"/>
    <w:rsid w:val="00AF3896"/>
    <w:rsid w:val="00AF39C9"/>
    <w:rsid w:val="00AF3F97"/>
    <w:rsid w:val="00AF3FC2"/>
    <w:rsid w:val="00AF4DEC"/>
    <w:rsid w:val="00AF5E08"/>
    <w:rsid w:val="00AF6B57"/>
    <w:rsid w:val="00B003FF"/>
    <w:rsid w:val="00B0098A"/>
    <w:rsid w:val="00B00A5F"/>
    <w:rsid w:val="00B00F37"/>
    <w:rsid w:val="00B029B8"/>
    <w:rsid w:val="00B02F60"/>
    <w:rsid w:val="00B02F94"/>
    <w:rsid w:val="00B032B8"/>
    <w:rsid w:val="00B0396A"/>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1AE5"/>
    <w:rsid w:val="00B120F3"/>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1531"/>
    <w:rsid w:val="00B419EA"/>
    <w:rsid w:val="00B42264"/>
    <w:rsid w:val="00B434B2"/>
    <w:rsid w:val="00B43B9E"/>
    <w:rsid w:val="00B43D45"/>
    <w:rsid w:val="00B459AF"/>
    <w:rsid w:val="00B468F2"/>
    <w:rsid w:val="00B469DE"/>
    <w:rsid w:val="00B47286"/>
    <w:rsid w:val="00B47EB4"/>
    <w:rsid w:val="00B50234"/>
    <w:rsid w:val="00B5052F"/>
    <w:rsid w:val="00B51641"/>
    <w:rsid w:val="00B51BF4"/>
    <w:rsid w:val="00B52279"/>
    <w:rsid w:val="00B522D7"/>
    <w:rsid w:val="00B527AD"/>
    <w:rsid w:val="00B52C68"/>
    <w:rsid w:val="00B5372B"/>
    <w:rsid w:val="00B542FE"/>
    <w:rsid w:val="00B54360"/>
    <w:rsid w:val="00B55A1B"/>
    <w:rsid w:val="00B561DB"/>
    <w:rsid w:val="00B5645C"/>
    <w:rsid w:val="00B56DF9"/>
    <w:rsid w:val="00B56E80"/>
    <w:rsid w:val="00B571F1"/>
    <w:rsid w:val="00B600BD"/>
    <w:rsid w:val="00B60E4E"/>
    <w:rsid w:val="00B61274"/>
    <w:rsid w:val="00B61DCE"/>
    <w:rsid w:val="00B62188"/>
    <w:rsid w:val="00B621D6"/>
    <w:rsid w:val="00B622E3"/>
    <w:rsid w:val="00B62F79"/>
    <w:rsid w:val="00B62F82"/>
    <w:rsid w:val="00B63028"/>
    <w:rsid w:val="00B6306A"/>
    <w:rsid w:val="00B635E3"/>
    <w:rsid w:val="00B64B9A"/>
    <w:rsid w:val="00B65646"/>
    <w:rsid w:val="00B662FF"/>
    <w:rsid w:val="00B665B8"/>
    <w:rsid w:val="00B665F6"/>
    <w:rsid w:val="00B66679"/>
    <w:rsid w:val="00B70145"/>
    <w:rsid w:val="00B701C9"/>
    <w:rsid w:val="00B710AD"/>
    <w:rsid w:val="00B71288"/>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86F"/>
    <w:rsid w:val="00B82B78"/>
    <w:rsid w:val="00B82FD9"/>
    <w:rsid w:val="00B845B4"/>
    <w:rsid w:val="00B84662"/>
    <w:rsid w:val="00B84C74"/>
    <w:rsid w:val="00B84CE9"/>
    <w:rsid w:val="00B84F6E"/>
    <w:rsid w:val="00B85191"/>
    <w:rsid w:val="00B85412"/>
    <w:rsid w:val="00B858A1"/>
    <w:rsid w:val="00B85FEC"/>
    <w:rsid w:val="00B864A3"/>
    <w:rsid w:val="00B86C2A"/>
    <w:rsid w:val="00B87575"/>
    <w:rsid w:val="00B902A5"/>
    <w:rsid w:val="00B90420"/>
    <w:rsid w:val="00B90848"/>
    <w:rsid w:val="00B91146"/>
    <w:rsid w:val="00B913E4"/>
    <w:rsid w:val="00B91DB9"/>
    <w:rsid w:val="00B91FF3"/>
    <w:rsid w:val="00B925F8"/>
    <w:rsid w:val="00B9330A"/>
    <w:rsid w:val="00B93EFE"/>
    <w:rsid w:val="00B944B9"/>
    <w:rsid w:val="00B94956"/>
    <w:rsid w:val="00B94C7F"/>
    <w:rsid w:val="00B94E93"/>
    <w:rsid w:val="00B956B5"/>
    <w:rsid w:val="00B95956"/>
    <w:rsid w:val="00B95ABC"/>
    <w:rsid w:val="00B96DF2"/>
    <w:rsid w:val="00B96E18"/>
    <w:rsid w:val="00B96F5A"/>
    <w:rsid w:val="00B97AF7"/>
    <w:rsid w:val="00BA02CF"/>
    <w:rsid w:val="00BA0A69"/>
    <w:rsid w:val="00BA0B39"/>
    <w:rsid w:val="00BA0CB2"/>
    <w:rsid w:val="00BA0E26"/>
    <w:rsid w:val="00BA138B"/>
    <w:rsid w:val="00BA2471"/>
    <w:rsid w:val="00BA305B"/>
    <w:rsid w:val="00BA31BF"/>
    <w:rsid w:val="00BA3C0F"/>
    <w:rsid w:val="00BA3FC7"/>
    <w:rsid w:val="00BA44F2"/>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577D"/>
    <w:rsid w:val="00BC588C"/>
    <w:rsid w:val="00BC6E73"/>
    <w:rsid w:val="00BC74D3"/>
    <w:rsid w:val="00BC7AC5"/>
    <w:rsid w:val="00BD0014"/>
    <w:rsid w:val="00BD01D8"/>
    <w:rsid w:val="00BD255F"/>
    <w:rsid w:val="00BD2895"/>
    <w:rsid w:val="00BD3194"/>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14CC"/>
    <w:rsid w:val="00BF1821"/>
    <w:rsid w:val="00BF22E9"/>
    <w:rsid w:val="00BF4342"/>
    <w:rsid w:val="00BF4704"/>
    <w:rsid w:val="00BF4FFC"/>
    <w:rsid w:val="00BF5050"/>
    <w:rsid w:val="00BF50D1"/>
    <w:rsid w:val="00BF5422"/>
    <w:rsid w:val="00BF59B1"/>
    <w:rsid w:val="00BF5C4D"/>
    <w:rsid w:val="00BF6625"/>
    <w:rsid w:val="00BF6A78"/>
    <w:rsid w:val="00BF6A9E"/>
    <w:rsid w:val="00BF7695"/>
    <w:rsid w:val="00BF775D"/>
    <w:rsid w:val="00BF79B4"/>
    <w:rsid w:val="00BF7C61"/>
    <w:rsid w:val="00C00366"/>
    <w:rsid w:val="00C01427"/>
    <w:rsid w:val="00C014C7"/>
    <w:rsid w:val="00C031CF"/>
    <w:rsid w:val="00C047AB"/>
    <w:rsid w:val="00C058AF"/>
    <w:rsid w:val="00C075B6"/>
    <w:rsid w:val="00C10027"/>
    <w:rsid w:val="00C124C1"/>
    <w:rsid w:val="00C128AE"/>
    <w:rsid w:val="00C12BA8"/>
    <w:rsid w:val="00C13094"/>
    <w:rsid w:val="00C136D6"/>
    <w:rsid w:val="00C13D5B"/>
    <w:rsid w:val="00C141D7"/>
    <w:rsid w:val="00C1711B"/>
    <w:rsid w:val="00C17AE2"/>
    <w:rsid w:val="00C20140"/>
    <w:rsid w:val="00C20CD6"/>
    <w:rsid w:val="00C20F27"/>
    <w:rsid w:val="00C213E0"/>
    <w:rsid w:val="00C215CF"/>
    <w:rsid w:val="00C21794"/>
    <w:rsid w:val="00C219C3"/>
    <w:rsid w:val="00C21A89"/>
    <w:rsid w:val="00C21C6D"/>
    <w:rsid w:val="00C2244B"/>
    <w:rsid w:val="00C22711"/>
    <w:rsid w:val="00C2280A"/>
    <w:rsid w:val="00C22B0D"/>
    <w:rsid w:val="00C22BFF"/>
    <w:rsid w:val="00C23522"/>
    <w:rsid w:val="00C23581"/>
    <w:rsid w:val="00C23E71"/>
    <w:rsid w:val="00C24015"/>
    <w:rsid w:val="00C240C1"/>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A39"/>
    <w:rsid w:val="00C33F55"/>
    <w:rsid w:val="00C34619"/>
    <w:rsid w:val="00C348D9"/>
    <w:rsid w:val="00C35D01"/>
    <w:rsid w:val="00C360B3"/>
    <w:rsid w:val="00C36451"/>
    <w:rsid w:val="00C365EA"/>
    <w:rsid w:val="00C367F0"/>
    <w:rsid w:val="00C37027"/>
    <w:rsid w:val="00C373BF"/>
    <w:rsid w:val="00C37B15"/>
    <w:rsid w:val="00C37B19"/>
    <w:rsid w:val="00C41349"/>
    <w:rsid w:val="00C413CB"/>
    <w:rsid w:val="00C41558"/>
    <w:rsid w:val="00C42752"/>
    <w:rsid w:val="00C42973"/>
    <w:rsid w:val="00C43426"/>
    <w:rsid w:val="00C4443A"/>
    <w:rsid w:val="00C46A3D"/>
    <w:rsid w:val="00C46B95"/>
    <w:rsid w:val="00C4712A"/>
    <w:rsid w:val="00C47CCC"/>
    <w:rsid w:val="00C5001E"/>
    <w:rsid w:val="00C5034F"/>
    <w:rsid w:val="00C50830"/>
    <w:rsid w:val="00C52479"/>
    <w:rsid w:val="00C5266E"/>
    <w:rsid w:val="00C52C59"/>
    <w:rsid w:val="00C5349E"/>
    <w:rsid w:val="00C539FF"/>
    <w:rsid w:val="00C54215"/>
    <w:rsid w:val="00C544BD"/>
    <w:rsid w:val="00C54D3D"/>
    <w:rsid w:val="00C55A30"/>
    <w:rsid w:val="00C55E1C"/>
    <w:rsid w:val="00C56076"/>
    <w:rsid w:val="00C56384"/>
    <w:rsid w:val="00C567E9"/>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28F"/>
    <w:rsid w:val="00C6540A"/>
    <w:rsid w:val="00C668A1"/>
    <w:rsid w:val="00C67223"/>
    <w:rsid w:val="00C707B8"/>
    <w:rsid w:val="00C712AC"/>
    <w:rsid w:val="00C7158C"/>
    <w:rsid w:val="00C71C15"/>
    <w:rsid w:val="00C71F3D"/>
    <w:rsid w:val="00C72F53"/>
    <w:rsid w:val="00C72FF7"/>
    <w:rsid w:val="00C74035"/>
    <w:rsid w:val="00C748EA"/>
    <w:rsid w:val="00C76FB0"/>
    <w:rsid w:val="00C77818"/>
    <w:rsid w:val="00C8063F"/>
    <w:rsid w:val="00C81282"/>
    <w:rsid w:val="00C8155F"/>
    <w:rsid w:val="00C8198D"/>
    <w:rsid w:val="00C82167"/>
    <w:rsid w:val="00C827B4"/>
    <w:rsid w:val="00C831FE"/>
    <w:rsid w:val="00C83214"/>
    <w:rsid w:val="00C8329F"/>
    <w:rsid w:val="00C84E65"/>
    <w:rsid w:val="00C84F8A"/>
    <w:rsid w:val="00C85BA4"/>
    <w:rsid w:val="00C8618F"/>
    <w:rsid w:val="00C8625D"/>
    <w:rsid w:val="00C865AD"/>
    <w:rsid w:val="00C86612"/>
    <w:rsid w:val="00C87217"/>
    <w:rsid w:val="00C87402"/>
    <w:rsid w:val="00C90372"/>
    <w:rsid w:val="00C9041F"/>
    <w:rsid w:val="00C915CA"/>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CA7"/>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979"/>
    <w:rsid w:val="00CB7A04"/>
    <w:rsid w:val="00CB7DDE"/>
    <w:rsid w:val="00CC0A3D"/>
    <w:rsid w:val="00CC2FF0"/>
    <w:rsid w:val="00CC313F"/>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6666"/>
    <w:rsid w:val="00CD72C5"/>
    <w:rsid w:val="00CD79A7"/>
    <w:rsid w:val="00CD7FAD"/>
    <w:rsid w:val="00CE0789"/>
    <w:rsid w:val="00CE0E8D"/>
    <w:rsid w:val="00CE1A03"/>
    <w:rsid w:val="00CE2346"/>
    <w:rsid w:val="00CE25B2"/>
    <w:rsid w:val="00CE3529"/>
    <w:rsid w:val="00CE35C8"/>
    <w:rsid w:val="00CE3962"/>
    <w:rsid w:val="00CE43FA"/>
    <w:rsid w:val="00CE4D0A"/>
    <w:rsid w:val="00CE4D1A"/>
    <w:rsid w:val="00CE4E8A"/>
    <w:rsid w:val="00CE5105"/>
    <w:rsid w:val="00CE5525"/>
    <w:rsid w:val="00CE56BD"/>
    <w:rsid w:val="00CE5EC0"/>
    <w:rsid w:val="00CE68AD"/>
    <w:rsid w:val="00CE6BA5"/>
    <w:rsid w:val="00CE6F15"/>
    <w:rsid w:val="00CE6F9F"/>
    <w:rsid w:val="00CE781A"/>
    <w:rsid w:val="00CE7B08"/>
    <w:rsid w:val="00CE7B7A"/>
    <w:rsid w:val="00CE7D52"/>
    <w:rsid w:val="00CF0AAA"/>
    <w:rsid w:val="00CF0AB7"/>
    <w:rsid w:val="00CF1D74"/>
    <w:rsid w:val="00CF2BE2"/>
    <w:rsid w:val="00CF371A"/>
    <w:rsid w:val="00CF3791"/>
    <w:rsid w:val="00CF37C2"/>
    <w:rsid w:val="00CF3DE4"/>
    <w:rsid w:val="00CF3DEB"/>
    <w:rsid w:val="00CF55F9"/>
    <w:rsid w:val="00CF578D"/>
    <w:rsid w:val="00CF7074"/>
    <w:rsid w:val="00CF7495"/>
    <w:rsid w:val="00CF76D6"/>
    <w:rsid w:val="00D01CF9"/>
    <w:rsid w:val="00D021E8"/>
    <w:rsid w:val="00D0334D"/>
    <w:rsid w:val="00D0374D"/>
    <w:rsid w:val="00D06312"/>
    <w:rsid w:val="00D06D7B"/>
    <w:rsid w:val="00D06DA5"/>
    <w:rsid w:val="00D07191"/>
    <w:rsid w:val="00D07319"/>
    <w:rsid w:val="00D07F1D"/>
    <w:rsid w:val="00D10558"/>
    <w:rsid w:val="00D10EE8"/>
    <w:rsid w:val="00D11140"/>
    <w:rsid w:val="00D11739"/>
    <w:rsid w:val="00D119A6"/>
    <w:rsid w:val="00D11D4D"/>
    <w:rsid w:val="00D11DB1"/>
    <w:rsid w:val="00D126DC"/>
    <w:rsid w:val="00D12B03"/>
    <w:rsid w:val="00D13E70"/>
    <w:rsid w:val="00D13EE7"/>
    <w:rsid w:val="00D147BE"/>
    <w:rsid w:val="00D148A0"/>
    <w:rsid w:val="00D15ECD"/>
    <w:rsid w:val="00D15FCD"/>
    <w:rsid w:val="00D16C58"/>
    <w:rsid w:val="00D17019"/>
    <w:rsid w:val="00D1705A"/>
    <w:rsid w:val="00D17ABA"/>
    <w:rsid w:val="00D17FC8"/>
    <w:rsid w:val="00D2008F"/>
    <w:rsid w:val="00D2015B"/>
    <w:rsid w:val="00D207E7"/>
    <w:rsid w:val="00D20B44"/>
    <w:rsid w:val="00D21168"/>
    <w:rsid w:val="00D21C3A"/>
    <w:rsid w:val="00D2224A"/>
    <w:rsid w:val="00D2385D"/>
    <w:rsid w:val="00D23FF4"/>
    <w:rsid w:val="00D2438C"/>
    <w:rsid w:val="00D2585A"/>
    <w:rsid w:val="00D25920"/>
    <w:rsid w:val="00D259B0"/>
    <w:rsid w:val="00D259C2"/>
    <w:rsid w:val="00D26C3F"/>
    <w:rsid w:val="00D27185"/>
    <w:rsid w:val="00D3028A"/>
    <w:rsid w:val="00D30E98"/>
    <w:rsid w:val="00D3125C"/>
    <w:rsid w:val="00D31ACD"/>
    <w:rsid w:val="00D32436"/>
    <w:rsid w:val="00D33488"/>
    <w:rsid w:val="00D33AB3"/>
    <w:rsid w:val="00D33F24"/>
    <w:rsid w:val="00D34160"/>
    <w:rsid w:val="00D346B8"/>
    <w:rsid w:val="00D34DCA"/>
    <w:rsid w:val="00D35AC8"/>
    <w:rsid w:val="00D360A7"/>
    <w:rsid w:val="00D36F87"/>
    <w:rsid w:val="00D37DF9"/>
    <w:rsid w:val="00D37E4E"/>
    <w:rsid w:val="00D40275"/>
    <w:rsid w:val="00D417D8"/>
    <w:rsid w:val="00D41F78"/>
    <w:rsid w:val="00D42ABC"/>
    <w:rsid w:val="00D42E6C"/>
    <w:rsid w:val="00D4351C"/>
    <w:rsid w:val="00D43B80"/>
    <w:rsid w:val="00D44988"/>
    <w:rsid w:val="00D45B4C"/>
    <w:rsid w:val="00D45BA4"/>
    <w:rsid w:val="00D471AF"/>
    <w:rsid w:val="00D471E2"/>
    <w:rsid w:val="00D4724F"/>
    <w:rsid w:val="00D50252"/>
    <w:rsid w:val="00D50519"/>
    <w:rsid w:val="00D50702"/>
    <w:rsid w:val="00D50779"/>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8C0"/>
    <w:rsid w:val="00D60D6D"/>
    <w:rsid w:val="00D6128C"/>
    <w:rsid w:val="00D63B22"/>
    <w:rsid w:val="00D66009"/>
    <w:rsid w:val="00D66D8B"/>
    <w:rsid w:val="00D671B2"/>
    <w:rsid w:val="00D70849"/>
    <w:rsid w:val="00D70DFA"/>
    <w:rsid w:val="00D72297"/>
    <w:rsid w:val="00D72A1C"/>
    <w:rsid w:val="00D72F80"/>
    <w:rsid w:val="00D7308F"/>
    <w:rsid w:val="00D7313E"/>
    <w:rsid w:val="00D73396"/>
    <w:rsid w:val="00D73580"/>
    <w:rsid w:val="00D73802"/>
    <w:rsid w:val="00D73883"/>
    <w:rsid w:val="00D73C2C"/>
    <w:rsid w:val="00D73D52"/>
    <w:rsid w:val="00D73E70"/>
    <w:rsid w:val="00D745E7"/>
    <w:rsid w:val="00D75FDA"/>
    <w:rsid w:val="00D774ED"/>
    <w:rsid w:val="00D776AD"/>
    <w:rsid w:val="00D777C3"/>
    <w:rsid w:val="00D7797C"/>
    <w:rsid w:val="00D77C44"/>
    <w:rsid w:val="00D77F88"/>
    <w:rsid w:val="00D8151B"/>
    <w:rsid w:val="00D81AFA"/>
    <w:rsid w:val="00D81EAA"/>
    <w:rsid w:val="00D81FE2"/>
    <w:rsid w:val="00D8259F"/>
    <w:rsid w:val="00D825F2"/>
    <w:rsid w:val="00D8285C"/>
    <w:rsid w:val="00D828B1"/>
    <w:rsid w:val="00D82A55"/>
    <w:rsid w:val="00D8305B"/>
    <w:rsid w:val="00D830F8"/>
    <w:rsid w:val="00D83D49"/>
    <w:rsid w:val="00D84181"/>
    <w:rsid w:val="00D846AD"/>
    <w:rsid w:val="00D84754"/>
    <w:rsid w:val="00D84F27"/>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CA4"/>
    <w:rsid w:val="00D95E99"/>
    <w:rsid w:val="00D965D5"/>
    <w:rsid w:val="00D96F7C"/>
    <w:rsid w:val="00D9714B"/>
    <w:rsid w:val="00D97DA2"/>
    <w:rsid w:val="00DA0485"/>
    <w:rsid w:val="00DA19AA"/>
    <w:rsid w:val="00DA1A3A"/>
    <w:rsid w:val="00DA1FC3"/>
    <w:rsid w:val="00DA2351"/>
    <w:rsid w:val="00DA249E"/>
    <w:rsid w:val="00DA2D3D"/>
    <w:rsid w:val="00DA35D9"/>
    <w:rsid w:val="00DA3855"/>
    <w:rsid w:val="00DA39BA"/>
    <w:rsid w:val="00DA4C30"/>
    <w:rsid w:val="00DA538E"/>
    <w:rsid w:val="00DA5FB3"/>
    <w:rsid w:val="00DA6980"/>
    <w:rsid w:val="00DA6A44"/>
    <w:rsid w:val="00DA7A3C"/>
    <w:rsid w:val="00DB145E"/>
    <w:rsid w:val="00DB1A94"/>
    <w:rsid w:val="00DB1D52"/>
    <w:rsid w:val="00DB1E2B"/>
    <w:rsid w:val="00DB1F62"/>
    <w:rsid w:val="00DB21E7"/>
    <w:rsid w:val="00DB2E03"/>
    <w:rsid w:val="00DB3742"/>
    <w:rsid w:val="00DB3C5A"/>
    <w:rsid w:val="00DB3E9B"/>
    <w:rsid w:val="00DB3F4B"/>
    <w:rsid w:val="00DB5375"/>
    <w:rsid w:val="00DB6003"/>
    <w:rsid w:val="00DB6769"/>
    <w:rsid w:val="00DB67C1"/>
    <w:rsid w:val="00DB6C0B"/>
    <w:rsid w:val="00DB70F4"/>
    <w:rsid w:val="00DB748A"/>
    <w:rsid w:val="00DB7CB7"/>
    <w:rsid w:val="00DC1056"/>
    <w:rsid w:val="00DC1442"/>
    <w:rsid w:val="00DC1781"/>
    <w:rsid w:val="00DC21D8"/>
    <w:rsid w:val="00DC282A"/>
    <w:rsid w:val="00DC2DE8"/>
    <w:rsid w:val="00DC34DC"/>
    <w:rsid w:val="00DC3780"/>
    <w:rsid w:val="00DC3ADA"/>
    <w:rsid w:val="00DC3CC6"/>
    <w:rsid w:val="00DC3F55"/>
    <w:rsid w:val="00DC4782"/>
    <w:rsid w:val="00DC4B02"/>
    <w:rsid w:val="00DC514A"/>
    <w:rsid w:val="00DC5C19"/>
    <w:rsid w:val="00DC67B1"/>
    <w:rsid w:val="00DC7FBC"/>
    <w:rsid w:val="00DD0019"/>
    <w:rsid w:val="00DD132B"/>
    <w:rsid w:val="00DD1571"/>
    <w:rsid w:val="00DD1725"/>
    <w:rsid w:val="00DD2159"/>
    <w:rsid w:val="00DD218B"/>
    <w:rsid w:val="00DD28BA"/>
    <w:rsid w:val="00DD2A18"/>
    <w:rsid w:val="00DD3044"/>
    <w:rsid w:val="00DD3985"/>
    <w:rsid w:val="00DD61E8"/>
    <w:rsid w:val="00DD62C0"/>
    <w:rsid w:val="00DD63F8"/>
    <w:rsid w:val="00DD64DE"/>
    <w:rsid w:val="00DD66DE"/>
    <w:rsid w:val="00DD7197"/>
    <w:rsid w:val="00DD7859"/>
    <w:rsid w:val="00DD7B41"/>
    <w:rsid w:val="00DD7F43"/>
    <w:rsid w:val="00DE0784"/>
    <w:rsid w:val="00DE0A1D"/>
    <w:rsid w:val="00DE15B2"/>
    <w:rsid w:val="00DE1A9A"/>
    <w:rsid w:val="00DE3D2C"/>
    <w:rsid w:val="00DE57D0"/>
    <w:rsid w:val="00DE5E82"/>
    <w:rsid w:val="00DE5EC5"/>
    <w:rsid w:val="00DE5FA6"/>
    <w:rsid w:val="00DE6792"/>
    <w:rsid w:val="00DE6AA1"/>
    <w:rsid w:val="00DE77A3"/>
    <w:rsid w:val="00DE7EF7"/>
    <w:rsid w:val="00DF015B"/>
    <w:rsid w:val="00DF02EC"/>
    <w:rsid w:val="00DF10FC"/>
    <w:rsid w:val="00DF1185"/>
    <w:rsid w:val="00DF1299"/>
    <w:rsid w:val="00DF1620"/>
    <w:rsid w:val="00DF1A70"/>
    <w:rsid w:val="00DF1E5F"/>
    <w:rsid w:val="00DF23A8"/>
    <w:rsid w:val="00DF2EE1"/>
    <w:rsid w:val="00DF2F27"/>
    <w:rsid w:val="00DF36B6"/>
    <w:rsid w:val="00DF4296"/>
    <w:rsid w:val="00DF4582"/>
    <w:rsid w:val="00DF5267"/>
    <w:rsid w:val="00DF53F0"/>
    <w:rsid w:val="00DF5700"/>
    <w:rsid w:val="00DF5F38"/>
    <w:rsid w:val="00DF604C"/>
    <w:rsid w:val="00DF6608"/>
    <w:rsid w:val="00DF6CCC"/>
    <w:rsid w:val="00DF6D0C"/>
    <w:rsid w:val="00DF6F64"/>
    <w:rsid w:val="00DF721E"/>
    <w:rsid w:val="00DF72F3"/>
    <w:rsid w:val="00DF7549"/>
    <w:rsid w:val="00DF78D0"/>
    <w:rsid w:val="00DF7B8A"/>
    <w:rsid w:val="00DF7C87"/>
    <w:rsid w:val="00E009B0"/>
    <w:rsid w:val="00E00A12"/>
    <w:rsid w:val="00E00B39"/>
    <w:rsid w:val="00E00C49"/>
    <w:rsid w:val="00E01C9C"/>
    <w:rsid w:val="00E01FF4"/>
    <w:rsid w:val="00E0219D"/>
    <w:rsid w:val="00E032D9"/>
    <w:rsid w:val="00E04482"/>
    <w:rsid w:val="00E04C0F"/>
    <w:rsid w:val="00E05510"/>
    <w:rsid w:val="00E0570B"/>
    <w:rsid w:val="00E05B1D"/>
    <w:rsid w:val="00E05B91"/>
    <w:rsid w:val="00E069C5"/>
    <w:rsid w:val="00E1065D"/>
    <w:rsid w:val="00E10913"/>
    <w:rsid w:val="00E10B87"/>
    <w:rsid w:val="00E121CE"/>
    <w:rsid w:val="00E12209"/>
    <w:rsid w:val="00E144C4"/>
    <w:rsid w:val="00E14585"/>
    <w:rsid w:val="00E1478B"/>
    <w:rsid w:val="00E14FAC"/>
    <w:rsid w:val="00E15007"/>
    <w:rsid w:val="00E15DC6"/>
    <w:rsid w:val="00E16277"/>
    <w:rsid w:val="00E16EC7"/>
    <w:rsid w:val="00E17DCC"/>
    <w:rsid w:val="00E219CE"/>
    <w:rsid w:val="00E21D93"/>
    <w:rsid w:val="00E22A86"/>
    <w:rsid w:val="00E22D2A"/>
    <w:rsid w:val="00E22F39"/>
    <w:rsid w:val="00E24071"/>
    <w:rsid w:val="00E24142"/>
    <w:rsid w:val="00E24DCA"/>
    <w:rsid w:val="00E24EBC"/>
    <w:rsid w:val="00E2522C"/>
    <w:rsid w:val="00E2552F"/>
    <w:rsid w:val="00E2599B"/>
    <w:rsid w:val="00E2710C"/>
    <w:rsid w:val="00E272BD"/>
    <w:rsid w:val="00E27428"/>
    <w:rsid w:val="00E27E58"/>
    <w:rsid w:val="00E305B4"/>
    <w:rsid w:val="00E314CB"/>
    <w:rsid w:val="00E31AFA"/>
    <w:rsid w:val="00E31CB7"/>
    <w:rsid w:val="00E324EE"/>
    <w:rsid w:val="00E3367B"/>
    <w:rsid w:val="00E34DB1"/>
    <w:rsid w:val="00E35339"/>
    <w:rsid w:val="00E35931"/>
    <w:rsid w:val="00E359FF"/>
    <w:rsid w:val="00E36337"/>
    <w:rsid w:val="00E3699A"/>
    <w:rsid w:val="00E371E1"/>
    <w:rsid w:val="00E402C5"/>
    <w:rsid w:val="00E402F4"/>
    <w:rsid w:val="00E405F1"/>
    <w:rsid w:val="00E41774"/>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75C"/>
    <w:rsid w:val="00E51E16"/>
    <w:rsid w:val="00E52990"/>
    <w:rsid w:val="00E52DED"/>
    <w:rsid w:val="00E532C6"/>
    <w:rsid w:val="00E53730"/>
    <w:rsid w:val="00E5410A"/>
    <w:rsid w:val="00E5438D"/>
    <w:rsid w:val="00E54511"/>
    <w:rsid w:val="00E54E50"/>
    <w:rsid w:val="00E55288"/>
    <w:rsid w:val="00E57577"/>
    <w:rsid w:val="00E5796E"/>
    <w:rsid w:val="00E57CDA"/>
    <w:rsid w:val="00E62043"/>
    <w:rsid w:val="00E626B9"/>
    <w:rsid w:val="00E627C9"/>
    <w:rsid w:val="00E630F3"/>
    <w:rsid w:val="00E6332F"/>
    <w:rsid w:val="00E637C9"/>
    <w:rsid w:val="00E6402D"/>
    <w:rsid w:val="00E6680A"/>
    <w:rsid w:val="00E669E3"/>
    <w:rsid w:val="00E66F0D"/>
    <w:rsid w:val="00E66F5F"/>
    <w:rsid w:val="00E67BFA"/>
    <w:rsid w:val="00E7004F"/>
    <w:rsid w:val="00E70615"/>
    <w:rsid w:val="00E7159E"/>
    <w:rsid w:val="00E7161E"/>
    <w:rsid w:val="00E71BE3"/>
    <w:rsid w:val="00E72004"/>
    <w:rsid w:val="00E7207B"/>
    <w:rsid w:val="00E722CF"/>
    <w:rsid w:val="00E72880"/>
    <w:rsid w:val="00E7347A"/>
    <w:rsid w:val="00E75A47"/>
    <w:rsid w:val="00E75BB6"/>
    <w:rsid w:val="00E75D8C"/>
    <w:rsid w:val="00E76E93"/>
    <w:rsid w:val="00E7719C"/>
    <w:rsid w:val="00E7757E"/>
    <w:rsid w:val="00E777F2"/>
    <w:rsid w:val="00E802C9"/>
    <w:rsid w:val="00E80BFB"/>
    <w:rsid w:val="00E80EC2"/>
    <w:rsid w:val="00E80F0A"/>
    <w:rsid w:val="00E81291"/>
    <w:rsid w:val="00E815D4"/>
    <w:rsid w:val="00E81711"/>
    <w:rsid w:val="00E818FD"/>
    <w:rsid w:val="00E819BA"/>
    <w:rsid w:val="00E8291B"/>
    <w:rsid w:val="00E82E70"/>
    <w:rsid w:val="00E82F92"/>
    <w:rsid w:val="00E8395F"/>
    <w:rsid w:val="00E83ECB"/>
    <w:rsid w:val="00E8410F"/>
    <w:rsid w:val="00E849D7"/>
    <w:rsid w:val="00E85E41"/>
    <w:rsid w:val="00E85EA1"/>
    <w:rsid w:val="00E86703"/>
    <w:rsid w:val="00E86C01"/>
    <w:rsid w:val="00E900DA"/>
    <w:rsid w:val="00E90496"/>
    <w:rsid w:val="00E91044"/>
    <w:rsid w:val="00E910D3"/>
    <w:rsid w:val="00E91CBA"/>
    <w:rsid w:val="00E92097"/>
    <w:rsid w:val="00E92154"/>
    <w:rsid w:val="00E923CF"/>
    <w:rsid w:val="00E93685"/>
    <w:rsid w:val="00E93B65"/>
    <w:rsid w:val="00E93C8C"/>
    <w:rsid w:val="00E95111"/>
    <w:rsid w:val="00E95FDF"/>
    <w:rsid w:val="00E960AD"/>
    <w:rsid w:val="00E9677F"/>
    <w:rsid w:val="00E96898"/>
    <w:rsid w:val="00E97043"/>
    <w:rsid w:val="00EA0185"/>
    <w:rsid w:val="00EA05B6"/>
    <w:rsid w:val="00EA14C8"/>
    <w:rsid w:val="00EA2110"/>
    <w:rsid w:val="00EA24AF"/>
    <w:rsid w:val="00EA283A"/>
    <w:rsid w:val="00EA2C90"/>
    <w:rsid w:val="00EA2E07"/>
    <w:rsid w:val="00EA383B"/>
    <w:rsid w:val="00EA44ED"/>
    <w:rsid w:val="00EA48F3"/>
    <w:rsid w:val="00EA4D46"/>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C0317"/>
    <w:rsid w:val="00EC1CEB"/>
    <w:rsid w:val="00EC1DC0"/>
    <w:rsid w:val="00EC1DC2"/>
    <w:rsid w:val="00EC1E09"/>
    <w:rsid w:val="00EC210E"/>
    <w:rsid w:val="00EC21EC"/>
    <w:rsid w:val="00EC24B8"/>
    <w:rsid w:val="00EC268C"/>
    <w:rsid w:val="00EC3753"/>
    <w:rsid w:val="00EC3FB6"/>
    <w:rsid w:val="00EC4E71"/>
    <w:rsid w:val="00EC5F1C"/>
    <w:rsid w:val="00EC7AEB"/>
    <w:rsid w:val="00ED0365"/>
    <w:rsid w:val="00ED0512"/>
    <w:rsid w:val="00ED0865"/>
    <w:rsid w:val="00ED0C1C"/>
    <w:rsid w:val="00ED1C60"/>
    <w:rsid w:val="00ED2EB9"/>
    <w:rsid w:val="00ED3722"/>
    <w:rsid w:val="00ED3A31"/>
    <w:rsid w:val="00ED3AEF"/>
    <w:rsid w:val="00ED4469"/>
    <w:rsid w:val="00ED5424"/>
    <w:rsid w:val="00ED5F23"/>
    <w:rsid w:val="00ED6DC0"/>
    <w:rsid w:val="00ED7272"/>
    <w:rsid w:val="00ED7A7A"/>
    <w:rsid w:val="00EE0327"/>
    <w:rsid w:val="00EE038C"/>
    <w:rsid w:val="00EE064D"/>
    <w:rsid w:val="00EE105A"/>
    <w:rsid w:val="00EE1D00"/>
    <w:rsid w:val="00EE259E"/>
    <w:rsid w:val="00EE25C8"/>
    <w:rsid w:val="00EE28C5"/>
    <w:rsid w:val="00EE2F09"/>
    <w:rsid w:val="00EE47C5"/>
    <w:rsid w:val="00EE490C"/>
    <w:rsid w:val="00EE4E57"/>
    <w:rsid w:val="00EE5738"/>
    <w:rsid w:val="00EE58BD"/>
    <w:rsid w:val="00EE5DDB"/>
    <w:rsid w:val="00EE5E59"/>
    <w:rsid w:val="00EE5FA9"/>
    <w:rsid w:val="00EE73D0"/>
    <w:rsid w:val="00EE7CB0"/>
    <w:rsid w:val="00EE7CD1"/>
    <w:rsid w:val="00EF08A8"/>
    <w:rsid w:val="00EF167B"/>
    <w:rsid w:val="00EF1C90"/>
    <w:rsid w:val="00EF2496"/>
    <w:rsid w:val="00EF2CEE"/>
    <w:rsid w:val="00EF41A8"/>
    <w:rsid w:val="00EF44FB"/>
    <w:rsid w:val="00EF5122"/>
    <w:rsid w:val="00EF5554"/>
    <w:rsid w:val="00EF5AD8"/>
    <w:rsid w:val="00EF6B90"/>
    <w:rsid w:val="00EF70C9"/>
    <w:rsid w:val="00EF741E"/>
    <w:rsid w:val="00EF7807"/>
    <w:rsid w:val="00EF79F7"/>
    <w:rsid w:val="00F006C0"/>
    <w:rsid w:val="00F0125F"/>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675"/>
    <w:rsid w:val="00F123DA"/>
    <w:rsid w:val="00F12557"/>
    <w:rsid w:val="00F127C8"/>
    <w:rsid w:val="00F12881"/>
    <w:rsid w:val="00F12C62"/>
    <w:rsid w:val="00F134BA"/>
    <w:rsid w:val="00F13599"/>
    <w:rsid w:val="00F13A71"/>
    <w:rsid w:val="00F13B28"/>
    <w:rsid w:val="00F14DCD"/>
    <w:rsid w:val="00F156A0"/>
    <w:rsid w:val="00F15730"/>
    <w:rsid w:val="00F176A6"/>
    <w:rsid w:val="00F17A24"/>
    <w:rsid w:val="00F202C2"/>
    <w:rsid w:val="00F204B3"/>
    <w:rsid w:val="00F2069B"/>
    <w:rsid w:val="00F212F6"/>
    <w:rsid w:val="00F2190F"/>
    <w:rsid w:val="00F22756"/>
    <w:rsid w:val="00F23248"/>
    <w:rsid w:val="00F23890"/>
    <w:rsid w:val="00F2504D"/>
    <w:rsid w:val="00F2595D"/>
    <w:rsid w:val="00F25B26"/>
    <w:rsid w:val="00F2637F"/>
    <w:rsid w:val="00F268F7"/>
    <w:rsid w:val="00F30B83"/>
    <w:rsid w:val="00F30BDB"/>
    <w:rsid w:val="00F30CF8"/>
    <w:rsid w:val="00F31402"/>
    <w:rsid w:val="00F318EB"/>
    <w:rsid w:val="00F31EDF"/>
    <w:rsid w:val="00F32507"/>
    <w:rsid w:val="00F32CDE"/>
    <w:rsid w:val="00F32D4C"/>
    <w:rsid w:val="00F3327E"/>
    <w:rsid w:val="00F338C3"/>
    <w:rsid w:val="00F34B14"/>
    <w:rsid w:val="00F34CF1"/>
    <w:rsid w:val="00F34E35"/>
    <w:rsid w:val="00F34F58"/>
    <w:rsid w:val="00F3572F"/>
    <w:rsid w:val="00F35DA7"/>
    <w:rsid w:val="00F36A6A"/>
    <w:rsid w:val="00F40101"/>
    <w:rsid w:val="00F404F7"/>
    <w:rsid w:val="00F40CCA"/>
    <w:rsid w:val="00F41E02"/>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1"/>
    <w:rsid w:val="00F53C15"/>
    <w:rsid w:val="00F540FE"/>
    <w:rsid w:val="00F5459A"/>
    <w:rsid w:val="00F556FF"/>
    <w:rsid w:val="00F55D12"/>
    <w:rsid w:val="00F5687F"/>
    <w:rsid w:val="00F56D3F"/>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71"/>
    <w:rsid w:val="00F6533A"/>
    <w:rsid w:val="00F6560D"/>
    <w:rsid w:val="00F669BD"/>
    <w:rsid w:val="00F67844"/>
    <w:rsid w:val="00F67B09"/>
    <w:rsid w:val="00F705F6"/>
    <w:rsid w:val="00F70795"/>
    <w:rsid w:val="00F70799"/>
    <w:rsid w:val="00F70A8B"/>
    <w:rsid w:val="00F70B8D"/>
    <w:rsid w:val="00F71936"/>
    <w:rsid w:val="00F71F81"/>
    <w:rsid w:val="00F724FB"/>
    <w:rsid w:val="00F726B8"/>
    <w:rsid w:val="00F72A26"/>
    <w:rsid w:val="00F733C3"/>
    <w:rsid w:val="00F73E15"/>
    <w:rsid w:val="00F746A1"/>
    <w:rsid w:val="00F74820"/>
    <w:rsid w:val="00F7506D"/>
    <w:rsid w:val="00F755DD"/>
    <w:rsid w:val="00F756DD"/>
    <w:rsid w:val="00F77F4E"/>
    <w:rsid w:val="00F80047"/>
    <w:rsid w:val="00F800C7"/>
    <w:rsid w:val="00F80361"/>
    <w:rsid w:val="00F8104D"/>
    <w:rsid w:val="00F8153F"/>
    <w:rsid w:val="00F81587"/>
    <w:rsid w:val="00F819DE"/>
    <w:rsid w:val="00F81B2A"/>
    <w:rsid w:val="00F81C12"/>
    <w:rsid w:val="00F82053"/>
    <w:rsid w:val="00F825C4"/>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7F3"/>
    <w:rsid w:val="00F91A9A"/>
    <w:rsid w:val="00F923AF"/>
    <w:rsid w:val="00F92634"/>
    <w:rsid w:val="00F933F3"/>
    <w:rsid w:val="00F93ABB"/>
    <w:rsid w:val="00F94D79"/>
    <w:rsid w:val="00F9658C"/>
    <w:rsid w:val="00F96EEB"/>
    <w:rsid w:val="00F97A7F"/>
    <w:rsid w:val="00F97CD0"/>
    <w:rsid w:val="00F97D7A"/>
    <w:rsid w:val="00FA0889"/>
    <w:rsid w:val="00FA16E7"/>
    <w:rsid w:val="00FA31C7"/>
    <w:rsid w:val="00FA472D"/>
    <w:rsid w:val="00FA4E96"/>
    <w:rsid w:val="00FA5A92"/>
    <w:rsid w:val="00FA681F"/>
    <w:rsid w:val="00FB0261"/>
    <w:rsid w:val="00FB0CBF"/>
    <w:rsid w:val="00FB18F6"/>
    <w:rsid w:val="00FB2A52"/>
    <w:rsid w:val="00FB3961"/>
    <w:rsid w:val="00FB39E0"/>
    <w:rsid w:val="00FB3F92"/>
    <w:rsid w:val="00FB52C7"/>
    <w:rsid w:val="00FB57DC"/>
    <w:rsid w:val="00FB5915"/>
    <w:rsid w:val="00FB6E19"/>
    <w:rsid w:val="00FB71F6"/>
    <w:rsid w:val="00FB74F1"/>
    <w:rsid w:val="00FC056A"/>
    <w:rsid w:val="00FC0670"/>
    <w:rsid w:val="00FC07AF"/>
    <w:rsid w:val="00FC0AF8"/>
    <w:rsid w:val="00FC0B69"/>
    <w:rsid w:val="00FC1055"/>
    <w:rsid w:val="00FC1238"/>
    <w:rsid w:val="00FC1483"/>
    <w:rsid w:val="00FC18D9"/>
    <w:rsid w:val="00FC1BEF"/>
    <w:rsid w:val="00FC1C47"/>
    <w:rsid w:val="00FC2869"/>
    <w:rsid w:val="00FC2F9E"/>
    <w:rsid w:val="00FC3102"/>
    <w:rsid w:val="00FC3848"/>
    <w:rsid w:val="00FC39ED"/>
    <w:rsid w:val="00FC3D40"/>
    <w:rsid w:val="00FC4419"/>
    <w:rsid w:val="00FC47E2"/>
    <w:rsid w:val="00FC4AA5"/>
    <w:rsid w:val="00FC4B88"/>
    <w:rsid w:val="00FC4BB8"/>
    <w:rsid w:val="00FC5148"/>
    <w:rsid w:val="00FC6524"/>
    <w:rsid w:val="00FC6B58"/>
    <w:rsid w:val="00FC711D"/>
    <w:rsid w:val="00FC75AC"/>
    <w:rsid w:val="00FC7984"/>
    <w:rsid w:val="00FD01BF"/>
    <w:rsid w:val="00FD0525"/>
    <w:rsid w:val="00FD0AB7"/>
    <w:rsid w:val="00FD297D"/>
    <w:rsid w:val="00FD2D13"/>
    <w:rsid w:val="00FD374D"/>
    <w:rsid w:val="00FD4D2A"/>
    <w:rsid w:val="00FD6071"/>
    <w:rsid w:val="00FD633B"/>
    <w:rsid w:val="00FD66ED"/>
    <w:rsid w:val="00FD6ABA"/>
    <w:rsid w:val="00FE0794"/>
    <w:rsid w:val="00FE1041"/>
    <w:rsid w:val="00FE1614"/>
    <w:rsid w:val="00FE24CB"/>
    <w:rsid w:val="00FE323F"/>
    <w:rsid w:val="00FE3473"/>
    <w:rsid w:val="00FE4049"/>
    <w:rsid w:val="00FE4794"/>
    <w:rsid w:val="00FE480F"/>
    <w:rsid w:val="00FE4998"/>
    <w:rsid w:val="00FE5382"/>
    <w:rsid w:val="00FE57DE"/>
    <w:rsid w:val="00FE719F"/>
    <w:rsid w:val="00FE7A68"/>
    <w:rsid w:val="00FF0231"/>
    <w:rsid w:val="00FF056D"/>
    <w:rsid w:val="00FF1C9B"/>
    <w:rsid w:val="00FF1D49"/>
    <w:rsid w:val="00FF203B"/>
    <w:rsid w:val="00FF2562"/>
    <w:rsid w:val="00FF3A41"/>
    <w:rsid w:val="00FF3E5B"/>
    <w:rsid w:val="00FF5183"/>
    <w:rsid w:val="00FF57E4"/>
    <w:rsid w:val="00FF5E26"/>
    <w:rsid w:val="00FF5ECD"/>
    <w:rsid w:val="00FF6149"/>
    <w:rsid w:val="00FF78E5"/>
    <w:rsid w:val="012C5FAF"/>
    <w:rsid w:val="01AF3D99"/>
    <w:rsid w:val="01BB6DC4"/>
    <w:rsid w:val="020952A3"/>
    <w:rsid w:val="02511F9D"/>
    <w:rsid w:val="02661E94"/>
    <w:rsid w:val="033D608E"/>
    <w:rsid w:val="035B37E5"/>
    <w:rsid w:val="038F5E0F"/>
    <w:rsid w:val="03A314B8"/>
    <w:rsid w:val="03A34A22"/>
    <w:rsid w:val="03AC1B29"/>
    <w:rsid w:val="03CE5F43"/>
    <w:rsid w:val="03D82B98"/>
    <w:rsid w:val="03F83E8B"/>
    <w:rsid w:val="04581455"/>
    <w:rsid w:val="047563BF"/>
    <w:rsid w:val="04F6399A"/>
    <w:rsid w:val="05A232D1"/>
    <w:rsid w:val="05C56868"/>
    <w:rsid w:val="06BE3943"/>
    <w:rsid w:val="06CF730C"/>
    <w:rsid w:val="06D05B2E"/>
    <w:rsid w:val="070E5601"/>
    <w:rsid w:val="075344C8"/>
    <w:rsid w:val="07A539BD"/>
    <w:rsid w:val="07B72767"/>
    <w:rsid w:val="08077E72"/>
    <w:rsid w:val="08180DBB"/>
    <w:rsid w:val="083D71F3"/>
    <w:rsid w:val="087679A3"/>
    <w:rsid w:val="08882DD0"/>
    <w:rsid w:val="088C7166"/>
    <w:rsid w:val="08940DDD"/>
    <w:rsid w:val="08C64275"/>
    <w:rsid w:val="08CF62A5"/>
    <w:rsid w:val="0915272C"/>
    <w:rsid w:val="09927790"/>
    <w:rsid w:val="09CC2AAC"/>
    <w:rsid w:val="09DE177A"/>
    <w:rsid w:val="0A5D08A7"/>
    <w:rsid w:val="0A652D3E"/>
    <w:rsid w:val="0A7F65BC"/>
    <w:rsid w:val="0B30303F"/>
    <w:rsid w:val="0B326F2A"/>
    <w:rsid w:val="0BCC27DC"/>
    <w:rsid w:val="0C191434"/>
    <w:rsid w:val="0C1E2888"/>
    <w:rsid w:val="0C322DE7"/>
    <w:rsid w:val="0C92213C"/>
    <w:rsid w:val="0C955807"/>
    <w:rsid w:val="0C992E66"/>
    <w:rsid w:val="0CC2027E"/>
    <w:rsid w:val="0CDA3614"/>
    <w:rsid w:val="0D0F2B55"/>
    <w:rsid w:val="0D3D56C3"/>
    <w:rsid w:val="0D69068F"/>
    <w:rsid w:val="0D75742F"/>
    <w:rsid w:val="0D84032B"/>
    <w:rsid w:val="0DBC22BD"/>
    <w:rsid w:val="0DE16873"/>
    <w:rsid w:val="0E090A68"/>
    <w:rsid w:val="0ECB0906"/>
    <w:rsid w:val="0EDA4638"/>
    <w:rsid w:val="0EF32A51"/>
    <w:rsid w:val="0F166DEA"/>
    <w:rsid w:val="0F26257A"/>
    <w:rsid w:val="0F2A74C4"/>
    <w:rsid w:val="0F416746"/>
    <w:rsid w:val="0FF20053"/>
    <w:rsid w:val="102D5D9F"/>
    <w:rsid w:val="108D765F"/>
    <w:rsid w:val="10A27F31"/>
    <w:rsid w:val="10B04B1B"/>
    <w:rsid w:val="10DE52EC"/>
    <w:rsid w:val="117F6ACF"/>
    <w:rsid w:val="11927058"/>
    <w:rsid w:val="120E171E"/>
    <w:rsid w:val="125F17DD"/>
    <w:rsid w:val="132B743E"/>
    <w:rsid w:val="13952632"/>
    <w:rsid w:val="13AF4F03"/>
    <w:rsid w:val="13D72C53"/>
    <w:rsid w:val="142613B8"/>
    <w:rsid w:val="143E2110"/>
    <w:rsid w:val="145C0E7A"/>
    <w:rsid w:val="14736E66"/>
    <w:rsid w:val="14783973"/>
    <w:rsid w:val="147F458F"/>
    <w:rsid w:val="15262A5E"/>
    <w:rsid w:val="1534169A"/>
    <w:rsid w:val="15397C2A"/>
    <w:rsid w:val="15761F97"/>
    <w:rsid w:val="15C03E03"/>
    <w:rsid w:val="162A25EB"/>
    <w:rsid w:val="16735895"/>
    <w:rsid w:val="167E2B57"/>
    <w:rsid w:val="16A50D85"/>
    <w:rsid w:val="16FD2A55"/>
    <w:rsid w:val="17067C1A"/>
    <w:rsid w:val="172618EB"/>
    <w:rsid w:val="17366761"/>
    <w:rsid w:val="177C01F0"/>
    <w:rsid w:val="178408DF"/>
    <w:rsid w:val="179E3EFA"/>
    <w:rsid w:val="17B04DCC"/>
    <w:rsid w:val="17BB0135"/>
    <w:rsid w:val="17CE6630"/>
    <w:rsid w:val="17D75F5E"/>
    <w:rsid w:val="18305F1E"/>
    <w:rsid w:val="18342C83"/>
    <w:rsid w:val="197D4A89"/>
    <w:rsid w:val="198A7FAF"/>
    <w:rsid w:val="19BE2856"/>
    <w:rsid w:val="1A1165B4"/>
    <w:rsid w:val="1A8667BD"/>
    <w:rsid w:val="1AFF0AFE"/>
    <w:rsid w:val="1B0911B7"/>
    <w:rsid w:val="1B124510"/>
    <w:rsid w:val="1B186FA1"/>
    <w:rsid w:val="1B3035D2"/>
    <w:rsid w:val="1B4F19F8"/>
    <w:rsid w:val="1B622045"/>
    <w:rsid w:val="1B776A68"/>
    <w:rsid w:val="1BA933E0"/>
    <w:rsid w:val="1BC17CE4"/>
    <w:rsid w:val="1C512F49"/>
    <w:rsid w:val="1CAE4908"/>
    <w:rsid w:val="1CE836F6"/>
    <w:rsid w:val="1D754285"/>
    <w:rsid w:val="1DC53DBF"/>
    <w:rsid w:val="1DFB7611"/>
    <w:rsid w:val="1E6D17A0"/>
    <w:rsid w:val="1E9457F7"/>
    <w:rsid w:val="1ECC44FA"/>
    <w:rsid w:val="1F063325"/>
    <w:rsid w:val="1FB23781"/>
    <w:rsid w:val="1FB26D05"/>
    <w:rsid w:val="1FBC5DF5"/>
    <w:rsid w:val="1FF90588"/>
    <w:rsid w:val="200308CB"/>
    <w:rsid w:val="201C4186"/>
    <w:rsid w:val="204B4814"/>
    <w:rsid w:val="20572D43"/>
    <w:rsid w:val="20582218"/>
    <w:rsid w:val="20C3623F"/>
    <w:rsid w:val="21477DD4"/>
    <w:rsid w:val="21781212"/>
    <w:rsid w:val="219B3F28"/>
    <w:rsid w:val="21B1360D"/>
    <w:rsid w:val="21B756A9"/>
    <w:rsid w:val="21B83F86"/>
    <w:rsid w:val="21D40771"/>
    <w:rsid w:val="21DB5D08"/>
    <w:rsid w:val="21E21A03"/>
    <w:rsid w:val="221178A8"/>
    <w:rsid w:val="221213CF"/>
    <w:rsid w:val="22327A92"/>
    <w:rsid w:val="22721D38"/>
    <w:rsid w:val="228163A5"/>
    <w:rsid w:val="231D53A2"/>
    <w:rsid w:val="236D5383"/>
    <w:rsid w:val="23B51C58"/>
    <w:rsid w:val="23B7504C"/>
    <w:rsid w:val="24571307"/>
    <w:rsid w:val="24C314C3"/>
    <w:rsid w:val="24C85B57"/>
    <w:rsid w:val="25110A2A"/>
    <w:rsid w:val="256C0944"/>
    <w:rsid w:val="25EB4FE0"/>
    <w:rsid w:val="26446DE3"/>
    <w:rsid w:val="26497F03"/>
    <w:rsid w:val="26543C2E"/>
    <w:rsid w:val="26805E4F"/>
    <w:rsid w:val="26877DFE"/>
    <w:rsid w:val="269669E7"/>
    <w:rsid w:val="26A270C1"/>
    <w:rsid w:val="26B11081"/>
    <w:rsid w:val="26D7699F"/>
    <w:rsid w:val="27B40252"/>
    <w:rsid w:val="281573ED"/>
    <w:rsid w:val="28924C1A"/>
    <w:rsid w:val="28AD054E"/>
    <w:rsid w:val="28C533D7"/>
    <w:rsid w:val="29D75F7F"/>
    <w:rsid w:val="2A12782D"/>
    <w:rsid w:val="2A257EAA"/>
    <w:rsid w:val="2A2953D2"/>
    <w:rsid w:val="2A45718B"/>
    <w:rsid w:val="2A88034A"/>
    <w:rsid w:val="2AAA2172"/>
    <w:rsid w:val="2B046622"/>
    <w:rsid w:val="2B312790"/>
    <w:rsid w:val="2B774624"/>
    <w:rsid w:val="2B9920E3"/>
    <w:rsid w:val="2C087A6C"/>
    <w:rsid w:val="2C4643B2"/>
    <w:rsid w:val="2C74153B"/>
    <w:rsid w:val="2C7A72BE"/>
    <w:rsid w:val="2C9A7D75"/>
    <w:rsid w:val="2C9E7EDE"/>
    <w:rsid w:val="2CC17412"/>
    <w:rsid w:val="2D444091"/>
    <w:rsid w:val="2D4B38B1"/>
    <w:rsid w:val="2D514837"/>
    <w:rsid w:val="2D6E4EE9"/>
    <w:rsid w:val="2D7C1E99"/>
    <w:rsid w:val="2DFE0923"/>
    <w:rsid w:val="2E9976CE"/>
    <w:rsid w:val="2EF01DEE"/>
    <w:rsid w:val="2EFB2B26"/>
    <w:rsid w:val="2F150ABB"/>
    <w:rsid w:val="2F3F4DB5"/>
    <w:rsid w:val="2F401D3C"/>
    <w:rsid w:val="2F4475D6"/>
    <w:rsid w:val="2F4D3910"/>
    <w:rsid w:val="2F5B24E1"/>
    <w:rsid w:val="2F5D1F83"/>
    <w:rsid w:val="2F980D7E"/>
    <w:rsid w:val="2FA95C88"/>
    <w:rsid w:val="3041370F"/>
    <w:rsid w:val="30B87FED"/>
    <w:rsid w:val="312B50A3"/>
    <w:rsid w:val="31894FD2"/>
    <w:rsid w:val="31B007FC"/>
    <w:rsid w:val="31CE6A76"/>
    <w:rsid w:val="32453A27"/>
    <w:rsid w:val="3263064A"/>
    <w:rsid w:val="32805DAB"/>
    <w:rsid w:val="32867865"/>
    <w:rsid w:val="32A43132"/>
    <w:rsid w:val="32AC0C06"/>
    <w:rsid w:val="33344EF5"/>
    <w:rsid w:val="335F3C12"/>
    <w:rsid w:val="33E441C7"/>
    <w:rsid w:val="340C5B48"/>
    <w:rsid w:val="3445105A"/>
    <w:rsid w:val="34680C69"/>
    <w:rsid w:val="347F4A93"/>
    <w:rsid w:val="34E832AD"/>
    <w:rsid w:val="3537750C"/>
    <w:rsid w:val="3537798C"/>
    <w:rsid w:val="35C13FC9"/>
    <w:rsid w:val="35CF2191"/>
    <w:rsid w:val="35DF6885"/>
    <w:rsid w:val="35E65BED"/>
    <w:rsid w:val="360A3506"/>
    <w:rsid w:val="362A675A"/>
    <w:rsid w:val="362B640E"/>
    <w:rsid w:val="36372B05"/>
    <w:rsid w:val="364257B6"/>
    <w:rsid w:val="36851BE2"/>
    <w:rsid w:val="36A426C6"/>
    <w:rsid w:val="36B721D7"/>
    <w:rsid w:val="370758BA"/>
    <w:rsid w:val="37EA5922"/>
    <w:rsid w:val="38276B93"/>
    <w:rsid w:val="38284F1B"/>
    <w:rsid w:val="382E58B8"/>
    <w:rsid w:val="387A1B39"/>
    <w:rsid w:val="38AC3431"/>
    <w:rsid w:val="38D1110E"/>
    <w:rsid w:val="38D31C3C"/>
    <w:rsid w:val="392F2E16"/>
    <w:rsid w:val="39AA27EB"/>
    <w:rsid w:val="39AE72BB"/>
    <w:rsid w:val="39CB75FF"/>
    <w:rsid w:val="39E00529"/>
    <w:rsid w:val="3A0B64A7"/>
    <w:rsid w:val="3A574DDA"/>
    <w:rsid w:val="3A6F0BDF"/>
    <w:rsid w:val="3A81201F"/>
    <w:rsid w:val="3AD3075A"/>
    <w:rsid w:val="3AF74C02"/>
    <w:rsid w:val="3AFF6407"/>
    <w:rsid w:val="3B944428"/>
    <w:rsid w:val="3C0059A5"/>
    <w:rsid w:val="3C134E78"/>
    <w:rsid w:val="3C2F31B5"/>
    <w:rsid w:val="3C504A40"/>
    <w:rsid w:val="3C9F65FC"/>
    <w:rsid w:val="3CA8662A"/>
    <w:rsid w:val="3CD236A7"/>
    <w:rsid w:val="3CF46F59"/>
    <w:rsid w:val="3D74475E"/>
    <w:rsid w:val="3D9A708A"/>
    <w:rsid w:val="3DF6345D"/>
    <w:rsid w:val="3E2B5515"/>
    <w:rsid w:val="3E497A8E"/>
    <w:rsid w:val="3E4D4F28"/>
    <w:rsid w:val="3ED92EC4"/>
    <w:rsid w:val="3EE13701"/>
    <w:rsid w:val="3F1A4BB3"/>
    <w:rsid w:val="3F487C50"/>
    <w:rsid w:val="3F626766"/>
    <w:rsid w:val="3F7942AE"/>
    <w:rsid w:val="3FD87226"/>
    <w:rsid w:val="40071711"/>
    <w:rsid w:val="400E78ED"/>
    <w:rsid w:val="40192BA6"/>
    <w:rsid w:val="403418BA"/>
    <w:rsid w:val="407E03C0"/>
    <w:rsid w:val="40EB2F89"/>
    <w:rsid w:val="40EE0FA2"/>
    <w:rsid w:val="413B7A6D"/>
    <w:rsid w:val="41766EA9"/>
    <w:rsid w:val="42481E26"/>
    <w:rsid w:val="42550A18"/>
    <w:rsid w:val="429D496A"/>
    <w:rsid w:val="42F473A1"/>
    <w:rsid w:val="437217EA"/>
    <w:rsid w:val="43AB7156"/>
    <w:rsid w:val="441E62C0"/>
    <w:rsid w:val="446064DF"/>
    <w:rsid w:val="44B87D1C"/>
    <w:rsid w:val="44C74F9B"/>
    <w:rsid w:val="45096752"/>
    <w:rsid w:val="45325D14"/>
    <w:rsid w:val="45811C7C"/>
    <w:rsid w:val="45906116"/>
    <w:rsid w:val="45931B8C"/>
    <w:rsid w:val="45C67B21"/>
    <w:rsid w:val="45EF2552"/>
    <w:rsid w:val="465D66D7"/>
    <w:rsid w:val="466F0FF2"/>
    <w:rsid w:val="468B3EFB"/>
    <w:rsid w:val="46E6047B"/>
    <w:rsid w:val="46FF7608"/>
    <w:rsid w:val="470A6193"/>
    <w:rsid w:val="47385210"/>
    <w:rsid w:val="475510F8"/>
    <w:rsid w:val="47DC4F5C"/>
    <w:rsid w:val="4816144D"/>
    <w:rsid w:val="48B40671"/>
    <w:rsid w:val="48B65D2E"/>
    <w:rsid w:val="492D05E3"/>
    <w:rsid w:val="497F0713"/>
    <w:rsid w:val="499B5738"/>
    <w:rsid w:val="499F244D"/>
    <w:rsid w:val="4A317C87"/>
    <w:rsid w:val="4A62250E"/>
    <w:rsid w:val="4A775EB2"/>
    <w:rsid w:val="4A7C39E4"/>
    <w:rsid w:val="4A973F3F"/>
    <w:rsid w:val="4AA806FF"/>
    <w:rsid w:val="4AF96BC7"/>
    <w:rsid w:val="4B4E4840"/>
    <w:rsid w:val="4B862A85"/>
    <w:rsid w:val="4BC20E93"/>
    <w:rsid w:val="4C937513"/>
    <w:rsid w:val="4CA76666"/>
    <w:rsid w:val="4CEF36E2"/>
    <w:rsid w:val="4CEF4DC5"/>
    <w:rsid w:val="4CF11725"/>
    <w:rsid w:val="4D265A75"/>
    <w:rsid w:val="4DD718D8"/>
    <w:rsid w:val="4E257655"/>
    <w:rsid w:val="4E336AA0"/>
    <w:rsid w:val="4E3A6EF2"/>
    <w:rsid w:val="4E655B03"/>
    <w:rsid w:val="4F372380"/>
    <w:rsid w:val="4F372FFB"/>
    <w:rsid w:val="4F57588E"/>
    <w:rsid w:val="5006393C"/>
    <w:rsid w:val="50170AF5"/>
    <w:rsid w:val="5025116D"/>
    <w:rsid w:val="504306EC"/>
    <w:rsid w:val="505446A7"/>
    <w:rsid w:val="50D4296C"/>
    <w:rsid w:val="51431396"/>
    <w:rsid w:val="514737D7"/>
    <w:rsid w:val="51566E88"/>
    <w:rsid w:val="517B1D2E"/>
    <w:rsid w:val="51BC074D"/>
    <w:rsid w:val="52395ECD"/>
    <w:rsid w:val="525D1AB1"/>
    <w:rsid w:val="52C10D75"/>
    <w:rsid w:val="53C27FF8"/>
    <w:rsid w:val="5412007A"/>
    <w:rsid w:val="54590420"/>
    <w:rsid w:val="546B0211"/>
    <w:rsid w:val="54806794"/>
    <w:rsid w:val="549E1A80"/>
    <w:rsid w:val="54C658F4"/>
    <w:rsid w:val="54D00262"/>
    <w:rsid w:val="54F96BEC"/>
    <w:rsid w:val="550C4BD7"/>
    <w:rsid w:val="554C1D56"/>
    <w:rsid w:val="55572986"/>
    <w:rsid w:val="565340FA"/>
    <w:rsid w:val="56596B47"/>
    <w:rsid w:val="56AD5F59"/>
    <w:rsid w:val="56C60774"/>
    <w:rsid w:val="57620669"/>
    <w:rsid w:val="577B69BD"/>
    <w:rsid w:val="57B12A52"/>
    <w:rsid w:val="58135FFD"/>
    <w:rsid w:val="59A94D99"/>
    <w:rsid w:val="59F60792"/>
    <w:rsid w:val="5A211232"/>
    <w:rsid w:val="5A2F2CC8"/>
    <w:rsid w:val="5A5A6D5E"/>
    <w:rsid w:val="5AA261D6"/>
    <w:rsid w:val="5AAC4479"/>
    <w:rsid w:val="5ADE55AB"/>
    <w:rsid w:val="5BCC5619"/>
    <w:rsid w:val="5BD42B40"/>
    <w:rsid w:val="5BF253D2"/>
    <w:rsid w:val="5BF64DC7"/>
    <w:rsid w:val="5BF93D8D"/>
    <w:rsid w:val="5C0E5FB5"/>
    <w:rsid w:val="5C10702D"/>
    <w:rsid w:val="5C152601"/>
    <w:rsid w:val="5C591F03"/>
    <w:rsid w:val="5C8A1B2F"/>
    <w:rsid w:val="5CC244E2"/>
    <w:rsid w:val="5D5A7A84"/>
    <w:rsid w:val="5DC2190C"/>
    <w:rsid w:val="5E1B1899"/>
    <w:rsid w:val="5E2937AE"/>
    <w:rsid w:val="5E353C71"/>
    <w:rsid w:val="5E8E397F"/>
    <w:rsid w:val="5ED62528"/>
    <w:rsid w:val="5F560E26"/>
    <w:rsid w:val="5F561B72"/>
    <w:rsid w:val="5FA06BEE"/>
    <w:rsid w:val="606007BB"/>
    <w:rsid w:val="606E2623"/>
    <w:rsid w:val="60AC7F66"/>
    <w:rsid w:val="61273712"/>
    <w:rsid w:val="612741F1"/>
    <w:rsid w:val="613D2F35"/>
    <w:rsid w:val="61A1065C"/>
    <w:rsid w:val="61BB6C21"/>
    <w:rsid w:val="61BF10D9"/>
    <w:rsid w:val="61F2454F"/>
    <w:rsid w:val="62944DD7"/>
    <w:rsid w:val="629F4DB1"/>
    <w:rsid w:val="62AC22DC"/>
    <w:rsid w:val="62C52A98"/>
    <w:rsid w:val="62CE653B"/>
    <w:rsid w:val="6335141E"/>
    <w:rsid w:val="63A22BFD"/>
    <w:rsid w:val="640E4FF4"/>
    <w:rsid w:val="64234664"/>
    <w:rsid w:val="642663F5"/>
    <w:rsid w:val="644F41FC"/>
    <w:rsid w:val="64AA591C"/>
    <w:rsid w:val="64B4407C"/>
    <w:rsid w:val="64E45EF7"/>
    <w:rsid w:val="65240889"/>
    <w:rsid w:val="65EC6A7A"/>
    <w:rsid w:val="660835D8"/>
    <w:rsid w:val="66411247"/>
    <w:rsid w:val="664F67A6"/>
    <w:rsid w:val="668F5A8D"/>
    <w:rsid w:val="6691014E"/>
    <w:rsid w:val="66C87CCE"/>
    <w:rsid w:val="67185B54"/>
    <w:rsid w:val="677435B2"/>
    <w:rsid w:val="6778068D"/>
    <w:rsid w:val="67CD5DE7"/>
    <w:rsid w:val="67EF75F1"/>
    <w:rsid w:val="67FA495E"/>
    <w:rsid w:val="67FF49F4"/>
    <w:rsid w:val="681F5143"/>
    <w:rsid w:val="68310A09"/>
    <w:rsid w:val="684B74B0"/>
    <w:rsid w:val="684F4F11"/>
    <w:rsid w:val="68A85056"/>
    <w:rsid w:val="68D25E84"/>
    <w:rsid w:val="69124F16"/>
    <w:rsid w:val="694A501F"/>
    <w:rsid w:val="6977509B"/>
    <w:rsid w:val="69B55D5F"/>
    <w:rsid w:val="69CD5C14"/>
    <w:rsid w:val="69CF0D33"/>
    <w:rsid w:val="69E95E90"/>
    <w:rsid w:val="6A656F11"/>
    <w:rsid w:val="6A6B0B13"/>
    <w:rsid w:val="6A890F99"/>
    <w:rsid w:val="6B774969"/>
    <w:rsid w:val="6B7A6476"/>
    <w:rsid w:val="6B9946B3"/>
    <w:rsid w:val="6BC24763"/>
    <w:rsid w:val="6BE518DA"/>
    <w:rsid w:val="6BFB629B"/>
    <w:rsid w:val="6C1F3963"/>
    <w:rsid w:val="6C276F3A"/>
    <w:rsid w:val="6C7007C7"/>
    <w:rsid w:val="6C90122B"/>
    <w:rsid w:val="6D06067F"/>
    <w:rsid w:val="6DE76850"/>
    <w:rsid w:val="6E2860C8"/>
    <w:rsid w:val="6E6E4E5F"/>
    <w:rsid w:val="6E9F10CE"/>
    <w:rsid w:val="6EF02A56"/>
    <w:rsid w:val="6F36632F"/>
    <w:rsid w:val="6F593630"/>
    <w:rsid w:val="6F854425"/>
    <w:rsid w:val="6FB20BD4"/>
    <w:rsid w:val="6FBA59BE"/>
    <w:rsid w:val="700072D1"/>
    <w:rsid w:val="70296B3E"/>
    <w:rsid w:val="70611204"/>
    <w:rsid w:val="70695527"/>
    <w:rsid w:val="70840A07"/>
    <w:rsid w:val="715A543E"/>
    <w:rsid w:val="7165620F"/>
    <w:rsid w:val="717039F8"/>
    <w:rsid w:val="72353302"/>
    <w:rsid w:val="733D7598"/>
    <w:rsid w:val="73453540"/>
    <w:rsid w:val="73604B2D"/>
    <w:rsid w:val="74145177"/>
    <w:rsid w:val="74D13AD5"/>
    <w:rsid w:val="74FA2C30"/>
    <w:rsid w:val="750F1BBB"/>
    <w:rsid w:val="75216216"/>
    <w:rsid w:val="754D5C4B"/>
    <w:rsid w:val="755F57B2"/>
    <w:rsid w:val="75996A35"/>
    <w:rsid w:val="759A3675"/>
    <w:rsid w:val="759C49D8"/>
    <w:rsid w:val="76030246"/>
    <w:rsid w:val="76C240A7"/>
    <w:rsid w:val="76C858DA"/>
    <w:rsid w:val="76DA416A"/>
    <w:rsid w:val="775246B7"/>
    <w:rsid w:val="77A83204"/>
    <w:rsid w:val="77F959B0"/>
    <w:rsid w:val="781E69D1"/>
    <w:rsid w:val="78CF588F"/>
    <w:rsid w:val="7901747F"/>
    <w:rsid w:val="79694470"/>
    <w:rsid w:val="79D11615"/>
    <w:rsid w:val="7A263B6B"/>
    <w:rsid w:val="7A4E7CEA"/>
    <w:rsid w:val="7AA22932"/>
    <w:rsid w:val="7AF46346"/>
    <w:rsid w:val="7B000E04"/>
    <w:rsid w:val="7B0F5EBF"/>
    <w:rsid w:val="7B130FB9"/>
    <w:rsid w:val="7BAB5542"/>
    <w:rsid w:val="7BD71E38"/>
    <w:rsid w:val="7BF64EDE"/>
    <w:rsid w:val="7C1504F4"/>
    <w:rsid w:val="7C400C1E"/>
    <w:rsid w:val="7D4F4257"/>
    <w:rsid w:val="7D770A51"/>
    <w:rsid w:val="7D8B6CE3"/>
    <w:rsid w:val="7DD11708"/>
    <w:rsid w:val="7DEE4A4F"/>
    <w:rsid w:val="7E3A5078"/>
    <w:rsid w:val="7EA8478C"/>
    <w:rsid w:val="7EAD4DFF"/>
    <w:rsid w:val="7EAE6230"/>
    <w:rsid w:val="7EBD579E"/>
    <w:rsid w:val="7EC167BD"/>
    <w:rsid w:val="7F0C421B"/>
    <w:rsid w:val="7F272D9E"/>
    <w:rsid w:val="7F656D19"/>
    <w:rsid w:val="7F8F6B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9"/>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60"/>
    <w:qFormat/>
    <w:uiPriority w:val="0"/>
    <w:pPr>
      <w:keepNext/>
      <w:keepLines/>
      <w:spacing w:before="260" w:after="260" w:line="416" w:lineRule="auto"/>
      <w:outlineLvl w:val="2"/>
    </w:pPr>
    <w:rPr>
      <w:b/>
      <w:bCs/>
      <w:sz w:val="32"/>
      <w:szCs w:val="32"/>
    </w:rPr>
  </w:style>
  <w:style w:type="paragraph" w:styleId="8">
    <w:name w:val="heading 4"/>
    <w:basedOn w:val="1"/>
    <w:next w:val="1"/>
    <w:link w:val="61"/>
    <w:qFormat/>
    <w:uiPriority w:val="9"/>
    <w:pPr>
      <w:keepNext/>
      <w:keepLines/>
      <w:spacing w:line="360" w:lineRule="auto"/>
      <w:outlineLvl w:val="3"/>
    </w:pPr>
    <w:rPr>
      <w:rFonts w:ascii="Arial" w:hAnsi="Arial"/>
      <w:b/>
      <w:bCs/>
      <w:sz w:val="28"/>
      <w:szCs w:val="28"/>
    </w:rPr>
  </w:style>
  <w:style w:type="paragraph" w:styleId="9">
    <w:name w:val="heading 5"/>
    <w:basedOn w:val="1"/>
    <w:next w:val="10"/>
    <w:link w:val="62"/>
    <w:qFormat/>
    <w:uiPriority w:val="99"/>
    <w:pPr>
      <w:keepNext/>
      <w:keepLines/>
      <w:spacing w:before="280" w:after="290" w:line="376" w:lineRule="auto"/>
      <w:outlineLvl w:val="4"/>
    </w:pPr>
    <w:rPr>
      <w:b/>
      <w:bCs/>
      <w:sz w:val="28"/>
      <w:szCs w:val="28"/>
    </w:rPr>
  </w:style>
  <w:style w:type="paragraph" w:styleId="11">
    <w:name w:val="heading 6"/>
    <w:basedOn w:val="1"/>
    <w:next w:val="1"/>
    <w:link w:val="64"/>
    <w:qFormat/>
    <w:uiPriority w:val="9"/>
    <w:pPr>
      <w:keepNext/>
      <w:keepLines/>
      <w:spacing w:before="240" w:after="64" w:line="317" w:lineRule="auto"/>
      <w:outlineLvl w:val="5"/>
    </w:pPr>
    <w:rPr>
      <w:rFonts w:ascii="Cambria" w:hAnsi="Cambria"/>
      <w:b/>
      <w:bCs/>
      <w:kern w:val="0"/>
      <w:sz w:val="24"/>
    </w:rPr>
  </w:style>
  <w:style w:type="paragraph" w:styleId="12">
    <w:name w:val="heading 7"/>
    <w:basedOn w:val="1"/>
    <w:next w:val="1"/>
    <w:link w:val="65"/>
    <w:qFormat/>
    <w:uiPriority w:val="0"/>
    <w:pPr>
      <w:keepNext/>
      <w:keepLines/>
      <w:spacing w:before="240" w:after="64" w:line="317" w:lineRule="auto"/>
      <w:outlineLvl w:val="6"/>
    </w:pPr>
    <w:rPr>
      <w:b/>
      <w:bCs/>
      <w:kern w:val="0"/>
      <w:sz w:val="24"/>
    </w:rPr>
  </w:style>
  <w:style w:type="paragraph" w:styleId="13">
    <w:name w:val="heading 8"/>
    <w:basedOn w:val="1"/>
    <w:next w:val="1"/>
    <w:link w:val="66"/>
    <w:qFormat/>
    <w:uiPriority w:val="9"/>
    <w:pPr>
      <w:keepNext/>
      <w:keepLines/>
      <w:spacing w:before="240" w:after="64" w:line="320" w:lineRule="auto"/>
      <w:outlineLvl w:val="7"/>
    </w:pPr>
    <w:rPr>
      <w:rFonts w:ascii="等线 Light" w:hAnsi="等线 Light" w:eastAsia="等线 Light"/>
      <w:sz w:val="24"/>
    </w:rPr>
  </w:style>
  <w:style w:type="paragraph" w:styleId="14">
    <w:name w:val="heading 9"/>
    <w:basedOn w:val="1"/>
    <w:next w:val="1"/>
    <w:link w:val="67"/>
    <w:qFormat/>
    <w:uiPriority w:val="0"/>
    <w:pPr>
      <w:keepNext/>
      <w:keepLines/>
      <w:spacing w:before="240" w:after="64" w:line="317" w:lineRule="auto"/>
      <w:outlineLvl w:val="8"/>
    </w:pPr>
    <w:rPr>
      <w:rFonts w:ascii="Cambria" w:hAnsi="Cambria"/>
      <w:kern w:val="0"/>
      <w:sz w:val="20"/>
      <w:szCs w:val="21"/>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spacing w:line="360" w:lineRule="auto"/>
      <w:ind w:left="-358" w:leftChars="-128" w:firstLine="560" w:firstLineChars="200"/>
      <w:jc w:val="left"/>
    </w:pPr>
    <w:rPr>
      <w:sz w:val="28"/>
    </w:rPr>
  </w:style>
  <w:style w:type="paragraph" w:styleId="3">
    <w:name w:val="Body Text Indent"/>
    <w:basedOn w:val="1"/>
    <w:next w:val="4"/>
    <w:link w:val="57"/>
    <w:qFormat/>
    <w:uiPriority w:val="99"/>
    <w:pPr>
      <w:ind w:firstLine="830" w:firstLineChars="352"/>
    </w:pPr>
    <w:rPr>
      <w:rFonts w:ascii="仿宋_GB2312" w:eastAsia="仿宋_GB2312"/>
      <w:kern w:val="0"/>
      <w:sz w:val="32"/>
      <w:szCs w:val="20"/>
    </w:rPr>
  </w:style>
  <w:style w:type="paragraph" w:styleId="4">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10">
    <w:name w:val="Normal Indent"/>
    <w:basedOn w:val="1"/>
    <w:link w:val="63"/>
    <w:qFormat/>
    <w:uiPriority w:val="99"/>
    <w:pPr>
      <w:ind w:firstLine="420"/>
    </w:pPr>
    <w:rPr>
      <w:szCs w:val="20"/>
    </w:rPr>
  </w:style>
  <w:style w:type="paragraph" w:styleId="15">
    <w:name w:val="toc 7"/>
    <w:basedOn w:val="1"/>
    <w:next w:val="1"/>
    <w:qFormat/>
    <w:uiPriority w:val="39"/>
    <w:pPr>
      <w:ind w:left="2520" w:leftChars="1200"/>
    </w:pPr>
    <w:rPr>
      <w:rFonts w:ascii="Calibri" w:hAnsi="Calibri" w:cs="Calibri"/>
      <w:szCs w:val="21"/>
    </w:rPr>
  </w:style>
  <w:style w:type="paragraph" w:styleId="1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7">
    <w:name w:val="caption"/>
    <w:basedOn w:val="1"/>
    <w:next w:val="1"/>
    <w:qFormat/>
    <w:uiPriority w:val="99"/>
    <w:rPr>
      <w:rFonts w:ascii="Cambria" w:hAnsi="Cambria" w:eastAsia="黑体" w:cs="Cambria"/>
      <w:sz w:val="20"/>
      <w:szCs w:val="20"/>
    </w:rPr>
  </w:style>
  <w:style w:type="paragraph" w:styleId="18">
    <w:name w:val="Document Map"/>
    <w:basedOn w:val="1"/>
    <w:link w:val="68"/>
    <w:qFormat/>
    <w:uiPriority w:val="0"/>
    <w:pPr>
      <w:shd w:val="clear" w:color="auto" w:fill="000080"/>
    </w:pPr>
    <w:rPr>
      <w:sz w:val="24"/>
      <w:shd w:val="clear" w:color="auto" w:fill="000080"/>
    </w:rPr>
  </w:style>
  <w:style w:type="paragraph" w:styleId="19">
    <w:name w:val="annotation text"/>
    <w:basedOn w:val="1"/>
    <w:link w:val="69"/>
    <w:qFormat/>
    <w:uiPriority w:val="99"/>
    <w:pPr>
      <w:jc w:val="left"/>
    </w:pPr>
  </w:style>
  <w:style w:type="paragraph" w:styleId="20">
    <w:name w:val="Body Text 3"/>
    <w:basedOn w:val="1"/>
    <w:link w:val="70"/>
    <w:unhideWhenUsed/>
    <w:qFormat/>
    <w:uiPriority w:val="99"/>
    <w:pPr>
      <w:spacing w:after="120"/>
    </w:pPr>
    <w:rPr>
      <w:sz w:val="16"/>
      <w:szCs w:val="16"/>
    </w:rPr>
  </w:style>
  <w:style w:type="paragraph" w:styleId="21">
    <w:name w:val="Body Text"/>
    <w:basedOn w:val="1"/>
    <w:next w:val="1"/>
    <w:link w:val="71"/>
    <w:unhideWhenUsed/>
    <w:qFormat/>
    <w:uiPriority w:val="99"/>
    <w:pPr>
      <w:spacing w:after="120"/>
    </w:pPr>
  </w:style>
  <w:style w:type="paragraph" w:styleId="22">
    <w:name w:val="List 2"/>
    <w:basedOn w:val="1"/>
    <w:unhideWhenUsed/>
    <w:qFormat/>
    <w:uiPriority w:val="99"/>
    <w:pPr>
      <w:ind w:left="100" w:leftChars="200" w:hanging="200" w:hangingChars="200"/>
      <w:contextualSpacing/>
    </w:pPr>
  </w:style>
  <w:style w:type="paragraph" w:styleId="23">
    <w:name w:val="Block Text"/>
    <w:basedOn w:val="1"/>
    <w:qFormat/>
    <w:uiPriority w:val="0"/>
    <w:pPr>
      <w:ind w:left="420" w:right="33"/>
      <w:textAlignment w:val="baseline"/>
    </w:pPr>
    <w:rPr>
      <w:sz w:val="24"/>
      <w:szCs w:val="20"/>
    </w:rPr>
  </w:style>
  <w:style w:type="paragraph" w:styleId="24">
    <w:name w:val="index 4"/>
    <w:basedOn w:val="1"/>
    <w:next w:val="1"/>
    <w:semiHidden/>
    <w:qFormat/>
    <w:uiPriority w:val="99"/>
    <w:pPr>
      <w:ind w:left="600" w:leftChars="600"/>
    </w:pPr>
    <w:rPr>
      <w:szCs w:val="21"/>
    </w:rPr>
  </w:style>
  <w:style w:type="paragraph" w:styleId="25">
    <w:name w:val="toc 5"/>
    <w:basedOn w:val="1"/>
    <w:next w:val="1"/>
    <w:qFormat/>
    <w:uiPriority w:val="39"/>
    <w:pPr>
      <w:ind w:left="1680" w:leftChars="800"/>
    </w:pPr>
    <w:rPr>
      <w:rFonts w:ascii="Calibri" w:hAnsi="Calibri" w:cs="Calibri"/>
      <w:szCs w:val="21"/>
    </w:rPr>
  </w:style>
  <w:style w:type="paragraph" w:styleId="26">
    <w:name w:val="toc 3"/>
    <w:basedOn w:val="1"/>
    <w:next w:val="1"/>
    <w:qFormat/>
    <w:uiPriority w:val="39"/>
    <w:pPr>
      <w:ind w:left="840" w:leftChars="400"/>
    </w:pPr>
    <w:rPr>
      <w:szCs w:val="21"/>
    </w:rPr>
  </w:style>
  <w:style w:type="paragraph" w:styleId="27">
    <w:name w:val="Plain Text"/>
    <w:basedOn w:val="1"/>
    <w:link w:val="72"/>
    <w:qFormat/>
    <w:uiPriority w:val="99"/>
    <w:rPr>
      <w:rFonts w:ascii="宋体" w:hAnsi="Courier New"/>
      <w:kern w:val="0"/>
      <w:sz w:val="20"/>
      <w:szCs w:val="21"/>
    </w:rPr>
  </w:style>
  <w:style w:type="paragraph" w:styleId="28">
    <w:name w:val="toc 8"/>
    <w:basedOn w:val="1"/>
    <w:next w:val="1"/>
    <w:qFormat/>
    <w:uiPriority w:val="39"/>
    <w:pPr>
      <w:ind w:left="2940" w:leftChars="1400"/>
    </w:pPr>
    <w:rPr>
      <w:rFonts w:ascii="Calibri" w:hAnsi="Calibri" w:cs="Calibri"/>
      <w:szCs w:val="21"/>
    </w:rPr>
  </w:style>
  <w:style w:type="paragraph" w:styleId="29">
    <w:name w:val="Date"/>
    <w:basedOn w:val="1"/>
    <w:next w:val="1"/>
    <w:link w:val="73"/>
    <w:unhideWhenUsed/>
    <w:qFormat/>
    <w:uiPriority w:val="99"/>
    <w:pPr>
      <w:ind w:left="100" w:leftChars="2500"/>
    </w:pPr>
  </w:style>
  <w:style w:type="paragraph" w:styleId="30">
    <w:name w:val="Body Text Indent 2"/>
    <w:basedOn w:val="1"/>
    <w:link w:val="74"/>
    <w:qFormat/>
    <w:uiPriority w:val="99"/>
    <w:pPr>
      <w:spacing w:after="120" w:line="480" w:lineRule="auto"/>
      <w:ind w:left="420" w:leftChars="200"/>
    </w:pPr>
    <w:rPr>
      <w:sz w:val="24"/>
    </w:rPr>
  </w:style>
  <w:style w:type="paragraph" w:styleId="31">
    <w:name w:val="Balloon Text"/>
    <w:basedOn w:val="1"/>
    <w:link w:val="75"/>
    <w:qFormat/>
    <w:uiPriority w:val="0"/>
    <w:rPr>
      <w:sz w:val="18"/>
      <w:szCs w:val="18"/>
    </w:rPr>
  </w:style>
  <w:style w:type="paragraph" w:styleId="32">
    <w:name w:val="footer"/>
    <w:basedOn w:val="1"/>
    <w:link w:val="76"/>
    <w:unhideWhenUsed/>
    <w:qFormat/>
    <w:uiPriority w:val="99"/>
    <w:pPr>
      <w:tabs>
        <w:tab w:val="center" w:pos="4153"/>
        <w:tab w:val="right" w:pos="8306"/>
      </w:tabs>
      <w:snapToGrid w:val="0"/>
      <w:jc w:val="left"/>
    </w:pPr>
    <w:rPr>
      <w:kern w:val="0"/>
      <w:sz w:val="18"/>
      <w:szCs w:val="18"/>
    </w:rPr>
  </w:style>
  <w:style w:type="paragraph" w:styleId="33">
    <w:name w:val="header"/>
    <w:basedOn w:val="1"/>
    <w:link w:val="7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unhideWhenUsed/>
    <w:qFormat/>
    <w:uiPriority w:val="39"/>
  </w:style>
  <w:style w:type="paragraph" w:styleId="35">
    <w:name w:val="toc 4"/>
    <w:basedOn w:val="1"/>
    <w:next w:val="1"/>
    <w:qFormat/>
    <w:uiPriority w:val="39"/>
    <w:pPr>
      <w:ind w:left="1260" w:leftChars="600"/>
    </w:pPr>
    <w:rPr>
      <w:rFonts w:ascii="Calibri" w:hAnsi="Calibri" w:cs="Calibri"/>
      <w:szCs w:val="21"/>
    </w:rPr>
  </w:style>
  <w:style w:type="paragraph" w:styleId="36">
    <w:name w:val="Subtitle"/>
    <w:basedOn w:val="1"/>
    <w:next w:val="1"/>
    <w:link w:val="78"/>
    <w:qFormat/>
    <w:uiPriority w:val="11"/>
    <w:pPr>
      <w:spacing w:before="240" w:after="60" w:line="312" w:lineRule="auto"/>
      <w:jc w:val="center"/>
      <w:outlineLvl w:val="1"/>
    </w:pPr>
    <w:rPr>
      <w:rFonts w:ascii="Cambria" w:hAnsi="Cambria"/>
      <w:b/>
      <w:bCs/>
      <w:kern w:val="28"/>
      <w:sz w:val="32"/>
      <w:szCs w:val="32"/>
    </w:rPr>
  </w:style>
  <w:style w:type="paragraph" w:styleId="37">
    <w:name w:val="footnote text"/>
    <w:basedOn w:val="1"/>
    <w:link w:val="79"/>
    <w:qFormat/>
    <w:uiPriority w:val="0"/>
    <w:pPr>
      <w:adjustRightInd w:val="0"/>
      <w:spacing w:line="312" w:lineRule="atLeast"/>
      <w:jc w:val="left"/>
      <w:textAlignment w:val="baseline"/>
    </w:pPr>
    <w:rPr>
      <w:kern w:val="0"/>
      <w:sz w:val="18"/>
      <w:szCs w:val="18"/>
    </w:rPr>
  </w:style>
  <w:style w:type="paragraph" w:styleId="38">
    <w:name w:val="toc 6"/>
    <w:basedOn w:val="1"/>
    <w:next w:val="1"/>
    <w:qFormat/>
    <w:uiPriority w:val="39"/>
    <w:pPr>
      <w:ind w:left="2100" w:leftChars="1000"/>
    </w:pPr>
    <w:rPr>
      <w:rFonts w:ascii="Calibri" w:hAnsi="Calibri" w:cs="Calibri"/>
      <w:szCs w:val="21"/>
    </w:rPr>
  </w:style>
  <w:style w:type="paragraph" w:styleId="39">
    <w:name w:val="toc 2"/>
    <w:basedOn w:val="1"/>
    <w:next w:val="1"/>
    <w:unhideWhenUsed/>
    <w:qFormat/>
    <w:uiPriority w:val="39"/>
    <w:pPr>
      <w:tabs>
        <w:tab w:val="right" w:leader="dot" w:pos="8296"/>
      </w:tabs>
      <w:ind w:left="420" w:leftChars="200"/>
    </w:pPr>
  </w:style>
  <w:style w:type="paragraph" w:styleId="40">
    <w:name w:val="toc 9"/>
    <w:basedOn w:val="1"/>
    <w:next w:val="1"/>
    <w:qFormat/>
    <w:uiPriority w:val="39"/>
    <w:pPr>
      <w:ind w:left="3360" w:leftChars="1600"/>
    </w:pPr>
    <w:rPr>
      <w:rFonts w:ascii="Calibri" w:hAnsi="Calibri" w:cs="Calibri"/>
      <w:szCs w:val="21"/>
    </w:rPr>
  </w:style>
  <w:style w:type="paragraph" w:styleId="41">
    <w:name w:val="HTML Preformatted"/>
    <w:basedOn w:val="1"/>
    <w:link w:val="8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2">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43">
    <w:name w:val="Title"/>
    <w:basedOn w:val="1"/>
    <w:next w:val="1"/>
    <w:link w:val="81"/>
    <w:qFormat/>
    <w:uiPriority w:val="0"/>
    <w:pPr>
      <w:spacing w:before="240" w:after="60"/>
      <w:jc w:val="center"/>
      <w:outlineLvl w:val="0"/>
    </w:pPr>
    <w:rPr>
      <w:rFonts w:ascii="Cambria" w:hAnsi="Cambria"/>
      <w:b/>
      <w:bCs/>
      <w:sz w:val="32"/>
      <w:szCs w:val="32"/>
    </w:rPr>
  </w:style>
  <w:style w:type="paragraph" w:styleId="44">
    <w:name w:val="annotation subject"/>
    <w:basedOn w:val="19"/>
    <w:next w:val="19"/>
    <w:link w:val="82"/>
    <w:qFormat/>
    <w:uiPriority w:val="0"/>
    <w:rPr>
      <w:b/>
      <w:bCs/>
    </w:rPr>
  </w:style>
  <w:style w:type="table" w:styleId="46">
    <w:name w:val="Table Grid"/>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22"/>
    <w:rPr>
      <w:b/>
      <w:bCs/>
    </w:rPr>
  </w:style>
  <w:style w:type="character" w:styleId="49">
    <w:name w:val="endnote reference"/>
    <w:unhideWhenUsed/>
    <w:qFormat/>
    <w:uiPriority w:val="99"/>
    <w:rPr>
      <w:vertAlign w:val="superscript"/>
    </w:rPr>
  </w:style>
  <w:style w:type="character" w:styleId="50">
    <w:name w:val="page number"/>
    <w:qFormat/>
    <w:uiPriority w:val="99"/>
  </w:style>
  <w:style w:type="character" w:styleId="51">
    <w:name w:val="FollowedHyperlink"/>
    <w:qFormat/>
    <w:uiPriority w:val="99"/>
    <w:rPr>
      <w:color w:val="800080"/>
      <w:u w:val="single"/>
    </w:rPr>
  </w:style>
  <w:style w:type="character" w:styleId="52">
    <w:name w:val="Emphasis"/>
    <w:qFormat/>
    <w:uiPriority w:val="99"/>
    <w:rPr>
      <w:i/>
      <w:iCs/>
    </w:rPr>
  </w:style>
  <w:style w:type="character" w:styleId="53">
    <w:name w:val="Hyperlink"/>
    <w:unhideWhenUsed/>
    <w:qFormat/>
    <w:uiPriority w:val="99"/>
    <w:rPr>
      <w:color w:val="0000FF"/>
      <w:u w:val="single"/>
    </w:rPr>
  </w:style>
  <w:style w:type="character" w:styleId="54">
    <w:name w:val="annotation reference"/>
    <w:qFormat/>
    <w:uiPriority w:val="0"/>
    <w:rPr>
      <w:sz w:val="21"/>
      <w:szCs w:val="21"/>
    </w:rPr>
  </w:style>
  <w:style w:type="character" w:styleId="55">
    <w:name w:val="footnote reference"/>
    <w:unhideWhenUsed/>
    <w:qFormat/>
    <w:uiPriority w:val="0"/>
    <w:rPr>
      <w:vertAlign w:val="superscript"/>
    </w:rPr>
  </w:style>
  <w:style w:type="character" w:styleId="56">
    <w:name w:val="HTML Sample"/>
    <w:unhideWhenUsed/>
    <w:qFormat/>
    <w:uiPriority w:val="99"/>
    <w:rPr>
      <w:rFonts w:ascii="Courier New" w:hAnsi="Courier New"/>
    </w:rPr>
  </w:style>
  <w:style w:type="character" w:customStyle="1" w:styleId="57">
    <w:name w:val="正文文本缩进 字符"/>
    <w:link w:val="3"/>
    <w:qFormat/>
    <w:uiPriority w:val="99"/>
    <w:rPr>
      <w:rFonts w:ascii="仿宋_GB2312" w:hAnsi="Times New Roman" w:eastAsia="仿宋_GB2312" w:cs="Times New Roman"/>
      <w:sz w:val="32"/>
      <w:szCs w:val="20"/>
    </w:rPr>
  </w:style>
  <w:style w:type="character" w:customStyle="1" w:styleId="58">
    <w:name w:val="标题 1 字符"/>
    <w:link w:val="5"/>
    <w:qFormat/>
    <w:uiPriority w:val="0"/>
    <w:rPr>
      <w:b/>
      <w:bCs/>
      <w:kern w:val="44"/>
      <w:sz w:val="44"/>
      <w:szCs w:val="44"/>
    </w:rPr>
  </w:style>
  <w:style w:type="character" w:customStyle="1" w:styleId="59">
    <w:name w:val="标题 2 字符"/>
    <w:link w:val="6"/>
    <w:qFormat/>
    <w:uiPriority w:val="9"/>
    <w:rPr>
      <w:rFonts w:ascii="Cambria" w:hAnsi="Cambria" w:eastAsia="宋体" w:cs="Times New Roman"/>
      <w:b/>
      <w:bCs/>
      <w:kern w:val="2"/>
      <w:sz w:val="32"/>
      <w:szCs w:val="32"/>
    </w:rPr>
  </w:style>
  <w:style w:type="character" w:customStyle="1" w:styleId="60">
    <w:name w:val="标题 3 字符"/>
    <w:link w:val="7"/>
    <w:qFormat/>
    <w:uiPriority w:val="0"/>
    <w:rPr>
      <w:b/>
      <w:bCs/>
      <w:kern w:val="2"/>
      <w:sz w:val="32"/>
      <w:szCs w:val="32"/>
    </w:rPr>
  </w:style>
  <w:style w:type="character" w:customStyle="1" w:styleId="61">
    <w:name w:val="标题 4 字符"/>
    <w:link w:val="8"/>
    <w:qFormat/>
    <w:uiPriority w:val="9"/>
    <w:rPr>
      <w:rFonts w:ascii="Arial" w:hAnsi="Arial"/>
      <w:b/>
      <w:bCs/>
      <w:kern w:val="2"/>
      <w:sz w:val="28"/>
      <w:szCs w:val="28"/>
    </w:rPr>
  </w:style>
  <w:style w:type="character" w:customStyle="1" w:styleId="62">
    <w:name w:val="标题 5 字符"/>
    <w:link w:val="9"/>
    <w:qFormat/>
    <w:uiPriority w:val="99"/>
    <w:rPr>
      <w:rFonts w:ascii="Times New Roman" w:hAnsi="Times New Roman"/>
      <w:b/>
      <w:bCs/>
      <w:kern w:val="2"/>
      <w:sz w:val="28"/>
      <w:szCs w:val="28"/>
    </w:rPr>
  </w:style>
  <w:style w:type="character" w:customStyle="1" w:styleId="63">
    <w:name w:val="正文缩进 字符"/>
    <w:link w:val="10"/>
    <w:qFormat/>
    <w:uiPriority w:val="99"/>
    <w:rPr>
      <w:kern w:val="2"/>
      <w:sz w:val="21"/>
    </w:rPr>
  </w:style>
  <w:style w:type="character" w:customStyle="1" w:styleId="64">
    <w:name w:val="标题 6 字符"/>
    <w:link w:val="11"/>
    <w:qFormat/>
    <w:uiPriority w:val="9"/>
    <w:rPr>
      <w:rFonts w:ascii="Cambria" w:hAnsi="Cambria"/>
      <w:b/>
      <w:bCs/>
      <w:sz w:val="24"/>
      <w:szCs w:val="24"/>
    </w:rPr>
  </w:style>
  <w:style w:type="character" w:customStyle="1" w:styleId="65">
    <w:name w:val="标题 7 字符"/>
    <w:link w:val="12"/>
    <w:qFormat/>
    <w:uiPriority w:val="0"/>
    <w:rPr>
      <w:b/>
      <w:bCs/>
      <w:sz w:val="24"/>
      <w:szCs w:val="24"/>
    </w:rPr>
  </w:style>
  <w:style w:type="character" w:customStyle="1" w:styleId="66">
    <w:name w:val="标题 8 字符"/>
    <w:link w:val="13"/>
    <w:semiHidden/>
    <w:qFormat/>
    <w:uiPriority w:val="9"/>
    <w:rPr>
      <w:rFonts w:ascii="等线 Light" w:hAnsi="等线 Light" w:eastAsia="等线 Light" w:cs="Times New Roman"/>
      <w:kern w:val="2"/>
      <w:sz w:val="24"/>
      <w:szCs w:val="24"/>
    </w:rPr>
  </w:style>
  <w:style w:type="character" w:customStyle="1" w:styleId="67">
    <w:name w:val="标题 9 字符"/>
    <w:link w:val="14"/>
    <w:qFormat/>
    <w:uiPriority w:val="0"/>
    <w:rPr>
      <w:rFonts w:ascii="Cambria" w:hAnsi="Cambria"/>
      <w:szCs w:val="21"/>
    </w:rPr>
  </w:style>
  <w:style w:type="character" w:customStyle="1" w:styleId="68">
    <w:name w:val="文档结构图 字符"/>
    <w:link w:val="18"/>
    <w:qFormat/>
    <w:uiPriority w:val="0"/>
    <w:rPr>
      <w:kern w:val="2"/>
      <w:sz w:val="24"/>
      <w:szCs w:val="24"/>
      <w:shd w:val="clear" w:color="auto" w:fill="000080"/>
    </w:rPr>
  </w:style>
  <w:style w:type="character" w:customStyle="1" w:styleId="69">
    <w:name w:val="批注文字 字符2"/>
    <w:link w:val="19"/>
    <w:qFormat/>
    <w:uiPriority w:val="99"/>
    <w:rPr>
      <w:rFonts w:ascii="Times New Roman" w:hAnsi="Times New Roman"/>
      <w:kern w:val="2"/>
      <w:sz w:val="21"/>
      <w:szCs w:val="24"/>
    </w:rPr>
  </w:style>
  <w:style w:type="character" w:customStyle="1" w:styleId="70">
    <w:name w:val="正文文本 3 字符"/>
    <w:link w:val="20"/>
    <w:semiHidden/>
    <w:qFormat/>
    <w:uiPriority w:val="99"/>
    <w:rPr>
      <w:kern w:val="2"/>
      <w:sz w:val="16"/>
      <w:szCs w:val="16"/>
    </w:rPr>
  </w:style>
  <w:style w:type="character" w:customStyle="1" w:styleId="71">
    <w:name w:val="正文文本 字符1"/>
    <w:link w:val="21"/>
    <w:qFormat/>
    <w:uiPriority w:val="99"/>
    <w:rPr>
      <w:rFonts w:ascii="Times New Roman" w:hAnsi="Times New Roman"/>
      <w:kern w:val="2"/>
      <w:sz w:val="21"/>
      <w:szCs w:val="24"/>
    </w:rPr>
  </w:style>
  <w:style w:type="character" w:customStyle="1" w:styleId="72">
    <w:name w:val="纯文本 字符3"/>
    <w:link w:val="27"/>
    <w:qFormat/>
    <w:uiPriority w:val="99"/>
    <w:rPr>
      <w:rFonts w:ascii="宋体" w:hAnsi="Courier New" w:eastAsia="宋体" w:cs="Courier New"/>
      <w:szCs w:val="21"/>
    </w:rPr>
  </w:style>
  <w:style w:type="character" w:customStyle="1" w:styleId="73">
    <w:name w:val="日期 字符"/>
    <w:link w:val="29"/>
    <w:qFormat/>
    <w:uiPriority w:val="99"/>
    <w:rPr>
      <w:rFonts w:ascii="Times New Roman" w:hAnsi="Times New Roman"/>
      <w:kern w:val="2"/>
      <w:sz w:val="21"/>
      <w:szCs w:val="24"/>
    </w:rPr>
  </w:style>
  <w:style w:type="character" w:customStyle="1" w:styleId="74">
    <w:name w:val="正文文本缩进 2 字符"/>
    <w:link w:val="30"/>
    <w:qFormat/>
    <w:uiPriority w:val="99"/>
    <w:rPr>
      <w:kern w:val="2"/>
      <w:sz w:val="24"/>
      <w:szCs w:val="24"/>
    </w:rPr>
  </w:style>
  <w:style w:type="character" w:customStyle="1" w:styleId="75">
    <w:name w:val="批注框文本 字符"/>
    <w:link w:val="31"/>
    <w:qFormat/>
    <w:locked/>
    <w:uiPriority w:val="0"/>
    <w:rPr>
      <w:kern w:val="2"/>
      <w:sz w:val="18"/>
      <w:szCs w:val="18"/>
    </w:rPr>
  </w:style>
  <w:style w:type="character" w:customStyle="1" w:styleId="76">
    <w:name w:val="页脚 字符"/>
    <w:link w:val="32"/>
    <w:qFormat/>
    <w:uiPriority w:val="99"/>
    <w:rPr>
      <w:sz w:val="18"/>
      <w:szCs w:val="18"/>
    </w:rPr>
  </w:style>
  <w:style w:type="character" w:customStyle="1" w:styleId="77">
    <w:name w:val="页眉 字符"/>
    <w:link w:val="33"/>
    <w:qFormat/>
    <w:uiPriority w:val="0"/>
    <w:rPr>
      <w:sz w:val="18"/>
      <w:szCs w:val="18"/>
    </w:rPr>
  </w:style>
  <w:style w:type="character" w:customStyle="1" w:styleId="78">
    <w:name w:val="副标题 字符"/>
    <w:link w:val="36"/>
    <w:qFormat/>
    <w:uiPriority w:val="11"/>
    <w:rPr>
      <w:rFonts w:ascii="Cambria" w:hAnsi="Cambria"/>
      <w:b/>
      <w:bCs/>
      <w:kern w:val="28"/>
      <w:sz w:val="32"/>
      <w:szCs w:val="32"/>
    </w:rPr>
  </w:style>
  <w:style w:type="character" w:customStyle="1" w:styleId="79">
    <w:name w:val="脚注文本 字符"/>
    <w:link w:val="37"/>
    <w:semiHidden/>
    <w:qFormat/>
    <w:uiPriority w:val="0"/>
    <w:rPr>
      <w:sz w:val="18"/>
      <w:szCs w:val="18"/>
    </w:rPr>
  </w:style>
  <w:style w:type="character" w:customStyle="1" w:styleId="80">
    <w:name w:val="HTML 预设格式 字符"/>
    <w:link w:val="41"/>
    <w:qFormat/>
    <w:uiPriority w:val="99"/>
    <w:rPr>
      <w:rFonts w:ascii="宋体" w:hAnsi="宋体"/>
      <w:sz w:val="24"/>
      <w:szCs w:val="24"/>
    </w:rPr>
  </w:style>
  <w:style w:type="character" w:customStyle="1" w:styleId="81">
    <w:name w:val="标题 字符"/>
    <w:link w:val="43"/>
    <w:qFormat/>
    <w:uiPriority w:val="0"/>
    <w:rPr>
      <w:rFonts w:ascii="Cambria" w:hAnsi="Cambria"/>
      <w:b/>
      <w:bCs/>
      <w:kern w:val="2"/>
      <w:sz w:val="32"/>
      <w:szCs w:val="32"/>
    </w:rPr>
  </w:style>
  <w:style w:type="character" w:customStyle="1" w:styleId="82">
    <w:name w:val="批注主题 字符"/>
    <w:link w:val="44"/>
    <w:qFormat/>
    <w:uiPriority w:val="0"/>
    <w:rPr>
      <w:rFonts w:ascii="Times New Roman" w:hAnsi="Times New Roman"/>
      <w:b/>
      <w:bCs/>
      <w:kern w:val="2"/>
      <w:sz w:val="21"/>
      <w:szCs w:val="24"/>
    </w:rPr>
  </w:style>
  <w:style w:type="character" w:customStyle="1" w:styleId="83">
    <w:name w:val="Body text|7_"/>
    <w:link w:val="84"/>
    <w:qFormat/>
    <w:uiPriority w:val="0"/>
    <w:rPr>
      <w:rFonts w:ascii="Courier New" w:hAnsi="Courier New" w:eastAsia="Courier New" w:cs="Courier New"/>
      <w:b/>
      <w:bCs/>
      <w:sz w:val="8"/>
      <w:szCs w:val="8"/>
      <w:lang w:val="zh-CN"/>
    </w:rPr>
  </w:style>
  <w:style w:type="paragraph" w:customStyle="1" w:styleId="84">
    <w:name w:val="Body text|7"/>
    <w:basedOn w:val="1"/>
    <w:link w:val="83"/>
    <w:qFormat/>
    <w:uiPriority w:val="0"/>
    <w:pPr>
      <w:ind w:hanging="1760"/>
      <w:jc w:val="left"/>
    </w:pPr>
    <w:rPr>
      <w:rFonts w:ascii="Courier New" w:hAnsi="Courier New" w:eastAsia="Courier New"/>
      <w:b/>
      <w:bCs/>
      <w:kern w:val="0"/>
      <w:sz w:val="8"/>
      <w:szCs w:val="8"/>
      <w:lang w:val="zh-CN"/>
    </w:rPr>
  </w:style>
  <w:style w:type="character" w:customStyle="1" w:styleId="85">
    <w:name w:val="纯文本 字符1"/>
    <w:qFormat/>
    <w:uiPriority w:val="0"/>
    <w:rPr>
      <w:rFonts w:ascii="宋体" w:hAnsi="Courier New"/>
    </w:rPr>
  </w:style>
  <w:style w:type="character" w:customStyle="1" w:styleId="86">
    <w:name w:val="Title Char"/>
    <w:qFormat/>
    <w:uiPriority w:val="99"/>
    <w:rPr>
      <w:rFonts w:ascii="Cambria" w:hAnsi="Cambria" w:cs="Cambria"/>
      <w:b/>
      <w:bCs/>
      <w:sz w:val="32"/>
      <w:szCs w:val="32"/>
    </w:rPr>
  </w:style>
  <w:style w:type="character" w:customStyle="1" w:styleId="87">
    <w:name w:val="Footer Char"/>
    <w:qFormat/>
    <w:uiPriority w:val="99"/>
    <w:rPr>
      <w:rFonts w:eastAsia="宋体"/>
      <w:kern w:val="2"/>
      <w:sz w:val="18"/>
      <w:szCs w:val="18"/>
      <w:lang w:val="en-US" w:eastAsia="zh-CN"/>
    </w:rPr>
  </w:style>
  <w:style w:type="character" w:customStyle="1" w:styleId="88">
    <w:name w:val="标题 Char1"/>
    <w:qFormat/>
    <w:uiPriority w:val="99"/>
    <w:rPr>
      <w:rFonts w:ascii="Cambria" w:hAnsi="Cambria" w:eastAsia="宋体" w:cs="Cambria"/>
      <w:b/>
      <w:bCs/>
      <w:sz w:val="32"/>
      <w:szCs w:val="32"/>
    </w:rPr>
  </w:style>
  <w:style w:type="character" w:customStyle="1" w:styleId="89">
    <w:name w:val="Char Char91"/>
    <w:qFormat/>
    <w:uiPriority w:val="99"/>
    <w:rPr>
      <w:rFonts w:eastAsia="宋体"/>
      <w:b/>
      <w:bCs/>
      <w:kern w:val="44"/>
      <w:sz w:val="44"/>
      <w:szCs w:val="44"/>
      <w:lang w:val="en-US" w:eastAsia="zh-CN"/>
    </w:rPr>
  </w:style>
  <w:style w:type="character" w:customStyle="1" w:styleId="90">
    <w:name w:val="Header or footer|1_"/>
    <w:link w:val="91"/>
    <w:qFormat/>
    <w:uiPriority w:val="0"/>
    <w:rPr>
      <w:sz w:val="17"/>
      <w:szCs w:val="17"/>
      <w:lang w:val="zh-CN" w:bidi="zh-CN"/>
    </w:rPr>
  </w:style>
  <w:style w:type="paragraph" w:customStyle="1" w:styleId="91">
    <w:name w:val="Header or footer|1"/>
    <w:basedOn w:val="1"/>
    <w:link w:val="90"/>
    <w:qFormat/>
    <w:uiPriority w:val="0"/>
    <w:pPr>
      <w:jc w:val="center"/>
    </w:pPr>
    <w:rPr>
      <w:kern w:val="0"/>
      <w:sz w:val="17"/>
      <w:szCs w:val="17"/>
      <w:lang w:val="zh-CN" w:bidi="zh-CN"/>
    </w:rPr>
  </w:style>
  <w:style w:type="character" w:customStyle="1" w:styleId="92">
    <w:name w:val="Footnote Text Char"/>
    <w:qFormat/>
    <w:uiPriority w:val="99"/>
    <w:rPr>
      <w:rFonts w:eastAsia="宋体"/>
      <w:sz w:val="18"/>
      <w:szCs w:val="18"/>
      <w:lang w:val="en-US" w:eastAsia="zh-CN"/>
    </w:rPr>
  </w:style>
  <w:style w:type="character" w:customStyle="1" w:styleId="93">
    <w:name w:val="Heading #3|1_"/>
    <w:link w:val="94"/>
    <w:qFormat/>
    <w:uiPriority w:val="0"/>
    <w:rPr>
      <w:rFonts w:ascii="宋体" w:hAnsi="宋体" w:cs="宋体"/>
      <w:sz w:val="28"/>
      <w:szCs w:val="28"/>
      <w:lang w:val="zh-CN" w:bidi="zh-CN"/>
    </w:rPr>
  </w:style>
  <w:style w:type="paragraph" w:customStyle="1" w:styleId="94">
    <w:name w:val="Heading #3|1"/>
    <w:basedOn w:val="1"/>
    <w:link w:val="93"/>
    <w:qFormat/>
    <w:uiPriority w:val="0"/>
    <w:pPr>
      <w:spacing w:after="570"/>
      <w:jc w:val="center"/>
      <w:outlineLvl w:val="2"/>
    </w:pPr>
    <w:rPr>
      <w:rFonts w:ascii="宋体" w:hAnsi="宋体" w:cs="宋体"/>
      <w:kern w:val="0"/>
      <w:sz w:val="28"/>
      <w:szCs w:val="28"/>
      <w:lang w:val="zh-CN" w:bidi="zh-CN"/>
    </w:rPr>
  </w:style>
  <w:style w:type="character" w:customStyle="1" w:styleId="95">
    <w:name w:val="批注文字 字符1"/>
    <w:qFormat/>
    <w:uiPriority w:val="0"/>
    <w:rPr>
      <w:rFonts w:ascii="Times New Roman" w:hAnsi="Times New Roman"/>
      <w:kern w:val="2"/>
      <w:sz w:val="21"/>
      <w:szCs w:val="24"/>
    </w:rPr>
  </w:style>
  <w:style w:type="character" w:customStyle="1" w:styleId="96">
    <w:name w:val="Char Char23"/>
    <w:qFormat/>
    <w:uiPriority w:val="99"/>
    <w:rPr>
      <w:rFonts w:eastAsia="宋体"/>
      <w:b/>
      <w:bCs/>
      <w:kern w:val="44"/>
      <w:sz w:val="44"/>
      <w:szCs w:val="44"/>
      <w:lang w:val="en-US" w:eastAsia="zh-CN"/>
    </w:rPr>
  </w:style>
  <w:style w:type="character" w:customStyle="1" w:styleId="97">
    <w:name w:val="Date Char"/>
    <w:qFormat/>
    <w:uiPriority w:val="99"/>
    <w:rPr>
      <w:rFonts w:eastAsia="宋体"/>
      <w:kern w:val="2"/>
      <w:sz w:val="24"/>
      <w:szCs w:val="24"/>
      <w:lang w:val="en-US" w:eastAsia="zh-CN"/>
    </w:rPr>
  </w:style>
  <w:style w:type="character" w:customStyle="1" w:styleId="98">
    <w:name w:val="Heading #4|1_"/>
    <w:link w:val="99"/>
    <w:qFormat/>
    <w:uiPriority w:val="0"/>
    <w:rPr>
      <w:rFonts w:ascii="宋体" w:hAnsi="宋体" w:cs="宋体"/>
      <w:lang w:val="zh-CN" w:bidi="zh-CN"/>
    </w:rPr>
  </w:style>
  <w:style w:type="paragraph" w:customStyle="1" w:styleId="99">
    <w:name w:val="Heading #4|1"/>
    <w:basedOn w:val="1"/>
    <w:link w:val="98"/>
    <w:qFormat/>
    <w:uiPriority w:val="0"/>
    <w:pPr>
      <w:spacing w:after="120"/>
      <w:jc w:val="left"/>
      <w:outlineLvl w:val="3"/>
    </w:pPr>
    <w:rPr>
      <w:rFonts w:ascii="宋体" w:hAnsi="宋体" w:cs="宋体"/>
      <w:kern w:val="0"/>
      <w:sz w:val="20"/>
      <w:szCs w:val="20"/>
      <w:lang w:val="zh-CN" w:bidi="zh-CN"/>
    </w:rPr>
  </w:style>
  <w:style w:type="character" w:customStyle="1" w:styleId="10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1">
    <w:name w:val="Heading #2|1_"/>
    <w:link w:val="102"/>
    <w:qFormat/>
    <w:uiPriority w:val="0"/>
    <w:rPr>
      <w:rFonts w:ascii="宋体" w:hAnsi="宋体" w:cs="宋体"/>
      <w:sz w:val="34"/>
      <w:szCs w:val="34"/>
      <w:lang w:val="zh-CN" w:bidi="zh-CN"/>
    </w:rPr>
  </w:style>
  <w:style w:type="paragraph" w:customStyle="1" w:styleId="102">
    <w:name w:val="Heading #2|1"/>
    <w:basedOn w:val="1"/>
    <w:link w:val="101"/>
    <w:qFormat/>
    <w:uiPriority w:val="0"/>
    <w:pPr>
      <w:spacing w:after="900"/>
      <w:jc w:val="center"/>
      <w:outlineLvl w:val="1"/>
    </w:pPr>
    <w:rPr>
      <w:rFonts w:ascii="宋体" w:hAnsi="宋体" w:cs="宋体"/>
      <w:kern w:val="0"/>
      <w:sz w:val="34"/>
      <w:szCs w:val="34"/>
      <w:lang w:val="zh-CN" w:bidi="zh-CN"/>
    </w:rPr>
  </w:style>
  <w:style w:type="character" w:customStyle="1" w:styleId="103">
    <w:name w:val="apple-style-span"/>
    <w:qFormat/>
    <w:uiPriority w:val="0"/>
  </w:style>
  <w:style w:type="character" w:customStyle="1" w:styleId="104">
    <w:name w:val="Other|1_"/>
    <w:link w:val="105"/>
    <w:qFormat/>
    <w:uiPriority w:val="0"/>
    <w:rPr>
      <w:rFonts w:ascii="宋体" w:hAnsi="宋体" w:cs="宋体"/>
      <w:lang w:val="zh-CN" w:bidi="zh-CN"/>
    </w:rPr>
  </w:style>
  <w:style w:type="paragraph" w:customStyle="1" w:styleId="105">
    <w:name w:val="Other|1"/>
    <w:basedOn w:val="1"/>
    <w:link w:val="104"/>
    <w:qFormat/>
    <w:uiPriority w:val="0"/>
    <w:pPr>
      <w:spacing w:line="360" w:lineRule="auto"/>
      <w:ind w:firstLine="400"/>
      <w:jc w:val="left"/>
    </w:pPr>
    <w:rPr>
      <w:rFonts w:ascii="宋体" w:hAnsi="宋体" w:cs="宋体"/>
      <w:kern w:val="0"/>
      <w:sz w:val="20"/>
      <w:szCs w:val="20"/>
      <w:lang w:val="zh-CN" w:bidi="zh-CN"/>
    </w:rPr>
  </w:style>
  <w:style w:type="character" w:customStyle="1" w:styleId="106">
    <w:name w:val="批注文字 Char"/>
    <w:qFormat/>
    <w:uiPriority w:val="0"/>
    <w:rPr>
      <w:rFonts w:ascii="Times New Roman" w:hAnsi="Times New Roman"/>
      <w:kern w:val="2"/>
      <w:sz w:val="21"/>
      <w:szCs w:val="24"/>
    </w:rPr>
  </w:style>
  <w:style w:type="character" w:customStyle="1" w:styleId="107">
    <w:name w:val="Char Char21"/>
    <w:qFormat/>
    <w:uiPriority w:val="99"/>
    <w:rPr>
      <w:rFonts w:ascii="Arial" w:hAnsi="Arial" w:eastAsia="黑体" w:cs="Arial"/>
      <w:b/>
      <w:bCs/>
      <w:sz w:val="32"/>
      <w:szCs w:val="32"/>
    </w:rPr>
  </w:style>
  <w:style w:type="character" w:customStyle="1" w:styleId="108">
    <w:name w:val="Body text|6_"/>
    <w:link w:val="109"/>
    <w:qFormat/>
    <w:uiPriority w:val="0"/>
    <w:rPr>
      <w:rFonts w:ascii="Arial" w:hAnsi="Arial" w:eastAsia="Arial" w:cs="Arial"/>
      <w:lang w:val="zh-CN"/>
    </w:rPr>
  </w:style>
  <w:style w:type="paragraph" w:customStyle="1" w:styleId="109">
    <w:name w:val="Body text|6"/>
    <w:basedOn w:val="1"/>
    <w:link w:val="108"/>
    <w:qFormat/>
    <w:uiPriority w:val="0"/>
    <w:pPr>
      <w:ind w:hanging="2220"/>
      <w:jc w:val="left"/>
    </w:pPr>
    <w:rPr>
      <w:rFonts w:ascii="Arial" w:hAnsi="Arial" w:eastAsia="Arial"/>
      <w:kern w:val="0"/>
      <w:sz w:val="20"/>
      <w:szCs w:val="20"/>
      <w:lang w:val="zh-CN"/>
    </w:rPr>
  </w:style>
  <w:style w:type="character" w:customStyle="1" w:styleId="110">
    <w:name w:val="正文文本 字符"/>
    <w:qFormat/>
    <w:uiPriority w:val="0"/>
    <w:rPr>
      <w:rFonts w:ascii="Times New Roman" w:hAnsi="Times New Roman"/>
      <w:kern w:val="2"/>
      <w:sz w:val="21"/>
      <w:szCs w:val="24"/>
    </w:rPr>
  </w:style>
  <w:style w:type="character" w:styleId="111">
    <w:name w:val="Placeholder Text"/>
    <w:unhideWhenUsed/>
    <w:qFormat/>
    <w:uiPriority w:val="99"/>
    <w:rPr>
      <w:color w:val="808080"/>
    </w:rPr>
  </w:style>
  <w:style w:type="character" w:customStyle="1" w:styleId="112">
    <w:name w:val="Balloon Text Char"/>
    <w:qFormat/>
    <w:uiPriority w:val="99"/>
    <w:rPr>
      <w:sz w:val="18"/>
      <w:szCs w:val="18"/>
    </w:rPr>
  </w:style>
  <w:style w:type="character" w:customStyle="1" w:styleId="113">
    <w:name w:val="批注文字 Char Char"/>
    <w:qFormat/>
    <w:uiPriority w:val="99"/>
    <w:rPr>
      <w:rFonts w:ascii="宋体" w:hAnsi="Times New Roman" w:eastAsia="宋体" w:cs="宋体"/>
      <w:sz w:val="20"/>
      <w:szCs w:val="20"/>
    </w:rPr>
  </w:style>
  <w:style w:type="character" w:customStyle="1" w:styleId="114">
    <w:name w:val="标题5 Char Char"/>
    <w:link w:val="115"/>
    <w:qFormat/>
    <w:locked/>
    <w:uiPriority w:val="99"/>
    <w:rPr>
      <w:rFonts w:ascii="Arial" w:hAnsi="Arial" w:cs="Arial"/>
      <w:b/>
      <w:bCs/>
      <w:sz w:val="32"/>
      <w:szCs w:val="32"/>
    </w:rPr>
  </w:style>
  <w:style w:type="paragraph" w:customStyle="1" w:styleId="115">
    <w:name w:val="标题5"/>
    <w:basedOn w:val="7"/>
    <w:link w:val="114"/>
    <w:qFormat/>
    <w:uiPriority w:val="99"/>
    <w:pPr>
      <w:spacing w:line="413" w:lineRule="auto"/>
    </w:pPr>
    <w:rPr>
      <w:rFonts w:ascii="Arial" w:hAnsi="Arial"/>
      <w:kern w:val="0"/>
    </w:rPr>
  </w:style>
  <w:style w:type="character" w:customStyle="1" w:styleId="116">
    <w:name w:val="文档结构图 Char1"/>
    <w:qFormat/>
    <w:uiPriority w:val="99"/>
    <w:rPr>
      <w:rFonts w:ascii="宋体" w:hAnsi="Times New Roman" w:eastAsia="宋体" w:cs="宋体"/>
      <w:sz w:val="18"/>
      <w:szCs w:val="18"/>
    </w:rPr>
  </w:style>
  <w:style w:type="character" w:customStyle="1" w:styleId="117">
    <w:name w:val="Heading 2 Char"/>
    <w:qFormat/>
    <w:uiPriority w:val="99"/>
    <w:rPr>
      <w:rFonts w:ascii="Arial" w:hAnsi="Arial" w:eastAsia="黑体" w:cs="Arial"/>
      <w:b/>
      <w:bCs/>
      <w:kern w:val="2"/>
      <w:sz w:val="32"/>
      <w:szCs w:val="32"/>
      <w:lang w:val="en-US" w:eastAsia="zh-CN"/>
    </w:rPr>
  </w:style>
  <w:style w:type="character" w:customStyle="1" w:styleId="118">
    <w:name w:val="Body Text Indent 2 Char"/>
    <w:qFormat/>
    <w:uiPriority w:val="99"/>
    <w:rPr>
      <w:rFonts w:eastAsia="宋体"/>
      <w:kern w:val="2"/>
      <w:sz w:val="24"/>
      <w:szCs w:val="24"/>
      <w:lang w:val="en-US" w:eastAsia="zh-CN"/>
    </w:rPr>
  </w:style>
  <w:style w:type="character" w:customStyle="1" w:styleId="119">
    <w:name w:val="批注框文本 Char1"/>
    <w:qFormat/>
    <w:uiPriority w:val="99"/>
    <w:rPr>
      <w:rFonts w:ascii="Times New Roman" w:hAnsi="Times New Roman" w:eastAsia="宋体" w:cs="Times New Roman"/>
      <w:sz w:val="18"/>
      <w:szCs w:val="18"/>
    </w:rPr>
  </w:style>
  <w:style w:type="character" w:customStyle="1" w:styleId="120">
    <w:name w:val="Comment Text Char1"/>
    <w:qFormat/>
    <w:uiPriority w:val="99"/>
    <w:rPr>
      <w:sz w:val="24"/>
      <w:szCs w:val="24"/>
    </w:rPr>
  </w:style>
  <w:style w:type="character" w:customStyle="1" w:styleId="121">
    <w:name w:val="Char Char9"/>
    <w:qFormat/>
    <w:uiPriority w:val="99"/>
    <w:rPr>
      <w:rFonts w:eastAsia="宋体"/>
      <w:b/>
      <w:bCs/>
      <w:kern w:val="44"/>
      <w:sz w:val="44"/>
      <w:szCs w:val="44"/>
      <w:lang w:val="en-US" w:eastAsia="zh-CN"/>
    </w:rPr>
  </w:style>
  <w:style w:type="character" w:customStyle="1" w:styleId="122">
    <w:name w:val="Comment Subject Char"/>
    <w:qFormat/>
    <w:uiPriority w:val="99"/>
    <w:rPr>
      <w:b/>
      <w:bCs/>
      <w:sz w:val="24"/>
      <w:szCs w:val="24"/>
    </w:rPr>
  </w:style>
  <w:style w:type="character" w:customStyle="1" w:styleId="123">
    <w:name w:val="Comment Text Char"/>
    <w:qFormat/>
    <w:uiPriority w:val="99"/>
    <w:rPr>
      <w:sz w:val="24"/>
      <w:szCs w:val="24"/>
    </w:rPr>
  </w:style>
  <w:style w:type="character" w:customStyle="1" w:styleId="124">
    <w:name w:val="明显强调1"/>
    <w:qFormat/>
    <w:uiPriority w:val="99"/>
    <w:rPr>
      <w:b/>
      <w:bCs/>
      <w:i/>
      <w:iCs/>
      <w:color w:val="4F81BD"/>
    </w:rPr>
  </w:style>
  <w:style w:type="character" w:customStyle="1" w:styleId="125">
    <w:name w:val="Char Char181"/>
    <w:qFormat/>
    <w:uiPriority w:val="99"/>
    <w:rPr>
      <w:b/>
      <w:bCs/>
      <w:kern w:val="44"/>
      <w:sz w:val="44"/>
      <w:szCs w:val="44"/>
    </w:rPr>
  </w:style>
  <w:style w:type="character" w:customStyle="1" w:styleId="126">
    <w:name w:val="标题4 Char Char"/>
    <w:link w:val="127"/>
    <w:qFormat/>
    <w:locked/>
    <w:uiPriority w:val="99"/>
    <w:rPr>
      <w:rFonts w:ascii="Arial" w:hAnsi="Arial" w:cs="Arial"/>
      <w:b/>
      <w:bCs/>
      <w:sz w:val="32"/>
      <w:szCs w:val="32"/>
    </w:rPr>
  </w:style>
  <w:style w:type="paragraph" w:customStyle="1" w:styleId="127">
    <w:name w:val="标题4"/>
    <w:basedOn w:val="6"/>
    <w:next w:val="24"/>
    <w:link w:val="126"/>
    <w:qFormat/>
    <w:uiPriority w:val="99"/>
    <w:pPr>
      <w:spacing w:before="60" w:after="60" w:line="413" w:lineRule="auto"/>
    </w:pPr>
    <w:rPr>
      <w:rFonts w:ascii="Arial" w:hAnsi="Arial"/>
      <w:kern w:val="0"/>
    </w:rPr>
  </w:style>
  <w:style w:type="character" w:customStyle="1" w:styleId="128">
    <w:name w:val="日期 Char1"/>
    <w:qFormat/>
    <w:uiPriority w:val="99"/>
    <w:rPr>
      <w:rFonts w:ascii="Times New Roman" w:hAnsi="Times New Roman" w:eastAsia="宋体" w:cs="Times New Roman"/>
      <w:sz w:val="24"/>
      <w:szCs w:val="24"/>
    </w:rPr>
  </w:style>
  <w:style w:type="character" w:customStyle="1" w:styleId="129">
    <w:name w:val="Header Char"/>
    <w:qFormat/>
    <w:uiPriority w:val="99"/>
    <w:rPr>
      <w:rFonts w:eastAsia="宋体"/>
      <w:kern w:val="2"/>
      <w:sz w:val="18"/>
      <w:szCs w:val="18"/>
      <w:lang w:val="en-US" w:eastAsia="zh-CN"/>
    </w:rPr>
  </w:style>
  <w:style w:type="character" w:customStyle="1" w:styleId="130">
    <w:name w:val="Plain Text Char"/>
    <w:qFormat/>
    <w:uiPriority w:val="99"/>
    <w:rPr>
      <w:rFonts w:ascii="宋体" w:hAnsi="Courier New" w:eastAsia="宋体" w:cs="宋体"/>
      <w:sz w:val="24"/>
      <w:szCs w:val="24"/>
    </w:rPr>
  </w:style>
  <w:style w:type="character" w:customStyle="1" w:styleId="131">
    <w:name w:val="Body text|1_"/>
    <w:link w:val="132"/>
    <w:qFormat/>
    <w:uiPriority w:val="0"/>
    <w:rPr>
      <w:rFonts w:ascii="宋体" w:hAnsi="宋体" w:cs="宋体"/>
      <w:kern w:val="2"/>
      <w:sz w:val="21"/>
      <w:lang w:val="zh-CN" w:bidi="zh-CN"/>
    </w:rPr>
  </w:style>
  <w:style w:type="paragraph" w:customStyle="1" w:styleId="132">
    <w:name w:val="Body text|1"/>
    <w:basedOn w:val="1"/>
    <w:link w:val="131"/>
    <w:qFormat/>
    <w:uiPriority w:val="0"/>
    <w:pPr>
      <w:spacing w:line="360" w:lineRule="auto"/>
      <w:ind w:firstLine="400"/>
    </w:pPr>
    <w:rPr>
      <w:rFonts w:ascii="宋体" w:hAnsi="宋体" w:cs="宋体"/>
      <w:szCs w:val="20"/>
      <w:lang w:val="zh-CN" w:bidi="zh-CN"/>
    </w:rPr>
  </w:style>
  <w:style w:type="character" w:customStyle="1" w:styleId="133">
    <w:name w:val="标题 1 字符1"/>
    <w:qFormat/>
    <w:uiPriority w:val="0"/>
    <w:rPr>
      <w:b/>
      <w:bCs/>
      <w:kern w:val="44"/>
      <w:sz w:val="44"/>
      <w:szCs w:val="44"/>
    </w:rPr>
  </w:style>
  <w:style w:type="character" w:customStyle="1" w:styleId="134">
    <w:name w:val="不明显强调1"/>
    <w:qFormat/>
    <w:uiPriority w:val="99"/>
    <w:rPr>
      <w:i/>
      <w:iCs/>
      <w:color w:val="808080"/>
    </w:rPr>
  </w:style>
  <w:style w:type="character" w:customStyle="1" w:styleId="135">
    <w:name w:val="纯文本 字符2"/>
    <w:qFormat/>
    <w:uiPriority w:val="0"/>
    <w:rPr>
      <w:rFonts w:ascii="宋体" w:hAnsi="Courier New" w:eastAsia="宋体" w:cs="Courier New"/>
      <w:szCs w:val="21"/>
    </w:rPr>
  </w:style>
  <w:style w:type="character" w:customStyle="1" w:styleId="136">
    <w:name w:val="Table caption|1_"/>
    <w:link w:val="137"/>
    <w:qFormat/>
    <w:uiPriority w:val="0"/>
    <w:rPr>
      <w:rFonts w:ascii="宋体" w:hAnsi="宋体" w:cs="宋体"/>
      <w:lang w:val="zh-CN" w:bidi="zh-CN"/>
    </w:rPr>
  </w:style>
  <w:style w:type="paragraph" w:customStyle="1" w:styleId="137">
    <w:name w:val="Table caption|1"/>
    <w:basedOn w:val="1"/>
    <w:link w:val="136"/>
    <w:qFormat/>
    <w:uiPriority w:val="0"/>
    <w:pPr>
      <w:jc w:val="left"/>
    </w:pPr>
    <w:rPr>
      <w:rFonts w:ascii="宋体" w:hAnsi="宋体" w:cs="宋体"/>
      <w:kern w:val="0"/>
      <w:sz w:val="20"/>
      <w:szCs w:val="20"/>
      <w:lang w:val="zh-CN" w:bidi="zh-CN"/>
    </w:rPr>
  </w:style>
  <w:style w:type="character" w:customStyle="1" w:styleId="138">
    <w:name w:val="批注文字 Char2"/>
    <w:qFormat/>
    <w:uiPriority w:val="0"/>
    <w:rPr>
      <w:rFonts w:ascii="Times New Roman" w:hAnsi="Times New Roman"/>
      <w:kern w:val="2"/>
      <w:sz w:val="21"/>
      <w:szCs w:val="24"/>
    </w:rPr>
  </w:style>
  <w:style w:type="character" w:customStyle="1" w:styleId="139">
    <w:name w:val="Char Char20"/>
    <w:qFormat/>
    <w:uiPriority w:val="99"/>
    <w:rPr>
      <w:rFonts w:ascii="Times New Roman" w:hAnsi="Times New Roman" w:eastAsia="宋体" w:cs="Times New Roman"/>
      <w:b/>
      <w:bCs/>
      <w:sz w:val="32"/>
      <w:szCs w:val="32"/>
    </w:rPr>
  </w:style>
  <w:style w:type="character" w:customStyle="1" w:styleId="140">
    <w:name w:val="Heading 3 Char1"/>
    <w:qFormat/>
    <w:uiPriority w:val="99"/>
    <w:rPr>
      <w:rFonts w:eastAsia="宋体"/>
      <w:b/>
      <w:bCs/>
      <w:kern w:val="2"/>
      <w:sz w:val="32"/>
      <w:szCs w:val="32"/>
      <w:lang w:val="en-US" w:eastAsia="zh-CN"/>
    </w:rPr>
  </w:style>
  <w:style w:type="character" w:customStyle="1" w:styleId="141">
    <w:name w:val="引用 Char1"/>
    <w:qFormat/>
    <w:uiPriority w:val="99"/>
    <w:rPr>
      <w:rFonts w:ascii="Times New Roman" w:hAnsi="Times New Roman" w:eastAsia="宋体" w:cs="Times New Roman"/>
      <w:i/>
      <w:iCs/>
      <w:color w:val="000000"/>
      <w:sz w:val="24"/>
      <w:szCs w:val="24"/>
    </w:rPr>
  </w:style>
  <w:style w:type="character" w:customStyle="1" w:styleId="142">
    <w:name w:val="不明显参考1"/>
    <w:qFormat/>
    <w:uiPriority w:val="99"/>
    <w:rPr>
      <w:smallCaps/>
      <w:color w:val="auto"/>
      <w:u w:val="single"/>
    </w:rPr>
  </w:style>
  <w:style w:type="character" w:customStyle="1" w:styleId="143">
    <w:name w:val="Char Char24"/>
    <w:qFormat/>
    <w:uiPriority w:val="99"/>
    <w:rPr>
      <w:rFonts w:eastAsia="宋体"/>
      <w:b/>
      <w:bCs/>
      <w:kern w:val="44"/>
      <w:sz w:val="44"/>
      <w:szCs w:val="44"/>
      <w:lang w:val="en-US" w:eastAsia="zh-CN"/>
    </w:rPr>
  </w:style>
  <w:style w:type="character" w:customStyle="1" w:styleId="144">
    <w:name w:val="明显引用 Char"/>
    <w:link w:val="145"/>
    <w:qFormat/>
    <w:locked/>
    <w:uiPriority w:val="99"/>
    <w:rPr>
      <w:b/>
      <w:bCs/>
      <w:i/>
      <w:iCs/>
      <w:color w:val="4F81BD"/>
    </w:rPr>
  </w:style>
  <w:style w:type="paragraph" w:customStyle="1" w:styleId="145">
    <w:name w:val="明显引用1"/>
    <w:basedOn w:val="1"/>
    <w:next w:val="1"/>
    <w:link w:val="144"/>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46">
    <w:name w:val="明显参考1"/>
    <w:qFormat/>
    <w:uiPriority w:val="99"/>
    <w:rPr>
      <w:b/>
      <w:bCs/>
      <w:smallCaps/>
      <w:color w:val="auto"/>
      <w:spacing w:val="5"/>
      <w:u w:val="single"/>
    </w:rPr>
  </w:style>
  <w:style w:type="character" w:customStyle="1" w:styleId="147">
    <w:name w:val="引用 Char"/>
    <w:link w:val="148"/>
    <w:qFormat/>
    <w:locked/>
    <w:uiPriority w:val="99"/>
    <w:rPr>
      <w:i/>
      <w:iCs/>
      <w:color w:val="000000"/>
    </w:rPr>
  </w:style>
  <w:style w:type="paragraph" w:customStyle="1" w:styleId="148">
    <w:name w:val="引用1"/>
    <w:basedOn w:val="1"/>
    <w:next w:val="1"/>
    <w:link w:val="147"/>
    <w:qFormat/>
    <w:uiPriority w:val="99"/>
    <w:rPr>
      <w:i/>
      <w:iCs/>
      <w:color w:val="000000"/>
      <w:kern w:val="0"/>
      <w:sz w:val="20"/>
      <w:szCs w:val="20"/>
    </w:rPr>
  </w:style>
  <w:style w:type="character" w:customStyle="1" w:styleId="149">
    <w:name w:val="明显引用 Char1"/>
    <w:qFormat/>
    <w:uiPriority w:val="99"/>
    <w:rPr>
      <w:rFonts w:ascii="Times New Roman" w:hAnsi="Times New Roman" w:eastAsia="宋体" w:cs="Times New Roman"/>
      <w:b/>
      <w:bCs/>
      <w:i/>
      <w:iCs/>
      <w:color w:val="4F81BD"/>
      <w:sz w:val="24"/>
      <w:szCs w:val="24"/>
    </w:rPr>
  </w:style>
  <w:style w:type="character" w:customStyle="1" w:styleId="150">
    <w:name w:val="标题 Char2"/>
    <w:qFormat/>
    <w:uiPriority w:val="99"/>
    <w:rPr>
      <w:rFonts w:ascii="Cambria" w:hAnsi="Cambria" w:eastAsia="宋体" w:cs="Cambria"/>
      <w:b/>
      <w:bCs/>
      <w:sz w:val="32"/>
      <w:szCs w:val="32"/>
    </w:rPr>
  </w:style>
  <w:style w:type="character" w:customStyle="1" w:styleId="151">
    <w:name w:val="Char Char6"/>
    <w:qFormat/>
    <w:uiPriority w:val="99"/>
    <w:rPr>
      <w:rFonts w:eastAsia="宋体"/>
      <w:b/>
      <w:bCs/>
      <w:kern w:val="44"/>
      <w:sz w:val="44"/>
      <w:szCs w:val="44"/>
      <w:lang w:val="en-US" w:eastAsia="zh-CN"/>
    </w:rPr>
  </w:style>
  <w:style w:type="character" w:customStyle="1" w:styleId="152">
    <w:name w:val="Char Char19"/>
    <w:qFormat/>
    <w:uiPriority w:val="99"/>
    <w:rPr>
      <w:rFonts w:ascii="Arial" w:hAnsi="Arial" w:eastAsia="宋体" w:cs="Arial"/>
      <w:b/>
      <w:bCs/>
      <w:sz w:val="28"/>
      <w:szCs w:val="28"/>
    </w:rPr>
  </w:style>
  <w:style w:type="character" w:customStyle="1" w:styleId="153">
    <w:name w:val="Table of contents|1_"/>
    <w:link w:val="154"/>
    <w:qFormat/>
    <w:uiPriority w:val="0"/>
    <w:rPr>
      <w:rFonts w:ascii="宋体" w:hAnsi="宋体" w:cs="宋体"/>
      <w:lang w:val="zh-CN" w:bidi="zh-CN"/>
    </w:rPr>
  </w:style>
  <w:style w:type="paragraph" w:customStyle="1" w:styleId="154">
    <w:name w:val="Table of contents|1"/>
    <w:basedOn w:val="1"/>
    <w:link w:val="153"/>
    <w:qFormat/>
    <w:uiPriority w:val="0"/>
    <w:pPr>
      <w:spacing w:after="100"/>
      <w:ind w:firstLine="600"/>
      <w:jc w:val="left"/>
    </w:pPr>
    <w:rPr>
      <w:rFonts w:ascii="宋体" w:hAnsi="宋体" w:cs="宋体"/>
      <w:kern w:val="0"/>
      <w:sz w:val="20"/>
      <w:szCs w:val="20"/>
      <w:lang w:val="zh-CN" w:bidi="zh-CN"/>
    </w:rPr>
  </w:style>
  <w:style w:type="character" w:customStyle="1" w:styleId="155">
    <w:name w:val="Heading #1|1_"/>
    <w:link w:val="156"/>
    <w:qFormat/>
    <w:uiPriority w:val="0"/>
    <w:rPr>
      <w:rFonts w:ascii="宋体" w:hAnsi="宋体" w:cs="宋体"/>
      <w:sz w:val="38"/>
      <w:szCs w:val="38"/>
      <w:lang w:val="zh-CN" w:bidi="zh-CN"/>
    </w:rPr>
  </w:style>
  <w:style w:type="paragraph" w:customStyle="1" w:styleId="156">
    <w:name w:val="Heading #1|1"/>
    <w:basedOn w:val="1"/>
    <w:link w:val="155"/>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57">
    <w:name w:val="Heading 5 Char"/>
    <w:qFormat/>
    <w:uiPriority w:val="99"/>
    <w:rPr>
      <w:rFonts w:eastAsia="宋体"/>
      <w:b/>
      <w:bCs/>
      <w:kern w:val="2"/>
      <w:sz w:val="28"/>
      <w:szCs w:val="28"/>
      <w:lang w:val="en-US" w:eastAsia="zh-CN"/>
    </w:rPr>
  </w:style>
  <w:style w:type="character" w:customStyle="1" w:styleId="158">
    <w:name w:val="textcontents"/>
    <w:qFormat/>
    <w:uiPriority w:val="99"/>
  </w:style>
  <w:style w:type="character" w:customStyle="1" w:styleId="159">
    <w:name w:val="书籍标题1"/>
    <w:qFormat/>
    <w:uiPriority w:val="99"/>
    <w:rPr>
      <w:b/>
      <w:bCs/>
      <w:smallCaps/>
      <w:spacing w:val="5"/>
    </w:rPr>
  </w:style>
  <w:style w:type="character" w:customStyle="1" w:styleId="160">
    <w:name w:val="纯文本 字符"/>
    <w:qFormat/>
    <w:uiPriority w:val="0"/>
    <w:rPr>
      <w:rFonts w:ascii="宋体" w:hAnsi="Courier New" w:eastAsia="宋体" w:cs="Courier New"/>
      <w:szCs w:val="21"/>
    </w:rPr>
  </w:style>
  <w:style w:type="character" w:customStyle="1" w:styleId="161">
    <w:name w:val="Body text|3_"/>
    <w:link w:val="162"/>
    <w:qFormat/>
    <w:uiPriority w:val="0"/>
    <w:rPr>
      <w:rFonts w:ascii="宋体" w:hAnsi="宋体" w:cs="宋体"/>
      <w:lang w:val="zh-CN" w:bidi="zh-CN"/>
    </w:rPr>
  </w:style>
  <w:style w:type="paragraph" w:customStyle="1" w:styleId="162">
    <w:name w:val="Body text|3"/>
    <w:basedOn w:val="1"/>
    <w:link w:val="161"/>
    <w:qFormat/>
    <w:uiPriority w:val="0"/>
    <w:pPr>
      <w:spacing w:after="340"/>
      <w:jc w:val="left"/>
    </w:pPr>
    <w:rPr>
      <w:rFonts w:ascii="宋体" w:hAnsi="宋体" w:cs="宋体"/>
      <w:kern w:val="0"/>
      <w:sz w:val="20"/>
      <w:szCs w:val="20"/>
      <w:lang w:val="zh-CN" w:bidi="zh-CN"/>
    </w:rPr>
  </w:style>
  <w:style w:type="character" w:customStyle="1" w:styleId="163">
    <w:name w:val="纯文本 Char"/>
    <w:qFormat/>
    <w:uiPriority w:val="0"/>
    <w:rPr>
      <w:rFonts w:ascii="宋体" w:hAnsi="Courier New" w:eastAsia="宋体" w:cs="Courier New"/>
      <w:szCs w:val="21"/>
    </w:rPr>
  </w:style>
  <w:style w:type="character" w:customStyle="1" w:styleId="164">
    <w:name w:val="Body text|4_"/>
    <w:link w:val="165"/>
    <w:qFormat/>
    <w:uiPriority w:val="0"/>
    <w:rPr>
      <w:rFonts w:ascii="宋体" w:hAnsi="宋体" w:cs="宋体"/>
      <w:b/>
      <w:bCs/>
      <w:sz w:val="17"/>
      <w:szCs w:val="17"/>
      <w:lang w:val="zh-CN" w:bidi="zh-CN"/>
    </w:rPr>
  </w:style>
  <w:style w:type="paragraph" w:customStyle="1" w:styleId="165">
    <w:name w:val="Body text|4"/>
    <w:basedOn w:val="1"/>
    <w:link w:val="164"/>
    <w:qFormat/>
    <w:uiPriority w:val="0"/>
    <w:pPr>
      <w:spacing w:line="281" w:lineRule="exact"/>
      <w:jc w:val="center"/>
    </w:pPr>
    <w:rPr>
      <w:rFonts w:ascii="宋体" w:hAnsi="宋体" w:cs="宋体"/>
      <w:b/>
      <w:bCs/>
      <w:kern w:val="0"/>
      <w:sz w:val="17"/>
      <w:szCs w:val="17"/>
      <w:lang w:val="zh-CN" w:bidi="zh-CN"/>
    </w:rPr>
  </w:style>
  <w:style w:type="character" w:customStyle="1" w:styleId="166">
    <w:name w:val="正文文本 Char"/>
    <w:qFormat/>
    <w:uiPriority w:val="0"/>
    <w:rPr>
      <w:rFonts w:ascii="Times New Roman" w:hAnsi="Times New Roman"/>
      <w:kern w:val="2"/>
      <w:sz w:val="21"/>
      <w:szCs w:val="24"/>
    </w:rPr>
  </w:style>
  <w:style w:type="character" w:customStyle="1" w:styleId="167">
    <w:name w:val="Body text|5_"/>
    <w:link w:val="168"/>
    <w:qFormat/>
    <w:uiPriority w:val="0"/>
    <w:rPr>
      <w:rFonts w:ascii="宋体" w:hAnsi="宋体" w:cs="宋体"/>
      <w:sz w:val="52"/>
      <w:szCs w:val="52"/>
      <w:lang w:val="zh-CN" w:bidi="zh-CN"/>
    </w:rPr>
  </w:style>
  <w:style w:type="paragraph" w:customStyle="1" w:styleId="168">
    <w:name w:val="Body text|5"/>
    <w:basedOn w:val="1"/>
    <w:link w:val="167"/>
    <w:qFormat/>
    <w:uiPriority w:val="0"/>
    <w:pPr>
      <w:jc w:val="center"/>
    </w:pPr>
    <w:rPr>
      <w:rFonts w:ascii="宋体" w:hAnsi="宋体" w:cs="宋体"/>
      <w:kern w:val="0"/>
      <w:sz w:val="52"/>
      <w:szCs w:val="52"/>
      <w:lang w:val="zh-CN" w:bidi="zh-CN"/>
    </w:rPr>
  </w:style>
  <w:style w:type="character" w:customStyle="1" w:styleId="169">
    <w:name w:val="批注文字 字符"/>
    <w:qFormat/>
    <w:uiPriority w:val="0"/>
    <w:rPr>
      <w:rFonts w:ascii="Times New Roman" w:hAnsi="Times New Roman"/>
      <w:kern w:val="2"/>
      <w:sz w:val="21"/>
      <w:szCs w:val="24"/>
    </w:rPr>
  </w:style>
  <w:style w:type="character" w:customStyle="1" w:styleId="170">
    <w:name w:val="标题 2 Char"/>
    <w:qFormat/>
    <w:uiPriority w:val="0"/>
    <w:rPr>
      <w:rFonts w:ascii="Cambria" w:hAnsi="Cambria" w:eastAsia="宋体" w:cs="Times New Roman"/>
      <w:b/>
      <w:bCs/>
      <w:kern w:val="2"/>
      <w:sz w:val="32"/>
      <w:szCs w:val="32"/>
    </w:rPr>
  </w:style>
  <w:style w:type="character" w:customStyle="1" w:styleId="171">
    <w:name w:val="Header or footer|2_"/>
    <w:link w:val="172"/>
    <w:qFormat/>
    <w:uiPriority w:val="0"/>
    <w:rPr>
      <w:lang w:val="zh-CN" w:bidi="zh-CN"/>
    </w:rPr>
  </w:style>
  <w:style w:type="paragraph" w:customStyle="1" w:styleId="172">
    <w:name w:val="Header or footer|2"/>
    <w:basedOn w:val="1"/>
    <w:link w:val="171"/>
    <w:qFormat/>
    <w:uiPriority w:val="0"/>
    <w:pPr>
      <w:jc w:val="left"/>
    </w:pPr>
    <w:rPr>
      <w:kern w:val="0"/>
      <w:sz w:val="20"/>
      <w:szCs w:val="20"/>
      <w:lang w:val="zh-CN" w:bidi="zh-CN"/>
    </w:rPr>
  </w:style>
  <w:style w:type="character" w:customStyle="1" w:styleId="173">
    <w:name w:val="标题 8 Char"/>
    <w:qFormat/>
    <w:uiPriority w:val="9"/>
    <w:rPr>
      <w:rFonts w:ascii="Arial" w:hAnsi="Arial" w:eastAsia="黑体"/>
      <w:kern w:val="2"/>
      <w:sz w:val="24"/>
      <w:szCs w:val="24"/>
    </w:rPr>
  </w:style>
  <w:style w:type="character" w:customStyle="1" w:styleId="174">
    <w:name w:val="Body text|2_"/>
    <w:link w:val="175"/>
    <w:qFormat/>
    <w:uiPriority w:val="0"/>
    <w:rPr>
      <w:sz w:val="21"/>
    </w:rPr>
  </w:style>
  <w:style w:type="paragraph" w:customStyle="1" w:styleId="175">
    <w:name w:val="Body text|2"/>
    <w:basedOn w:val="1"/>
    <w:link w:val="174"/>
    <w:qFormat/>
    <w:uiPriority w:val="0"/>
    <w:pPr>
      <w:spacing w:after="30"/>
      <w:ind w:firstLine="420"/>
      <w:jc w:val="left"/>
    </w:pPr>
    <w:rPr>
      <w:kern w:val="0"/>
      <w:szCs w:val="20"/>
    </w:rPr>
  </w:style>
  <w:style w:type="character" w:customStyle="1" w:styleId="176">
    <w:name w:val="正文2 Char Char"/>
    <w:link w:val="177"/>
    <w:qFormat/>
    <w:uiPriority w:val="0"/>
    <w:rPr>
      <w:kern w:val="2"/>
      <w:sz w:val="24"/>
    </w:rPr>
  </w:style>
  <w:style w:type="paragraph" w:customStyle="1" w:styleId="177">
    <w:name w:val="正文2"/>
    <w:basedOn w:val="1"/>
    <w:link w:val="176"/>
    <w:qFormat/>
    <w:uiPriority w:val="0"/>
    <w:pPr>
      <w:adjustRightInd w:val="0"/>
      <w:spacing w:before="156" w:line="360" w:lineRule="auto"/>
      <w:ind w:firstLine="510" w:firstLineChars="200"/>
    </w:pPr>
    <w:rPr>
      <w:sz w:val="24"/>
      <w:szCs w:val="20"/>
    </w:rPr>
  </w:style>
  <w:style w:type="character" w:customStyle="1" w:styleId="178">
    <w:name w:val="Heading 3 Char"/>
    <w:qFormat/>
    <w:uiPriority w:val="99"/>
    <w:rPr>
      <w:b/>
      <w:bCs/>
      <w:kern w:val="2"/>
      <w:sz w:val="32"/>
      <w:szCs w:val="32"/>
    </w:rPr>
  </w:style>
  <w:style w:type="character" w:customStyle="1" w:styleId="179">
    <w:name w:val="Body Text Indent Char"/>
    <w:qFormat/>
    <w:uiPriority w:val="99"/>
    <w:rPr>
      <w:rFonts w:ascii="宋体" w:hAnsi="宋体" w:eastAsia="宋体" w:cs="宋体"/>
      <w:kern w:val="2"/>
      <w:sz w:val="21"/>
      <w:szCs w:val="21"/>
      <w:lang w:val="en-US" w:eastAsia="zh-CN"/>
    </w:rPr>
  </w:style>
  <w:style w:type="character" w:customStyle="1" w:styleId="180">
    <w:name w:val="Heading 4 Char"/>
    <w:qFormat/>
    <w:uiPriority w:val="99"/>
    <w:rPr>
      <w:rFonts w:ascii="Arial" w:hAnsi="Arial" w:eastAsia="宋体" w:cs="Arial"/>
      <w:b/>
      <w:bCs/>
      <w:kern w:val="2"/>
      <w:sz w:val="28"/>
      <w:szCs w:val="28"/>
      <w:lang w:val="en-US" w:eastAsia="zh-CN"/>
    </w:rPr>
  </w:style>
  <w:style w:type="character" w:customStyle="1" w:styleId="181">
    <w:name w:val="Heading 1 Char"/>
    <w:qFormat/>
    <w:uiPriority w:val="99"/>
    <w:rPr>
      <w:rFonts w:eastAsia="宋体"/>
      <w:b/>
      <w:bCs/>
      <w:kern w:val="44"/>
      <w:sz w:val="44"/>
      <w:szCs w:val="44"/>
      <w:lang w:val="en-US" w:eastAsia="zh-CN"/>
    </w:rPr>
  </w:style>
  <w:style w:type="character" w:customStyle="1" w:styleId="182">
    <w:name w:val="Char Char18"/>
    <w:qFormat/>
    <w:uiPriority w:val="99"/>
    <w:rPr>
      <w:rFonts w:ascii="Times New Roman" w:hAnsi="Times New Roman" w:eastAsia="宋体" w:cs="Times New Roman"/>
      <w:b/>
      <w:bCs/>
      <w:sz w:val="28"/>
      <w:szCs w:val="28"/>
    </w:rPr>
  </w:style>
  <w:style w:type="character" w:customStyle="1" w:styleId="183">
    <w:name w:val="批注主题 Char1"/>
    <w:qFormat/>
    <w:uiPriority w:val="99"/>
    <w:rPr>
      <w:rFonts w:ascii="Times New Roman" w:hAnsi="Times New Roman" w:eastAsia="宋体" w:cs="Times New Roman"/>
      <w:b/>
      <w:bCs/>
      <w:sz w:val="24"/>
      <w:szCs w:val="24"/>
    </w:rPr>
  </w:style>
  <w:style w:type="character" w:customStyle="1" w:styleId="184">
    <w:name w:val="Char Char22"/>
    <w:qFormat/>
    <w:uiPriority w:val="99"/>
    <w:rPr>
      <w:rFonts w:ascii="Times New Roman" w:hAnsi="Times New Roman" w:eastAsia="宋体" w:cs="Times New Roman"/>
      <w:b/>
      <w:bCs/>
      <w:kern w:val="44"/>
      <w:sz w:val="44"/>
      <w:szCs w:val="44"/>
    </w:rPr>
  </w:style>
  <w:style w:type="character" w:customStyle="1" w:styleId="185">
    <w:name w:val="Document Map Char"/>
    <w:qFormat/>
    <w:uiPriority w:val="99"/>
    <w:rPr>
      <w:rFonts w:eastAsia="宋体"/>
      <w:kern w:val="2"/>
      <w:sz w:val="24"/>
      <w:szCs w:val="24"/>
      <w:lang w:val="en-US" w:eastAsia="zh-CN"/>
    </w:rPr>
  </w:style>
  <w:style w:type="paragraph" w:customStyle="1" w:styleId="186">
    <w:name w:val="Char Char Char Char Char Char Char"/>
    <w:basedOn w:val="1"/>
    <w:qFormat/>
    <w:uiPriority w:val="99"/>
    <w:pPr>
      <w:widowControl/>
      <w:spacing w:after="160" w:line="240" w:lineRule="exact"/>
      <w:jc w:val="left"/>
    </w:pPr>
    <w:rPr>
      <w:szCs w:val="21"/>
    </w:rPr>
  </w:style>
  <w:style w:type="paragraph" w:customStyle="1" w:styleId="187">
    <w:name w:val="样式1"/>
    <w:basedOn w:val="1"/>
    <w:next w:val="8"/>
    <w:qFormat/>
    <w:uiPriority w:val="99"/>
    <w:pPr>
      <w:spacing w:line="360" w:lineRule="auto"/>
      <w:ind w:firstLine="420" w:firstLineChars="200"/>
    </w:pPr>
    <w:rPr>
      <w:rFonts w:ascii="宋体" w:hAnsi="宋体" w:cs="宋体"/>
      <w:szCs w:val="21"/>
    </w:rPr>
  </w:style>
  <w:style w:type="paragraph" w:customStyle="1" w:styleId="188">
    <w:name w:val="列出段落1"/>
    <w:basedOn w:val="1"/>
    <w:qFormat/>
    <w:uiPriority w:val="99"/>
    <w:pPr>
      <w:ind w:firstLine="420" w:firstLineChars="200"/>
    </w:pPr>
    <w:rPr>
      <w:rFonts w:ascii="Calibri" w:hAnsi="Calibri" w:cs="Calibri"/>
      <w:szCs w:val="21"/>
    </w:rPr>
  </w:style>
  <w:style w:type="paragraph" w:customStyle="1" w:styleId="189">
    <w:name w:val="Table Paragraph"/>
    <w:basedOn w:val="1"/>
    <w:qFormat/>
    <w:uiPriority w:val="1"/>
    <w:pPr>
      <w:jc w:val="left"/>
    </w:pPr>
    <w:rPr>
      <w:rFonts w:ascii="Calibri" w:hAnsi="Calibri"/>
      <w:kern w:val="0"/>
      <w:sz w:val="22"/>
      <w:szCs w:val="22"/>
      <w:lang w:eastAsia="en-US"/>
    </w:rPr>
  </w:style>
  <w:style w:type="paragraph" w:customStyle="1" w:styleId="190">
    <w:name w:val="默认段落字体 Para Char Char Char Char Char Char Char Char Char1 Char Char Char Char"/>
    <w:basedOn w:val="1"/>
    <w:qFormat/>
    <w:uiPriority w:val="0"/>
    <w:rPr>
      <w:rFonts w:ascii="Tahoma" w:hAnsi="Tahoma"/>
      <w:sz w:val="24"/>
      <w:szCs w:val="20"/>
    </w:rPr>
  </w:style>
  <w:style w:type="paragraph" w:customStyle="1" w:styleId="19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192">
    <w:name w:val="List Paragraph"/>
    <w:basedOn w:val="1"/>
    <w:qFormat/>
    <w:uiPriority w:val="99"/>
    <w:pPr>
      <w:ind w:firstLine="420" w:firstLineChars="200"/>
    </w:pPr>
  </w:style>
  <w:style w:type="paragraph" w:customStyle="1" w:styleId="193">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4">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95">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6">
    <w:name w:val="TOC 标题1"/>
    <w:basedOn w:val="5"/>
    <w:next w:val="1"/>
    <w:qFormat/>
    <w:uiPriority w:val="99"/>
    <w:pPr>
      <w:spacing w:line="576" w:lineRule="auto"/>
      <w:outlineLvl w:val="9"/>
    </w:pPr>
    <w:rPr>
      <w:rFonts w:ascii="Calibri" w:hAnsi="Calibri" w:eastAsia="黑体" w:cs="Calibri"/>
      <w:lang w:val="zh-CN" w:eastAsia="zh-CN"/>
    </w:rPr>
  </w:style>
  <w:style w:type="paragraph" w:customStyle="1" w:styleId="197">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98">
    <w:name w:val="p0"/>
    <w:basedOn w:val="1"/>
    <w:qFormat/>
    <w:uiPriority w:val="0"/>
    <w:pPr>
      <w:widowControl/>
    </w:pPr>
    <w:rPr>
      <w:rFonts w:ascii="Calibri" w:hAnsi="Calibri" w:cs="Calibri"/>
      <w:kern w:val="0"/>
      <w:szCs w:val="21"/>
    </w:rPr>
  </w:style>
  <w:style w:type="paragraph" w:customStyle="1" w:styleId="199">
    <w:name w:val="Char"/>
    <w:basedOn w:val="1"/>
    <w:qFormat/>
    <w:uiPriority w:val="99"/>
    <w:pPr>
      <w:widowControl/>
      <w:spacing w:after="160" w:line="240" w:lineRule="exact"/>
      <w:jc w:val="left"/>
    </w:pPr>
    <w:rPr>
      <w:szCs w:val="21"/>
    </w:rPr>
  </w:style>
  <w:style w:type="paragraph" w:customStyle="1" w:styleId="200">
    <w:name w:val="1"/>
    <w:basedOn w:val="1"/>
    <w:next w:val="1"/>
    <w:qFormat/>
    <w:uiPriority w:val="99"/>
    <w:rPr>
      <w:szCs w:val="21"/>
    </w:rPr>
  </w:style>
  <w:style w:type="paragraph" w:customStyle="1" w:styleId="201">
    <w:name w:val="列出段落2"/>
    <w:basedOn w:val="1"/>
    <w:qFormat/>
    <w:uiPriority w:val="99"/>
    <w:pPr>
      <w:ind w:firstLine="420" w:firstLineChars="200"/>
    </w:pPr>
    <w:rPr>
      <w:rFonts w:ascii="Calibri" w:hAnsi="Calibri" w:cs="Calibri"/>
      <w:szCs w:val="21"/>
    </w:rPr>
  </w:style>
  <w:style w:type="paragraph" w:customStyle="1" w:styleId="202">
    <w:name w:val="_Style 201"/>
    <w:qFormat/>
    <w:uiPriority w:val="99"/>
    <w:rPr>
      <w:rFonts w:ascii="Times New Roman" w:hAnsi="Times New Roman" w:eastAsia="宋体" w:cs="Times New Roman"/>
      <w:kern w:val="2"/>
      <w:sz w:val="21"/>
      <w:szCs w:val="21"/>
      <w:lang w:val="en-US" w:eastAsia="zh-CN" w:bidi="ar-SA"/>
    </w:rPr>
  </w:style>
  <w:style w:type="paragraph" w:customStyle="1" w:styleId="203">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204">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5">
    <w:name w:val="修订1"/>
    <w:qFormat/>
    <w:uiPriority w:val="99"/>
    <w:rPr>
      <w:rFonts w:ascii="Times New Roman" w:hAnsi="Times New Roman" w:eastAsia="宋体" w:cs="Times New Roman"/>
      <w:kern w:val="2"/>
      <w:sz w:val="21"/>
      <w:szCs w:val="21"/>
      <w:lang w:val="en-US" w:eastAsia="zh-CN" w:bidi="ar-SA"/>
    </w:rPr>
  </w:style>
  <w:style w:type="paragraph" w:customStyle="1" w:styleId="206">
    <w:name w:val="样式 标题 2 + Times New Roman 四号 非加粗 段前: 5 磅 段后: 0 磅 行距: 固定值 20..."/>
    <w:basedOn w:val="6"/>
    <w:qFormat/>
    <w:uiPriority w:val="99"/>
    <w:pPr>
      <w:spacing w:before="100" w:after="0" w:line="400" w:lineRule="exact"/>
    </w:pPr>
    <w:rPr>
      <w:rFonts w:ascii="Times New Roman" w:hAnsi="Times New Roman" w:eastAsia="黑体"/>
      <w:b w:val="0"/>
      <w:bCs w:val="0"/>
      <w:kern w:val="0"/>
      <w:sz w:val="28"/>
      <w:szCs w:val="28"/>
      <w:lang w:val="zh-CN" w:eastAsia="zh-CN"/>
    </w:rPr>
  </w:style>
  <w:style w:type="paragraph" w:customStyle="1" w:styleId="207">
    <w:name w:val="表格文字"/>
    <w:basedOn w:val="3"/>
    <w:qFormat/>
    <w:uiPriority w:val="0"/>
    <w:pPr>
      <w:spacing w:before="25" w:after="25"/>
      <w:jc w:val="left"/>
    </w:pPr>
    <w:rPr>
      <w:bCs/>
      <w:spacing w:val="10"/>
      <w:kern w:val="0"/>
      <w:sz w:val="24"/>
      <w:szCs w:val="20"/>
    </w:rPr>
  </w:style>
  <w:style w:type="paragraph" w:customStyle="1" w:styleId="208">
    <w:name w:val="2-2ji"/>
    <w:basedOn w:val="6"/>
    <w:qFormat/>
    <w:uiPriority w:val="99"/>
    <w:pPr>
      <w:spacing w:before="0" w:after="0" w:line="360" w:lineRule="auto"/>
      <w:jc w:val="center"/>
    </w:pPr>
    <w:rPr>
      <w:rFonts w:ascii="宋体" w:hAnsi="宋体" w:cs="宋体"/>
      <w:sz w:val="36"/>
      <w:szCs w:val="36"/>
      <w:lang w:val="zh-CN" w:eastAsia="zh-CN"/>
    </w:rPr>
  </w:style>
  <w:style w:type="paragraph" w:customStyle="1" w:styleId="209">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0">
    <w:name w:val="2"/>
    <w:basedOn w:val="1"/>
    <w:next w:val="27"/>
    <w:qFormat/>
    <w:uiPriority w:val="99"/>
    <w:rPr>
      <w:rFonts w:ascii="宋体" w:hAnsi="Courier New"/>
      <w:szCs w:val="20"/>
    </w:rPr>
  </w:style>
  <w:style w:type="paragraph" w:customStyle="1" w:styleId="21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12">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3">
    <w:name w:val="Char1"/>
    <w:basedOn w:val="1"/>
    <w:qFormat/>
    <w:uiPriority w:val="99"/>
    <w:pPr>
      <w:widowControl/>
      <w:spacing w:after="160" w:line="240" w:lineRule="exact"/>
      <w:jc w:val="left"/>
    </w:pPr>
    <w:rPr>
      <w:szCs w:val="21"/>
    </w:rPr>
  </w:style>
  <w:style w:type="paragraph" w:customStyle="1" w:styleId="214">
    <w:name w:val="_Style 37"/>
    <w:basedOn w:val="1"/>
    <w:next w:val="1"/>
    <w:qFormat/>
    <w:uiPriority w:val="99"/>
    <w:rPr>
      <w:szCs w:val="21"/>
    </w:rPr>
  </w:style>
  <w:style w:type="paragraph" w:customStyle="1" w:styleId="215">
    <w:name w:val="样式 标题 3 + (中文) 黑体 小四 非加粗 段前: 7.8 磅 段后: 0 磅 行距: 固定值 20 磅"/>
    <w:basedOn w:val="7"/>
    <w:qFormat/>
    <w:uiPriority w:val="99"/>
    <w:pPr>
      <w:spacing w:before="0" w:after="0" w:line="400" w:lineRule="exact"/>
    </w:pPr>
    <w:rPr>
      <w:rFonts w:eastAsia="黑体"/>
      <w:b w:val="0"/>
      <w:bCs w:val="0"/>
      <w:lang w:val="zh-CN"/>
    </w:rPr>
  </w:style>
  <w:style w:type="paragraph" w:styleId="21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正正正正"/>
    <w:basedOn w:val="21"/>
    <w:qFormat/>
    <w:uiPriority w:val="1"/>
    <w:pPr>
      <w:tabs>
        <w:tab w:val="left" w:pos="2812"/>
        <w:tab w:val="left" w:pos="3986"/>
      </w:tabs>
      <w:spacing w:after="0" w:line="360" w:lineRule="exact"/>
      <w:ind w:firstLine="200" w:firstLineChars="200"/>
    </w:pPr>
    <w:rPr>
      <w:rFonts w:ascii="Calibri" w:hAnsi="Calibri"/>
      <w:sz w:val="20"/>
      <w:szCs w:val="21"/>
      <w:lang w:val="en-US" w:eastAsia="en-US"/>
    </w:rPr>
  </w:style>
  <w:style w:type="paragraph" w:customStyle="1" w:styleId="218">
    <w:name w:val="_Style 1"/>
    <w:basedOn w:val="1"/>
    <w:qFormat/>
    <w:uiPriority w:val="99"/>
    <w:pPr>
      <w:ind w:firstLine="420" w:firstLineChars="200"/>
      <w:jc w:val="left"/>
    </w:pPr>
    <w:rPr>
      <w:rFonts w:ascii="Times New Roman)" w:hAnsi="Times New Roman)" w:eastAsia="宋体正文"/>
      <w:color w:val="000000"/>
      <w:kern w:val="0"/>
      <w:lang w:eastAsia="en-US" w:bidi="en-US"/>
    </w:rPr>
  </w:style>
  <w:style w:type="paragraph" w:customStyle="1" w:styleId="219">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146</Pages>
  <Words>5195</Words>
  <Characters>5828</Characters>
  <Lines>849</Lines>
  <Paragraphs>239</Paragraphs>
  <TotalTime>26</TotalTime>
  <ScaleCrop>false</ScaleCrop>
  <LinksUpToDate>false</LinksUpToDate>
  <CharactersWithSpaces>5927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2020-07-13T10:59:00Z</dcterms:created>
  <dc:creator>唐冰</dc:creator>
  <cp:lastModifiedBy>卢得瑟</cp:lastModifiedBy>
  <cp:lastPrinted>2024-07-09T17:07:00Z</cp:lastPrinted>
  <dcterms:modified xsi:type="dcterms:W3CDTF">2026-03-02T01:38:09Z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6ED193E95E1743CCB017E8AABABBEC31_13</vt:lpwstr>
  </property>
  <property fmtid="{D5CDD505-2E9C-101B-9397-08002B2CF9AE}" pid="4" name="KSOTemplateDocerSaveRecord">
    <vt:lpwstr>eyJoZGlkIjoiMTFjZDY5M2YwZjZlOGQ3YTU0ZDUxNjQ3ZTQ4ZTdiMmQiLCJ1c2VySWQiOiI1MTczODA0OTMifQ==</vt:lpwstr>
  </property>
</Properties>
</file>