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2DBE3">
      <w:pPr>
        <w:spacing w:line="360" w:lineRule="auto"/>
        <w:jc w:val="center"/>
        <w:rPr>
          <w:rFonts w:hint="eastAsia" w:ascii="宋体" w:hAnsi="宋体" w:cs="宋体"/>
          <w:color w:val="auto"/>
          <w:sz w:val="52"/>
          <w:szCs w:val="52"/>
          <w:highlight w:val="none"/>
        </w:rPr>
      </w:pPr>
      <w:r>
        <w:rPr>
          <w:rFonts w:hint="eastAsia" w:ascii="宋体" w:hAnsi="宋体"/>
          <w:color w:val="auto"/>
          <w:sz w:val="52"/>
          <w:szCs w:val="52"/>
          <w:highlight w:val="none"/>
        </w:rPr>
        <w:t>云之龙咨询集团有限公司</w:t>
      </w:r>
    </w:p>
    <w:p w14:paraId="6D91DC06">
      <w:pPr>
        <w:spacing w:line="360" w:lineRule="auto"/>
        <w:jc w:val="center"/>
        <w:rPr>
          <w:rFonts w:hint="eastAsia" w:ascii="宋体" w:hAnsi="宋体" w:cs="宋体"/>
          <w:b/>
          <w:color w:val="auto"/>
          <w:sz w:val="44"/>
          <w:szCs w:val="44"/>
          <w:highlight w:val="none"/>
        </w:rPr>
      </w:pPr>
    </w:p>
    <w:p w14:paraId="170A01B6">
      <w:pPr>
        <w:spacing w:line="360" w:lineRule="auto"/>
        <w:jc w:val="center"/>
        <w:rPr>
          <w:rFonts w:hint="eastAsia" w:ascii="宋体" w:hAnsi="宋体" w:cs="宋体"/>
          <w:b/>
          <w:color w:val="auto"/>
          <w:sz w:val="44"/>
          <w:szCs w:val="44"/>
          <w:highlight w:val="none"/>
        </w:rPr>
      </w:pPr>
    </w:p>
    <w:p w14:paraId="363EDCF3">
      <w:pPr>
        <w:spacing w:before="120" w:line="360" w:lineRule="auto"/>
        <w:jc w:val="center"/>
        <w:rPr>
          <w:rFonts w:hint="eastAsia" w:ascii="华文新魏" w:hAnsi="宋体" w:eastAsia="华文新魏"/>
          <w:color w:val="auto"/>
          <w:sz w:val="80"/>
          <w:szCs w:val="80"/>
          <w:highlight w:val="none"/>
        </w:rPr>
      </w:pPr>
      <w:r>
        <w:rPr>
          <w:rFonts w:hint="eastAsia" w:ascii="华文新魏" w:hAnsi="宋体" w:eastAsia="华文新魏"/>
          <w:color w:val="auto"/>
          <w:sz w:val="80"/>
          <w:szCs w:val="80"/>
          <w:highlight w:val="none"/>
        </w:rPr>
        <w:t>招 标 文 件</w:t>
      </w:r>
    </w:p>
    <w:p w14:paraId="557488B7">
      <w:pPr>
        <w:spacing w:before="120" w:line="360" w:lineRule="auto"/>
        <w:jc w:val="center"/>
        <w:rPr>
          <w:rFonts w:hint="eastAsia" w:ascii="仿宋_GB2312" w:hAnsi="宋体" w:eastAsia="仿宋_GB2312"/>
          <w:b/>
          <w:color w:val="auto"/>
          <w:sz w:val="48"/>
          <w:szCs w:val="48"/>
          <w:highlight w:val="none"/>
        </w:rPr>
      </w:pPr>
      <w:r>
        <w:rPr>
          <w:rFonts w:hint="eastAsia" w:ascii="仿宋_GB2312" w:hAnsi="宋体" w:eastAsia="仿宋_GB2312"/>
          <w:b/>
          <w:color w:val="auto"/>
          <w:sz w:val="48"/>
          <w:szCs w:val="48"/>
          <w:highlight w:val="none"/>
        </w:rPr>
        <w:t>（全流程电子化采购）</w:t>
      </w:r>
    </w:p>
    <w:p w14:paraId="36F800C9">
      <w:pPr>
        <w:spacing w:line="360" w:lineRule="auto"/>
        <w:rPr>
          <w:rFonts w:hint="eastAsia" w:ascii="仿宋_GB2312" w:hAnsi="宋体" w:eastAsia="仿宋_GB2312"/>
          <w:color w:val="auto"/>
          <w:sz w:val="30"/>
          <w:szCs w:val="72"/>
          <w:highlight w:val="none"/>
        </w:rPr>
      </w:pPr>
    </w:p>
    <w:p w14:paraId="720E7C58">
      <w:pPr>
        <w:spacing w:line="360" w:lineRule="auto"/>
        <w:rPr>
          <w:rFonts w:hint="eastAsia" w:ascii="仿宋_GB2312" w:hAnsi="宋体" w:eastAsia="仿宋_GB2312"/>
          <w:color w:val="auto"/>
          <w:sz w:val="30"/>
          <w:szCs w:val="72"/>
          <w:highlight w:val="none"/>
        </w:rPr>
      </w:pPr>
    </w:p>
    <w:p w14:paraId="04ABDA75">
      <w:pPr>
        <w:spacing w:line="360" w:lineRule="auto"/>
        <w:rPr>
          <w:rFonts w:hint="eastAsia" w:ascii="仿宋_GB2312" w:hAnsi="宋体" w:eastAsia="仿宋_GB2312"/>
          <w:color w:val="auto"/>
          <w:sz w:val="30"/>
          <w:szCs w:val="72"/>
          <w:highlight w:val="none"/>
        </w:rPr>
      </w:pPr>
    </w:p>
    <w:p w14:paraId="4AF9D4D0">
      <w:pPr>
        <w:spacing w:line="360" w:lineRule="auto"/>
        <w:rPr>
          <w:rFonts w:hint="eastAsia" w:ascii="仿宋_GB2312" w:hAnsi="宋体" w:eastAsia="仿宋_GB2312"/>
          <w:color w:val="auto"/>
          <w:sz w:val="30"/>
          <w:szCs w:val="72"/>
          <w:highlight w:val="none"/>
        </w:rPr>
      </w:pPr>
    </w:p>
    <w:p w14:paraId="39FBAF0E">
      <w:pPr>
        <w:spacing w:line="360" w:lineRule="auto"/>
        <w:rPr>
          <w:rFonts w:hint="eastAsia" w:ascii="仿宋_GB2312" w:hAnsi="宋体" w:eastAsia="仿宋_GB2312"/>
          <w:color w:val="auto"/>
          <w:sz w:val="30"/>
          <w:szCs w:val="72"/>
          <w:highlight w:val="none"/>
        </w:rPr>
      </w:pPr>
    </w:p>
    <w:p w14:paraId="48ECF4A7">
      <w:pPr>
        <w:pStyle w:val="231"/>
        <w:spacing w:line="360" w:lineRule="auto"/>
        <w:ind w:left="2702" w:hanging="1509"/>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sz w:val="30"/>
          <w:szCs w:val="30"/>
          <w:highlight w:val="none"/>
        </w:rPr>
        <w:t>名称</w:t>
      </w:r>
      <w:r>
        <w:rPr>
          <w:rFonts w:hint="eastAsia" w:ascii="仿宋_GB2312" w:hAnsi="宋体" w:eastAsia="仿宋_GB2312"/>
          <w:b/>
          <w:bCs/>
          <w:color w:val="auto"/>
          <w:sz w:val="30"/>
          <w:szCs w:val="30"/>
          <w:highlight w:val="none"/>
        </w:rPr>
        <w:t>：</w:t>
      </w:r>
      <w:r>
        <w:rPr>
          <w:rFonts w:hint="eastAsia" w:ascii="仿宋_GB2312" w:hAnsi="宋体" w:eastAsia="仿宋_GB2312"/>
          <w:b/>
          <w:bCs/>
          <w:color w:val="auto"/>
          <w:sz w:val="30"/>
          <w:szCs w:val="30"/>
          <w:highlight w:val="none"/>
          <w:lang w:eastAsia="zh-CN"/>
        </w:rPr>
        <w:t>2026-2028年市管市政设施维修养护服务采购项目</w:t>
      </w:r>
    </w:p>
    <w:p w14:paraId="00B0C95B">
      <w:pPr>
        <w:pStyle w:val="231"/>
        <w:spacing w:line="360" w:lineRule="auto"/>
        <w:ind w:firstLine="1133"/>
        <w:rPr>
          <w:rFonts w:hint="eastAsia" w:ascii="仿宋_GB2312" w:hAnsi="宋体" w:eastAsia="仿宋_GB2312"/>
          <w:color w:val="auto"/>
          <w:sz w:val="30"/>
          <w:szCs w:val="72"/>
          <w:highlight w:val="none"/>
          <w:lang w:eastAsia="zh-CN"/>
        </w:rPr>
      </w:pPr>
      <w:r>
        <w:rPr>
          <w:rFonts w:hint="eastAsia" w:ascii="仿宋_GB2312" w:hAnsi="宋体" w:eastAsia="仿宋_GB2312" w:cs="Courier New"/>
          <w:b/>
          <w:bCs/>
          <w:color w:val="auto"/>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sz w:val="30"/>
          <w:szCs w:val="30"/>
          <w:highlight w:val="none"/>
        </w:rPr>
        <w:t>：FCZC2026-G3-990040-YZLZ</w:t>
      </w:r>
    </w:p>
    <w:p w14:paraId="22E0038D">
      <w:pPr>
        <w:pStyle w:val="231"/>
        <w:spacing w:line="360" w:lineRule="auto"/>
        <w:ind w:firstLine="1125"/>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采 购 人：</w:t>
      </w:r>
      <w:r>
        <w:rPr>
          <w:rFonts w:hint="eastAsia" w:ascii="仿宋_GB2312" w:hAnsi="宋体" w:eastAsia="仿宋_GB2312"/>
          <w:b/>
          <w:bCs/>
          <w:color w:val="auto"/>
          <w:sz w:val="30"/>
          <w:szCs w:val="30"/>
          <w:highlight w:val="none"/>
          <w:lang w:eastAsia="zh-CN"/>
        </w:rPr>
        <w:t>防城港市住房和城乡建设局</w:t>
      </w:r>
    </w:p>
    <w:p w14:paraId="1773B742">
      <w:pPr>
        <w:pStyle w:val="231"/>
        <w:spacing w:line="360" w:lineRule="auto"/>
        <w:ind w:firstLine="1125"/>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采购代理机构：云之龙咨询集团有限公司</w:t>
      </w:r>
    </w:p>
    <w:p w14:paraId="44A3A9A4">
      <w:pPr>
        <w:pStyle w:val="231"/>
        <w:spacing w:line="360" w:lineRule="auto"/>
        <w:ind w:firstLine="841"/>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 xml:space="preserve">               </w:t>
      </w:r>
    </w:p>
    <w:p w14:paraId="59F0A84D">
      <w:pPr>
        <w:pStyle w:val="231"/>
        <w:spacing w:line="360" w:lineRule="auto"/>
        <w:ind w:firstLine="3414"/>
        <w:rPr>
          <w:rFonts w:hint="eastAsia" w:ascii="仿宋_GB2312" w:eastAsia="仿宋_GB2312"/>
          <w:color w:val="auto"/>
          <w:szCs w:val="20"/>
          <w:highlight w:val="none"/>
        </w:rPr>
      </w:pPr>
      <w:r>
        <w:rPr>
          <w:rFonts w:hint="eastAsia" w:ascii="仿宋_GB2312" w:hAnsi="宋体" w:eastAsia="仿宋_GB2312"/>
          <w:b/>
          <w:bCs/>
          <w:color w:val="auto"/>
          <w:sz w:val="30"/>
          <w:szCs w:val="30"/>
          <w:highlight w:val="none"/>
        </w:rPr>
        <w:t>202</w:t>
      </w:r>
      <w:r>
        <w:rPr>
          <w:rFonts w:hint="eastAsia" w:ascii="仿宋_GB2312" w:hAnsi="宋体" w:eastAsia="仿宋_GB2312"/>
          <w:b/>
          <w:bCs/>
          <w:color w:val="auto"/>
          <w:sz w:val="30"/>
          <w:szCs w:val="30"/>
          <w:highlight w:val="none"/>
          <w:lang w:val="en-US" w:eastAsia="zh-CN"/>
        </w:rPr>
        <w:t>6</w:t>
      </w:r>
      <w:r>
        <w:rPr>
          <w:rFonts w:hint="eastAsia" w:ascii="仿宋_GB2312" w:hAnsi="宋体" w:eastAsia="仿宋_GB2312"/>
          <w:b/>
          <w:bCs/>
          <w:color w:val="auto"/>
          <w:sz w:val="30"/>
          <w:szCs w:val="30"/>
          <w:highlight w:val="none"/>
        </w:rPr>
        <w:t>年</w:t>
      </w:r>
      <w:r>
        <w:rPr>
          <w:rFonts w:hint="eastAsia" w:ascii="仿宋_GB2312" w:hAnsi="宋体" w:eastAsia="仿宋_GB2312"/>
          <w:b/>
          <w:bCs/>
          <w:color w:val="auto"/>
          <w:sz w:val="30"/>
          <w:szCs w:val="30"/>
          <w:highlight w:val="none"/>
          <w:lang w:val="en-US" w:eastAsia="zh-CN"/>
        </w:rPr>
        <w:t>4</w:t>
      </w:r>
      <w:r>
        <w:rPr>
          <w:rFonts w:hint="eastAsia" w:ascii="仿宋_GB2312" w:hAnsi="宋体" w:eastAsia="仿宋_GB2312"/>
          <w:b/>
          <w:bCs/>
          <w:color w:val="auto"/>
          <w:sz w:val="30"/>
          <w:szCs w:val="30"/>
          <w:highlight w:val="none"/>
        </w:rPr>
        <w:t>月</w:t>
      </w:r>
      <w:r>
        <w:rPr>
          <w:rFonts w:hint="eastAsia" w:ascii="仿宋_GB2312" w:eastAsia="仿宋_GB2312"/>
          <w:color w:val="auto"/>
          <w:highlight w:val="none"/>
        </w:rPr>
        <w:t xml:space="preserve"> </w:t>
      </w:r>
    </w:p>
    <w:p w14:paraId="002AF98B">
      <w:pPr>
        <w:pStyle w:val="231"/>
        <w:spacing w:before="120" w:after="120" w:line="360" w:lineRule="auto"/>
        <w:jc w:val="center"/>
        <w:rPr>
          <w:rFonts w:hint="eastAsia" w:ascii="仿宋_GB2312" w:hAnsi="宋体" w:eastAsia="仿宋_GB2312"/>
          <w:color w:val="auto"/>
          <w:highlight w:val="none"/>
        </w:rPr>
        <w:sectPr>
          <w:pgSz w:w="11910" w:h="16840"/>
          <w:pgMar w:top="1340" w:right="1500" w:bottom="280" w:left="1680" w:header="720" w:footer="720" w:gutter="0"/>
          <w:pgBorders>
            <w:top w:val="none" w:sz="0" w:space="0"/>
            <w:left w:val="none" w:sz="0" w:space="0"/>
            <w:bottom w:val="none" w:sz="0" w:space="0"/>
            <w:right w:val="none" w:sz="0" w:space="0"/>
          </w:pgBorders>
          <w:cols w:space="1701" w:num="1"/>
        </w:sectPr>
      </w:pPr>
    </w:p>
    <w:p w14:paraId="6C68707D">
      <w:pPr>
        <w:pStyle w:val="231"/>
        <w:spacing w:before="120" w:after="120" w:line="360" w:lineRule="auto"/>
        <w:jc w:val="center"/>
        <w:rPr>
          <w:rFonts w:hint="eastAsia" w:ascii="仿宋_GB2312" w:hAnsi="宋体" w:eastAsia="仿宋_GB2312"/>
          <w:color w:val="auto"/>
          <w:highlight w:val="none"/>
        </w:rPr>
      </w:pPr>
    </w:p>
    <w:p w14:paraId="7B1E076C">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5838777E">
      <w:pPr>
        <w:spacing w:line="400" w:lineRule="exact"/>
        <w:jc w:val="center"/>
        <w:rPr>
          <w:rFonts w:hint="eastAsia" w:ascii="宋体" w:hAnsi="宋体"/>
          <w:b/>
          <w:color w:val="auto"/>
          <w:sz w:val="44"/>
          <w:szCs w:val="44"/>
          <w:highlight w:val="none"/>
        </w:rPr>
      </w:pPr>
    </w:p>
    <w:p w14:paraId="24FE690A">
      <w:pPr>
        <w:pStyle w:val="246"/>
        <w:tabs>
          <w:tab w:val="right" w:leader="dot" w:pos="8730"/>
        </w:tabs>
        <w:rPr>
          <w:color w:val="auto"/>
          <w:highlight w:val="none"/>
        </w:rPr>
      </w:pPr>
      <w:r>
        <w:rPr>
          <w:rFonts w:ascii="仿宋_GB2312" w:eastAsia="仿宋_GB2312"/>
          <w:b w:val="0"/>
          <w:color w:val="auto"/>
          <w:highlight w:val="none"/>
        </w:rPr>
        <w:fldChar w:fldCharType="begin"/>
      </w:r>
      <w:r>
        <w:rPr>
          <w:rFonts w:ascii="仿宋_GB2312" w:eastAsia="仿宋_GB2312"/>
          <w:b w:val="0"/>
          <w:color w:val="auto"/>
          <w:highlight w:val="none"/>
        </w:rPr>
        <w:instrText xml:space="preserve"> </w:instrText>
      </w:r>
      <w:r>
        <w:rPr>
          <w:rFonts w:hint="eastAsia" w:ascii="仿宋_GB2312" w:eastAsia="仿宋_GB2312"/>
          <w:b w:val="0"/>
          <w:color w:val="auto"/>
          <w:highlight w:val="none"/>
        </w:rPr>
        <w:instrText xml:space="preserve">TOC \o "1-2" \h \z \u</w:instrText>
      </w:r>
      <w:r>
        <w:rPr>
          <w:rFonts w:ascii="仿宋_GB2312" w:eastAsia="仿宋_GB2312"/>
          <w:b w:val="0"/>
          <w:color w:val="auto"/>
          <w:highlight w:val="none"/>
        </w:rPr>
        <w:instrText xml:space="preserve"> </w:instrText>
      </w:r>
      <w:r>
        <w:rPr>
          <w:rFonts w:ascii="仿宋_GB2312" w:eastAsia="仿宋_GB2312"/>
          <w:b w:val="0"/>
          <w:color w:val="auto"/>
          <w:highlight w:val="none"/>
        </w:rPr>
        <w:fldChar w:fldCharType="separate"/>
      </w:r>
      <w:r>
        <w:rPr>
          <w:rFonts w:ascii="仿宋_GB2312" w:eastAsia="仿宋_GB2312"/>
          <w:color w:val="auto"/>
          <w:highlight w:val="none"/>
        </w:rPr>
        <w:fldChar w:fldCharType="begin"/>
      </w:r>
      <w:r>
        <w:rPr>
          <w:rFonts w:ascii="仿宋_GB2312" w:eastAsia="仿宋_GB2312"/>
          <w:color w:val="auto"/>
          <w:highlight w:val="none"/>
        </w:rPr>
        <w:instrText xml:space="preserve"> HYPERLINK \l _Toc26956 </w:instrText>
      </w:r>
      <w:r>
        <w:rPr>
          <w:rFonts w:ascii="仿宋_GB2312" w:eastAsia="仿宋_GB2312"/>
          <w:color w:val="auto"/>
          <w:highlight w:val="none"/>
        </w:rPr>
        <w:fldChar w:fldCharType="separate"/>
      </w:r>
      <w:r>
        <w:rPr>
          <w:rFonts w:hint="eastAsia"/>
          <w:color w:val="auto"/>
          <w:highlight w:val="none"/>
        </w:rPr>
        <w:t xml:space="preserve">第一章 </w:t>
      </w:r>
      <w:r>
        <w:rPr>
          <w:rFonts w:hint="eastAsia"/>
          <w:color w:val="auto"/>
          <w:highlight w:val="none"/>
          <w:lang w:val="en-US" w:eastAsia="zh-CN"/>
        </w:rPr>
        <w:t xml:space="preserve"> </w:t>
      </w:r>
      <w:r>
        <w:rPr>
          <w:rFonts w:hint="eastAsia"/>
          <w:color w:val="auto"/>
          <w:highlight w:val="none"/>
        </w:rPr>
        <w:t>招标公告</w:t>
      </w:r>
      <w:r>
        <w:rPr>
          <w:color w:val="auto"/>
          <w:highlight w:val="none"/>
        </w:rPr>
        <w:tab/>
      </w:r>
      <w:r>
        <w:rPr>
          <w:rFonts w:hint="eastAsia"/>
          <w:color w:val="auto"/>
          <w:highlight w:val="none"/>
          <w:lang w:val="en-US" w:eastAsia="zh-CN"/>
        </w:rPr>
        <w:t>2</w:t>
      </w:r>
      <w:r>
        <w:rPr>
          <w:rFonts w:ascii="仿宋_GB2312" w:eastAsia="仿宋_GB2312"/>
          <w:color w:val="auto"/>
          <w:highlight w:val="none"/>
        </w:rPr>
        <w:fldChar w:fldCharType="end"/>
      </w:r>
    </w:p>
    <w:p w14:paraId="0B89FE25">
      <w:pPr>
        <w:pStyle w:val="246"/>
        <w:tabs>
          <w:tab w:val="right" w:leader="dot" w:pos="8730"/>
        </w:tabs>
        <w:rPr>
          <w:color w:val="auto"/>
          <w:highlight w:val="none"/>
        </w:rPr>
      </w:pPr>
      <w:r>
        <w:rPr>
          <w:rFonts w:ascii="仿宋_GB2312" w:eastAsia="仿宋_GB2312"/>
          <w:color w:val="auto"/>
          <w:highlight w:val="none"/>
        </w:rPr>
        <w:fldChar w:fldCharType="begin"/>
      </w:r>
      <w:r>
        <w:rPr>
          <w:rFonts w:ascii="仿宋_GB2312" w:eastAsia="仿宋_GB2312"/>
          <w:color w:val="auto"/>
          <w:highlight w:val="none"/>
        </w:rPr>
        <w:instrText xml:space="preserve"> HYPERLINK \l _Toc27979 </w:instrText>
      </w:r>
      <w:r>
        <w:rPr>
          <w:rFonts w:ascii="仿宋_GB2312" w:eastAsia="仿宋_GB2312"/>
          <w:color w:val="auto"/>
          <w:highlight w:val="none"/>
        </w:rPr>
        <w:fldChar w:fldCharType="separate"/>
      </w:r>
      <w:r>
        <w:rPr>
          <w:rFonts w:hint="eastAsia"/>
          <w:color w:val="auto"/>
          <w:highlight w:val="none"/>
        </w:rPr>
        <w:t>第二章  采购需求</w:t>
      </w:r>
      <w:r>
        <w:rPr>
          <w:color w:val="auto"/>
          <w:highlight w:val="none"/>
        </w:rPr>
        <w:tab/>
      </w:r>
      <w:r>
        <w:rPr>
          <w:rFonts w:hint="eastAsia"/>
          <w:color w:val="auto"/>
          <w:highlight w:val="none"/>
          <w:lang w:val="en-US" w:eastAsia="zh-CN"/>
        </w:rPr>
        <w:t>5</w:t>
      </w:r>
      <w:r>
        <w:rPr>
          <w:rFonts w:ascii="仿宋_GB2312" w:eastAsia="仿宋_GB2312"/>
          <w:color w:val="auto"/>
          <w:highlight w:val="none"/>
        </w:rPr>
        <w:fldChar w:fldCharType="end"/>
      </w:r>
    </w:p>
    <w:p w14:paraId="52EAFBAA">
      <w:pPr>
        <w:pStyle w:val="246"/>
        <w:tabs>
          <w:tab w:val="right" w:leader="dot" w:pos="8730"/>
        </w:tabs>
        <w:rPr>
          <w:rFonts w:hint="default" w:eastAsia="仿宋_GB2312"/>
          <w:color w:val="auto"/>
          <w:highlight w:val="none"/>
          <w:lang w:val="en-US" w:eastAsia="zh-CN"/>
        </w:rPr>
      </w:pPr>
      <w:r>
        <w:rPr>
          <w:rFonts w:ascii="仿宋_GB2312" w:eastAsia="仿宋_GB2312"/>
          <w:color w:val="auto"/>
          <w:highlight w:val="none"/>
        </w:rPr>
        <w:fldChar w:fldCharType="begin"/>
      </w:r>
      <w:r>
        <w:rPr>
          <w:rFonts w:ascii="仿宋_GB2312" w:eastAsia="仿宋_GB2312"/>
          <w:color w:val="auto"/>
          <w:highlight w:val="none"/>
        </w:rPr>
        <w:instrText xml:space="preserve"> HYPERLINK \l _Toc25688 </w:instrText>
      </w:r>
      <w:r>
        <w:rPr>
          <w:rFonts w:ascii="仿宋_GB2312" w:eastAsia="仿宋_GB2312"/>
          <w:color w:val="auto"/>
          <w:highlight w:val="none"/>
        </w:rPr>
        <w:fldChar w:fldCharType="separate"/>
      </w:r>
      <w:r>
        <w:rPr>
          <w:rFonts w:hint="eastAsia"/>
          <w:color w:val="auto"/>
          <w:highlight w:val="none"/>
        </w:rPr>
        <w:t xml:space="preserve">第三章  </w:t>
      </w:r>
      <w:r>
        <w:rPr>
          <w:rFonts w:hint="eastAsia"/>
          <w:color w:val="auto"/>
          <w:highlight w:val="none"/>
          <w:lang w:eastAsia="zh-CN"/>
        </w:rPr>
        <w:t>投标人</w:t>
      </w:r>
      <w:r>
        <w:rPr>
          <w:rFonts w:hint="eastAsia"/>
          <w:color w:val="auto"/>
          <w:highlight w:val="none"/>
        </w:rPr>
        <w:t>须知</w:t>
      </w:r>
      <w:r>
        <w:rPr>
          <w:color w:val="auto"/>
          <w:highlight w:val="none"/>
        </w:rPr>
        <w:tab/>
      </w:r>
      <w:r>
        <w:rPr>
          <w:rFonts w:ascii="仿宋_GB2312" w:eastAsia="仿宋_GB2312"/>
          <w:color w:val="auto"/>
          <w:highlight w:val="none"/>
        </w:rPr>
        <w:fldChar w:fldCharType="end"/>
      </w:r>
      <w:r>
        <w:rPr>
          <w:rFonts w:hint="eastAsia" w:ascii="仿宋_GB2312" w:eastAsia="仿宋_GB2312"/>
          <w:color w:val="auto"/>
          <w:highlight w:val="none"/>
          <w:lang w:val="en-US" w:eastAsia="zh-CN"/>
        </w:rPr>
        <w:t>34</w:t>
      </w:r>
    </w:p>
    <w:p w14:paraId="53E037E6">
      <w:pPr>
        <w:pStyle w:val="246"/>
        <w:tabs>
          <w:tab w:val="right" w:leader="dot" w:pos="8730"/>
        </w:tabs>
        <w:rPr>
          <w:rFonts w:hint="eastAsia" w:eastAsia="仿宋_GB2312"/>
          <w:color w:val="auto"/>
          <w:highlight w:val="none"/>
          <w:lang w:val="en-US" w:eastAsia="zh-CN"/>
        </w:rPr>
      </w:pPr>
      <w:r>
        <w:rPr>
          <w:rFonts w:ascii="仿宋_GB2312" w:eastAsia="仿宋_GB2312"/>
          <w:color w:val="auto"/>
          <w:highlight w:val="none"/>
        </w:rPr>
        <w:fldChar w:fldCharType="begin"/>
      </w:r>
      <w:r>
        <w:rPr>
          <w:rFonts w:ascii="仿宋_GB2312" w:eastAsia="仿宋_GB2312"/>
          <w:color w:val="auto"/>
          <w:highlight w:val="none"/>
        </w:rPr>
        <w:instrText xml:space="preserve"> HYPERLINK \l _Toc15687 </w:instrText>
      </w:r>
      <w:r>
        <w:rPr>
          <w:rFonts w:ascii="仿宋_GB2312" w:eastAsia="仿宋_GB2312"/>
          <w:color w:val="auto"/>
          <w:highlight w:val="none"/>
        </w:rPr>
        <w:fldChar w:fldCharType="separate"/>
      </w:r>
      <w:r>
        <w:rPr>
          <w:rFonts w:hint="eastAsia"/>
          <w:color w:val="auto"/>
          <w:highlight w:val="none"/>
        </w:rPr>
        <w:t>第四章  评标方法及评标标准</w:t>
      </w:r>
      <w:r>
        <w:rPr>
          <w:color w:val="auto"/>
          <w:highlight w:val="none"/>
        </w:rPr>
        <w:tab/>
      </w:r>
      <w:r>
        <w:rPr>
          <w:rFonts w:hint="eastAsia"/>
          <w:color w:val="auto"/>
          <w:highlight w:val="none"/>
          <w:lang w:val="en-US" w:eastAsia="zh-CN"/>
        </w:rPr>
        <w:t>5</w:t>
      </w:r>
      <w:r>
        <w:rPr>
          <w:rFonts w:ascii="仿宋_GB2312" w:eastAsia="仿宋_GB2312"/>
          <w:color w:val="auto"/>
          <w:highlight w:val="none"/>
        </w:rPr>
        <w:fldChar w:fldCharType="end"/>
      </w:r>
      <w:r>
        <w:rPr>
          <w:rFonts w:hint="eastAsia" w:ascii="仿宋_GB2312" w:eastAsia="仿宋_GB2312"/>
          <w:color w:val="auto"/>
          <w:highlight w:val="none"/>
          <w:lang w:val="en-US" w:eastAsia="zh-CN"/>
        </w:rPr>
        <w:t>3</w:t>
      </w:r>
    </w:p>
    <w:p w14:paraId="3E137827">
      <w:pPr>
        <w:pStyle w:val="246"/>
        <w:tabs>
          <w:tab w:val="right" w:leader="dot" w:pos="8730"/>
        </w:tabs>
        <w:rPr>
          <w:rFonts w:hint="eastAsia" w:eastAsia="仿宋_GB2312"/>
          <w:color w:val="auto"/>
          <w:highlight w:val="none"/>
          <w:lang w:val="en-US" w:eastAsia="zh-CN"/>
        </w:rPr>
      </w:pPr>
      <w:r>
        <w:rPr>
          <w:rFonts w:ascii="仿宋_GB2312" w:eastAsia="仿宋_GB2312"/>
          <w:color w:val="auto"/>
          <w:highlight w:val="none"/>
        </w:rPr>
        <w:fldChar w:fldCharType="begin"/>
      </w:r>
      <w:r>
        <w:rPr>
          <w:rFonts w:ascii="仿宋_GB2312" w:eastAsia="仿宋_GB2312"/>
          <w:color w:val="auto"/>
          <w:highlight w:val="none"/>
        </w:rPr>
        <w:instrText xml:space="preserve"> HYPERLINK \l _Toc25250 </w:instrText>
      </w:r>
      <w:r>
        <w:rPr>
          <w:rFonts w:ascii="仿宋_GB2312" w:eastAsia="仿宋_GB2312"/>
          <w:color w:val="auto"/>
          <w:highlight w:val="none"/>
        </w:rPr>
        <w:fldChar w:fldCharType="separate"/>
      </w:r>
      <w:r>
        <w:rPr>
          <w:rFonts w:hint="eastAsia"/>
          <w:color w:val="auto"/>
          <w:highlight w:val="none"/>
        </w:rPr>
        <w:t>第五章  拟签订的合同文本</w:t>
      </w:r>
      <w:r>
        <w:rPr>
          <w:color w:val="auto"/>
          <w:highlight w:val="none"/>
        </w:rPr>
        <w:tab/>
      </w:r>
      <w:r>
        <w:rPr>
          <w:rFonts w:hint="eastAsia"/>
          <w:color w:val="auto"/>
          <w:highlight w:val="none"/>
          <w:lang w:val="en-US" w:eastAsia="zh-CN"/>
        </w:rPr>
        <w:t>6</w:t>
      </w:r>
      <w:r>
        <w:rPr>
          <w:rFonts w:ascii="仿宋_GB2312" w:eastAsia="仿宋_GB2312"/>
          <w:color w:val="auto"/>
          <w:highlight w:val="none"/>
        </w:rPr>
        <w:fldChar w:fldCharType="end"/>
      </w:r>
      <w:r>
        <w:rPr>
          <w:rFonts w:hint="eastAsia" w:ascii="仿宋_GB2312" w:eastAsia="仿宋_GB2312"/>
          <w:color w:val="auto"/>
          <w:highlight w:val="none"/>
          <w:lang w:val="en-US" w:eastAsia="zh-CN"/>
        </w:rPr>
        <w:t>0</w:t>
      </w:r>
    </w:p>
    <w:p w14:paraId="4A9F05D6">
      <w:pPr>
        <w:pStyle w:val="246"/>
        <w:tabs>
          <w:tab w:val="right" w:leader="dot" w:pos="8730"/>
        </w:tabs>
        <w:rPr>
          <w:rFonts w:hint="default" w:eastAsia="仿宋_GB2312"/>
          <w:color w:val="auto"/>
          <w:highlight w:val="none"/>
          <w:lang w:val="en-US" w:eastAsia="zh-CN"/>
        </w:rPr>
      </w:pPr>
      <w:r>
        <w:rPr>
          <w:rFonts w:ascii="仿宋_GB2312" w:eastAsia="仿宋_GB2312"/>
          <w:color w:val="auto"/>
          <w:highlight w:val="none"/>
        </w:rPr>
        <w:fldChar w:fldCharType="begin"/>
      </w:r>
      <w:r>
        <w:rPr>
          <w:rFonts w:ascii="仿宋_GB2312" w:eastAsia="仿宋_GB2312"/>
          <w:color w:val="auto"/>
          <w:highlight w:val="none"/>
        </w:rPr>
        <w:instrText xml:space="preserve"> HYPERLINK \l _Toc25289 </w:instrText>
      </w:r>
      <w:r>
        <w:rPr>
          <w:rFonts w:ascii="仿宋_GB2312" w:eastAsia="仿宋_GB2312"/>
          <w:color w:val="auto"/>
          <w:highlight w:val="none"/>
        </w:rPr>
        <w:fldChar w:fldCharType="separate"/>
      </w:r>
      <w:r>
        <w:rPr>
          <w:rFonts w:hint="eastAsia"/>
          <w:color w:val="auto"/>
          <w:highlight w:val="none"/>
        </w:rPr>
        <w:t>第六章　投标文件格式</w:t>
      </w:r>
      <w:r>
        <w:rPr>
          <w:color w:val="auto"/>
          <w:highlight w:val="none"/>
        </w:rPr>
        <w:tab/>
      </w:r>
      <w:r>
        <w:rPr>
          <w:rFonts w:ascii="仿宋_GB2312" w:eastAsia="仿宋_GB2312"/>
          <w:color w:val="auto"/>
          <w:highlight w:val="none"/>
        </w:rPr>
        <w:fldChar w:fldCharType="end"/>
      </w:r>
      <w:r>
        <w:rPr>
          <w:rFonts w:hint="eastAsia" w:ascii="仿宋_GB2312" w:eastAsia="仿宋_GB2312"/>
          <w:color w:val="auto"/>
          <w:highlight w:val="none"/>
          <w:lang w:val="en-US" w:eastAsia="zh-CN"/>
        </w:rPr>
        <w:t>84</w:t>
      </w:r>
    </w:p>
    <w:p w14:paraId="262BBA49">
      <w:pPr>
        <w:tabs>
          <w:tab w:val="right" w:leader="dot" w:pos="8789"/>
        </w:tabs>
        <w:spacing w:line="500" w:lineRule="atLeast"/>
        <w:rPr>
          <w:rFonts w:hint="eastAsia" w:ascii="仿宋_GB2312" w:hAnsi="宋体" w:eastAsia="仿宋_GB2312"/>
          <w:color w:val="auto"/>
          <w:sz w:val="24"/>
          <w:highlight w:val="none"/>
        </w:rPr>
      </w:pPr>
      <w:r>
        <w:rPr>
          <w:rFonts w:ascii="仿宋_GB2312" w:hAnsi="宋体" w:eastAsia="仿宋_GB2312"/>
          <w:color w:val="auto"/>
          <w:highlight w:val="none"/>
        </w:rPr>
        <w:fldChar w:fldCharType="end"/>
      </w:r>
    </w:p>
    <w:p w14:paraId="737F2D10">
      <w:pPr>
        <w:spacing w:before="120" w:line="480" w:lineRule="exact"/>
        <w:rPr>
          <w:rFonts w:hint="eastAsia" w:ascii="仿宋_GB2312" w:hAnsi="宋体" w:eastAsia="仿宋_GB2312"/>
          <w:color w:val="auto"/>
          <w:sz w:val="30"/>
          <w:highlight w:val="none"/>
        </w:rPr>
      </w:pPr>
    </w:p>
    <w:p w14:paraId="6EF8DA9E">
      <w:pPr>
        <w:rPr>
          <w:rFonts w:hint="eastAsia"/>
          <w:color w:val="auto"/>
          <w:highlight w:val="none"/>
        </w:rPr>
      </w:pPr>
    </w:p>
    <w:p w14:paraId="0391FF81">
      <w:pPr>
        <w:spacing w:before="120" w:line="480" w:lineRule="exact"/>
        <w:rPr>
          <w:rFonts w:hint="eastAsia" w:ascii="仿宋_GB2312" w:hAnsi="宋体" w:eastAsia="仿宋_GB2312"/>
          <w:color w:val="auto"/>
          <w:sz w:val="30"/>
          <w:highlight w:val="none"/>
        </w:rPr>
      </w:pPr>
    </w:p>
    <w:p w14:paraId="458BBCA5">
      <w:pPr>
        <w:spacing w:before="120" w:line="480" w:lineRule="exact"/>
        <w:rPr>
          <w:rFonts w:hint="eastAsia" w:ascii="仿宋_GB2312" w:hAnsi="宋体" w:eastAsia="仿宋_GB2312"/>
          <w:color w:val="auto"/>
          <w:sz w:val="30"/>
          <w:highlight w:val="none"/>
        </w:rPr>
      </w:pPr>
    </w:p>
    <w:p w14:paraId="4B457F6D">
      <w:pPr>
        <w:pStyle w:val="218"/>
        <w:rPr>
          <w:rFonts w:hint="eastAsia" w:ascii="宋体" w:hAnsi="宋体" w:cs="宋体"/>
          <w:b/>
          <w:bCs/>
          <w:color w:val="auto"/>
          <w:highlight w:val="none"/>
        </w:rPr>
      </w:pPr>
      <w:bookmarkStart w:id="0" w:name="_Toc254970630"/>
      <w:bookmarkStart w:id="1" w:name="_Toc254970489"/>
    </w:p>
    <w:p w14:paraId="60688CBE">
      <w:pPr>
        <w:pStyle w:val="194"/>
        <w:keepNext w:val="0"/>
        <w:keepLines w:val="0"/>
        <w:tabs>
          <w:tab w:val="left" w:pos="0"/>
          <w:tab w:val="left" w:pos="3165"/>
          <w:tab w:val="center" w:pos="4153"/>
        </w:tabs>
        <w:spacing w:before="0" w:after="0" w:line="360" w:lineRule="auto"/>
        <w:jc w:val="center"/>
        <w:rPr>
          <w:color w:val="auto"/>
          <w:highlight w:val="none"/>
        </w:rPr>
      </w:pPr>
      <w:r>
        <w:rPr>
          <w:rFonts w:ascii="宋体" w:hAnsi="宋体" w:cs="宋体"/>
          <w:b w:val="0"/>
          <w:bCs w:val="0"/>
          <w:color w:val="auto"/>
          <w:highlight w:val="none"/>
        </w:rPr>
        <w:br w:type="page" w:clear="all"/>
      </w:r>
      <w:bookmarkStart w:id="2" w:name="_Toc26956"/>
      <w:r>
        <w:rPr>
          <w:rFonts w:hint="eastAsia"/>
          <w:color w:val="auto"/>
          <w:highlight w:val="none"/>
        </w:rPr>
        <w:t>第一章</w:t>
      </w:r>
      <w:bookmarkEnd w:id="0"/>
      <w:bookmarkEnd w:id="1"/>
      <w:bookmarkStart w:id="3" w:name="_Toc35393789"/>
      <w:bookmarkStart w:id="4" w:name="_Toc28359001"/>
      <w:r>
        <w:rPr>
          <w:rFonts w:hint="eastAsia"/>
          <w:color w:val="auto"/>
          <w:highlight w:val="none"/>
        </w:rPr>
        <w:t xml:space="preserve"> 招标公告</w:t>
      </w:r>
      <w:bookmarkEnd w:id="2"/>
      <w:bookmarkEnd w:id="3"/>
      <w:bookmarkEnd w:id="4"/>
    </w:p>
    <w:p w14:paraId="16878250">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lang w:eastAsia="zh-CN"/>
        </w:rPr>
        <w:t>防城港市住房和城乡建设局2026-2028年市管市政设施维修养护服务采购项目</w:t>
      </w:r>
      <w:r>
        <w:rPr>
          <w:rFonts w:hint="eastAsia" w:ascii="宋体" w:hAnsi="宋体"/>
          <w:b/>
          <w:color w:val="auto"/>
          <w:sz w:val="32"/>
          <w:szCs w:val="32"/>
          <w:highlight w:val="none"/>
        </w:rPr>
        <w:t>招标公告（远程异地评标）</w:t>
      </w:r>
    </w:p>
    <w:p w14:paraId="029CE1D0">
      <w:pPr>
        <w:pBdr>
          <w:top w:val="single" w:color="000000" w:sz="4" w:space="1"/>
          <w:left w:val="single" w:color="000000" w:sz="4" w:space="4"/>
          <w:bottom w:val="single" w:color="000000" w:sz="4" w:space="1"/>
          <w:right w:val="single" w:color="000000" w:sz="4" w:space="4"/>
        </w:pBdr>
        <w:spacing w:line="360" w:lineRule="auto"/>
        <w:ind w:firstLine="420"/>
        <w:rPr>
          <w:rFonts w:ascii="宋体" w:hAnsi="宋体"/>
          <w:color w:val="auto"/>
          <w:szCs w:val="21"/>
          <w:highlight w:val="none"/>
        </w:rPr>
      </w:pPr>
      <w:r>
        <w:rPr>
          <w:rFonts w:hint="eastAsia" w:ascii="宋体" w:hAnsi="宋体"/>
          <w:color w:val="auto"/>
          <w:szCs w:val="21"/>
          <w:highlight w:val="none"/>
        </w:rPr>
        <w:t>项目概况</w:t>
      </w:r>
    </w:p>
    <w:p w14:paraId="420A0E29">
      <w:pPr>
        <w:pBdr>
          <w:top w:val="single" w:color="000000" w:sz="4" w:space="1"/>
          <w:left w:val="single" w:color="000000" w:sz="4" w:space="4"/>
          <w:bottom w:val="single" w:color="000000" w:sz="4" w:space="1"/>
          <w:right w:val="single" w:color="000000" w:sz="4" w:space="4"/>
        </w:pBdr>
        <w:spacing w:line="360" w:lineRule="auto"/>
        <w:ind w:firstLine="420"/>
        <w:rPr>
          <w:rFonts w:ascii="宋体" w:hAnsi="宋体"/>
          <w:color w:val="auto"/>
          <w:szCs w:val="21"/>
          <w:highlight w:val="none"/>
        </w:rPr>
      </w:pPr>
      <w:r>
        <w:rPr>
          <w:rFonts w:hint="eastAsia" w:ascii="宋体" w:hAnsi="宋体"/>
          <w:color w:val="auto"/>
          <w:szCs w:val="21"/>
          <w:highlight w:val="none"/>
          <w:lang w:eastAsia="zh-CN"/>
        </w:rPr>
        <w:t>2026-2028年市管市政设施维修养护服务采购项目</w:t>
      </w:r>
      <w:r>
        <w:rPr>
          <w:rFonts w:hint="eastAsia" w:ascii="宋体" w:hAnsi="宋体"/>
          <w:color w:val="auto"/>
          <w:szCs w:val="21"/>
          <w:highlight w:val="none"/>
        </w:rPr>
        <w:t>的潜在投标人应在</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）获取（下载）招标文件，并于202</w:t>
      </w:r>
      <w:r>
        <w:rPr>
          <w:rFonts w:hint="eastAsia" w:ascii="宋体" w:hAnsi="宋体"/>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5</w:t>
      </w:r>
      <w:r>
        <w:rPr>
          <w:rFonts w:hint="eastAsia" w:ascii="宋体" w:hAnsi="宋体"/>
          <w:bCs/>
          <w:color w:val="auto"/>
          <w:szCs w:val="21"/>
          <w:highlight w:val="none"/>
        </w:rPr>
        <w:t>月</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日9时30分（北京时间）前按要求递交（上传）投标</w:t>
      </w:r>
      <w:r>
        <w:rPr>
          <w:rFonts w:ascii="宋体" w:hAnsi="宋体"/>
          <w:bCs/>
          <w:color w:val="auto"/>
          <w:szCs w:val="21"/>
          <w:highlight w:val="none"/>
        </w:rPr>
        <w:t>文件</w:t>
      </w:r>
      <w:r>
        <w:rPr>
          <w:rFonts w:hint="eastAsia" w:ascii="宋体" w:hAnsi="宋体"/>
          <w:color w:val="auto"/>
          <w:szCs w:val="21"/>
          <w:highlight w:val="none"/>
        </w:rPr>
        <w:t>。</w:t>
      </w:r>
    </w:p>
    <w:p w14:paraId="08D56029">
      <w:pPr>
        <w:spacing w:line="360" w:lineRule="exact"/>
        <w:rPr>
          <w:rFonts w:ascii="宋体" w:hAnsi="宋体"/>
          <w:color w:val="auto"/>
          <w:szCs w:val="21"/>
          <w:highlight w:val="none"/>
        </w:rPr>
      </w:pPr>
    </w:p>
    <w:p w14:paraId="6667C4BD">
      <w:pPr>
        <w:spacing w:line="360" w:lineRule="exact"/>
        <w:rPr>
          <w:rFonts w:ascii="黑体" w:hAnsi="黑体" w:eastAsia="黑体"/>
          <w:b/>
          <w:bCs/>
          <w:color w:val="auto"/>
          <w:sz w:val="24"/>
          <w:highlight w:val="none"/>
        </w:rPr>
      </w:pPr>
      <w:bookmarkStart w:id="5" w:name="_Toc28359002"/>
      <w:bookmarkStart w:id="6" w:name="_Toc28359079"/>
      <w:bookmarkStart w:id="7" w:name="_Toc35393621"/>
      <w:bookmarkStart w:id="8" w:name="_Toc35393790"/>
      <w:bookmarkStart w:id="9" w:name="_Hlk24379207"/>
      <w:r>
        <w:rPr>
          <w:rFonts w:hint="eastAsia" w:ascii="黑体" w:hAnsi="黑体" w:eastAsia="黑体"/>
          <w:b/>
          <w:bCs/>
          <w:color w:val="auto"/>
          <w:sz w:val="24"/>
          <w:highlight w:val="none"/>
        </w:rPr>
        <w:t>一、项目基本情况</w:t>
      </w:r>
      <w:bookmarkEnd w:id="5"/>
      <w:bookmarkEnd w:id="6"/>
      <w:bookmarkEnd w:id="7"/>
      <w:bookmarkEnd w:id="8"/>
    </w:p>
    <w:bookmarkEnd w:id="9"/>
    <w:p w14:paraId="1F850552">
      <w:pPr>
        <w:spacing w:line="360" w:lineRule="exact"/>
        <w:ind w:firstLine="420"/>
        <w:rPr>
          <w:rFonts w:hint="eastAsia" w:ascii="宋体" w:hAnsi="宋体"/>
          <w:color w:val="auto"/>
          <w:szCs w:val="21"/>
          <w:highlight w:val="none"/>
        </w:rPr>
      </w:pPr>
      <w:r>
        <w:rPr>
          <w:rFonts w:hint="eastAsia" w:ascii="宋体" w:hAnsi="宋体"/>
          <w:color w:val="auto"/>
          <w:szCs w:val="21"/>
          <w:highlight w:val="none"/>
        </w:rPr>
        <w:t>项目编号：FCZC2026-G3-990040-YZLZ</w:t>
      </w:r>
    </w:p>
    <w:p w14:paraId="637840D6">
      <w:pPr>
        <w:spacing w:line="360" w:lineRule="exact"/>
        <w:ind w:firstLine="420"/>
        <w:rPr>
          <w:rFonts w:hint="eastAsia" w:eastAsia="宋体"/>
          <w:color w:val="auto"/>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2026-2028年市管市政设施维修养护服务采购项目</w:t>
      </w:r>
    </w:p>
    <w:p w14:paraId="1CC25910">
      <w:pPr>
        <w:spacing w:line="360" w:lineRule="exact"/>
        <w:ind w:firstLine="420"/>
        <w:rPr>
          <w:rFonts w:hint="eastAsia" w:ascii="宋体" w:hAnsi="宋体"/>
          <w:color w:val="auto"/>
          <w:szCs w:val="21"/>
          <w:highlight w:val="none"/>
        </w:rPr>
      </w:pPr>
      <w:r>
        <w:rPr>
          <w:rFonts w:hint="eastAsia"/>
          <w:color w:val="auto"/>
          <w:highlight w:val="none"/>
        </w:rPr>
        <w:t>预算总金额</w:t>
      </w:r>
      <w:r>
        <w:rPr>
          <w:rFonts w:hint="eastAsia" w:ascii="宋体" w:hAnsi="宋体"/>
          <w:color w:val="auto"/>
          <w:szCs w:val="21"/>
          <w:highlight w:val="none"/>
        </w:rPr>
        <w:t>：人民币</w:t>
      </w:r>
      <w:r>
        <w:rPr>
          <w:rFonts w:hint="eastAsia" w:ascii="宋体" w:hAnsi="宋体"/>
          <w:color w:val="auto"/>
          <w:szCs w:val="21"/>
          <w:highlight w:val="none"/>
          <w:lang w:val="en-US" w:eastAsia="zh-CN"/>
        </w:rPr>
        <w:t>贰仟伍佰贰拾万元整</w:t>
      </w:r>
      <w:r>
        <w:rPr>
          <w:rFonts w:hint="eastAsia" w:ascii="宋体" w:hAnsi="宋体"/>
          <w:color w:val="auto"/>
          <w:szCs w:val="21"/>
          <w:highlight w:val="none"/>
        </w:rPr>
        <w:t>（¥</w:t>
      </w:r>
      <w:r>
        <w:rPr>
          <w:rFonts w:hint="eastAsia" w:ascii="宋体" w:hAnsi="宋体"/>
          <w:color w:val="auto"/>
          <w:szCs w:val="21"/>
          <w:highlight w:val="none"/>
          <w:lang w:val="en-US" w:eastAsia="zh-CN"/>
        </w:rPr>
        <w:t>25,200,000.00</w:t>
      </w:r>
      <w:r>
        <w:rPr>
          <w:rFonts w:hint="eastAsia" w:ascii="宋体" w:hAnsi="宋体"/>
          <w:color w:val="auto"/>
          <w:szCs w:val="21"/>
          <w:highlight w:val="none"/>
        </w:rPr>
        <w:t>）</w:t>
      </w:r>
    </w:p>
    <w:p w14:paraId="785CCE41">
      <w:pPr>
        <w:spacing w:line="360" w:lineRule="exact"/>
        <w:ind w:firstLine="42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最高限价：无</w:t>
      </w:r>
    </w:p>
    <w:p w14:paraId="1E3B5BD6">
      <w:pPr>
        <w:spacing w:line="360" w:lineRule="exact"/>
        <w:ind w:firstLine="420"/>
        <w:rPr>
          <w:rFonts w:ascii="宋体" w:hAnsi="宋体"/>
          <w:color w:val="auto"/>
          <w:szCs w:val="21"/>
          <w:highlight w:val="none"/>
        </w:rPr>
      </w:pPr>
      <w:r>
        <w:rPr>
          <w:rFonts w:hint="eastAsia" w:ascii="宋体" w:hAnsi="宋体"/>
          <w:color w:val="auto"/>
          <w:szCs w:val="21"/>
          <w:highlight w:val="none"/>
        </w:rPr>
        <w:t>采购需求：通过公开招标，择优选择1家供应商开展</w:t>
      </w:r>
      <w:r>
        <w:rPr>
          <w:rFonts w:hint="eastAsia" w:ascii="宋体" w:hAnsi="宋体"/>
          <w:color w:val="auto"/>
          <w:szCs w:val="21"/>
          <w:highlight w:val="none"/>
          <w:lang w:eastAsia="zh-CN"/>
        </w:rPr>
        <w:t>2026-2028年市管市政设施维修养护服务</w:t>
      </w:r>
      <w:r>
        <w:rPr>
          <w:rFonts w:hint="eastAsia" w:ascii="宋体" w:hAnsi="宋体"/>
          <w:color w:val="auto"/>
          <w:szCs w:val="21"/>
          <w:highlight w:val="none"/>
        </w:rPr>
        <w:t>，服务期限自签订合同之日起3年</w:t>
      </w:r>
      <w:r>
        <w:rPr>
          <w:rFonts w:hint="eastAsia" w:ascii="宋体" w:hAnsi="宋体"/>
          <w:color w:val="auto"/>
          <w:szCs w:val="21"/>
          <w:highlight w:val="none"/>
          <w:lang w:eastAsia="zh-CN"/>
        </w:rPr>
        <w:t>，具体内容详见附件采购需求。</w:t>
      </w:r>
    </w:p>
    <w:p w14:paraId="4D889D6B">
      <w:pPr>
        <w:spacing w:line="360" w:lineRule="exact"/>
        <w:ind w:firstLine="420"/>
        <w:rPr>
          <w:rFonts w:hint="eastAsia" w:ascii="宋体" w:hAnsi="宋体"/>
          <w:color w:val="auto"/>
          <w:szCs w:val="21"/>
          <w:highlight w:val="none"/>
        </w:rPr>
      </w:pPr>
      <w:r>
        <w:rPr>
          <w:rFonts w:hint="eastAsia" w:ascii="宋体" w:hAnsi="宋体"/>
          <w:color w:val="auto"/>
          <w:highlight w:val="none"/>
        </w:rPr>
        <w:t>合同履约期限：</w:t>
      </w:r>
      <w:r>
        <w:rPr>
          <w:rFonts w:hint="eastAsia" w:ascii="宋体" w:hAnsi="宋体"/>
          <w:color w:val="auto"/>
          <w:szCs w:val="21"/>
          <w:highlight w:val="none"/>
        </w:rPr>
        <w:t>自合同签订之日起3年</w:t>
      </w:r>
      <w:bookmarkStart w:id="125" w:name="_GoBack"/>
      <w:bookmarkEnd w:id="125"/>
      <w:r>
        <w:rPr>
          <w:rFonts w:hint="eastAsia" w:ascii="宋体" w:hAnsi="宋体"/>
          <w:color w:val="auto"/>
          <w:szCs w:val="21"/>
          <w:highlight w:val="none"/>
        </w:rPr>
        <w:t>。</w:t>
      </w:r>
    </w:p>
    <w:p w14:paraId="497F77FF">
      <w:pPr>
        <w:spacing w:line="360" w:lineRule="exact"/>
        <w:ind w:firstLine="420"/>
        <w:rPr>
          <w:rFonts w:hint="eastAsia" w:ascii="黑体" w:hAnsi="黑体" w:eastAsia="黑体"/>
          <w:b/>
          <w:bCs/>
          <w:color w:val="auto"/>
          <w:sz w:val="24"/>
          <w:highlight w:val="none"/>
        </w:rPr>
      </w:pPr>
      <w:r>
        <w:rPr>
          <w:rFonts w:hint="eastAsia" w:ascii="宋体" w:hAnsi="宋体"/>
          <w:color w:val="auto"/>
          <w:highlight w:val="none"/>
        </w:rPr>
        <w:t>本</w:t>
      </w:r>
      <w:r>
        <w:rPr>
          <w:rFonts w:hint="eastAsia" w:ascii="宋体" w:hAnsi="宋体"/>
          <w:color w:val="auto"/>
          <w:highlight w:val="none"/>
          <w:lang w:eastAsia="zh-CN"/>
        </w:rPr>
        <w:t>项目</w:t>
      </w:r>
      <w:r>
        <w:rPr>
          <w:rFonts w:hint="eastAsia" w:ascii="宋体" w:hAnsi="宋体"/>
          <w:color w:val="auto"/>
          <w:highlight w:val="none"/>
        </w:rPr>
        <w:t>（否）接受联合体投标。</w:t>
      </w:r>
      <w:bookmarkStart w:id="10" w:name="_Toc35393791"/>
      <w:bookmarkStart w:id="11" w:name="_Toc28359080"/>
      <w:bookmarkStart w:id="12" w:name="_Toc28359003"/>
      <w:bookmarkStart w:id="13" w:name="_Toc35393622"/>
    </w:p>
    <w:p w14:paraId="517E6379">
      <w:pPr>
        <w:spacing w:line="360" w:lineRule="exact"/>
        <w:rPr>
          <w:rFonts w:ascii="黑体" w:hAnsi="黑体" w:eastAsia="黑体"/>
          <w:b/>
          <w:bCs/>
          <w:color w:val="auto"/>
          <w:sz w:val="24"/>
          <w:highlight w:val="none"/>
        </w:rPr>
      </w:pPr>
      <w:r>
        <w:rPr>
          <w:rFonts w:hint="eastAsia" w:ascii="黑体" w:hAnsi="黑体" w:eastAsia="黑体"/>
          <w:b/>
          <w:bCs/>
          <w:color w:val="auto"/>
          <w:sz w:val="24"/>
          <w:highlight w:val="none"/>
        </w:rPr>
        <w:t>二、申请人的资格要求：</w:t>
      </w:r>
      <w:bookmarkEnd w:id="10"/>
      <w:bookmarkEnd w:id="11"/>
      <w:bookmarkEnd w:id="12"/>
      <w:bookmarkEnd w:id="13"/>
    </w:p>
    <w:p w14:paraId="4BDFA651">
      <w:pPr>
        <w:spacing w:line="360" w:lineRule="exact"/>
        <w:ind w:firstLine="420"/>
        <w:rPr>
          <w:rFonts w:ascii="宋体" w:hAnsi="宋体"/>
          <w:color w:val="auto"/>
          <w:szCs w:val="21"/>
          <w:highlight w:val="none"/>
        </w:rPr>
      </w:pPr>
      <w:bookmarkStart w:id="14" w:name="_Hlk51746371"/>
      <w:bookmarkStart w:id="15" w:name="_Toc28359081"/>
      <w:bookmarkStart w:id="16" w:name="_Toc35393792"/>
      <w:bookmarkStart w:id="17" w:name="_Toc28359004"/>
      <w:bookmarkStart w:id="18" w:name="_Toc35393623"/>
      <w:r>
        <w:rPr>
          <w:rFonts w:hint="eastAsia" w:ascii="宋体" w:hAnsi="宋体"/>
          <w:color w:val="auto"/>
          <w:szCs w:val="21"/>
          <w:highlight w:val="none"/>
        </w:rPr>
        <w:t>1.满足《中华人民共和国政府采购法》第二十二条规定；</w:t>
      </w:r>
    </w:p>
    <w:p w14:paraId="06BA3C38">
      <w:pPr>
        <w:spacing w:line="360" w:lineRule="exact"/>
        <w:ind w:firstLine="420"/>
        <w:rPr>
          <w:rFonts w:hint="eastAsia" w:ascii="宋体" w:hAnsi="宋体" w:eastAsia="宋体"/>
          <w:color w:val="auto"/>
          <w:szCs w:val="21"/>
          <w:highlight w:val="none"/>
          <w:lang w:eastAsia="zh-CN"/>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color w:val="auto"/>
          <w:szCs w:val="21"/>
          <w:highlight w:val="none"/>
          <w:lang w:eastAsia="zh-CN"/>
        </w:rPr>
        <w:t>无</w:t>
      </w:r>
    </w:p>
    <w:p w14:paraId="2F636343">
      <w:pPr>
        <w:spacing w:line="400" w:lineRule="exact"/>
        <w:ind w:firstLine="420"/>
        <w:rPr>
          <w:rFonts w:hint="eastAsia" w:ascii="宋体" w:hAnsi="宋体"/>
          <w:color w:val="auto"/>
          <w:szCs w:val="21"/>
          <w:highlight w:val="none"/>
        </w:rPr>
      </w:pPr>
      <w:r>
        <w:rPr>
          <w:rFonts w:hint="eastAsia" w:ascii="宋体" w:hAnsi="宋体"/>
          <w:color w:val="auto"/>
          <w:szCs w:val="21"/>
          <w:highlight w:val="none"/>
        </w:rPr>
        <w:t>3.本项目的特定资格要求：</w:t>
      </w:r>
    </w:p>
    <w:p w14:paraId="3790BEB2">
      <w:pPr>
        <w:spacing w:line="36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（1）投标人须具备</w:t>
      </w:r>
      <w:r>
        <w:rPr>
          <w:rFonts w:hint="eastAsia" w:ascii="宋体" w:hAnsi="宋体" w:cs="宋体"/>
          <w:color w:val="auto"/>
          <w:highlight w:val="none"/>
        </w:rPr>
        <w:t>市政公用工程施工总承包</w:t>
      </w:r>
      <w:r>
        <w:rPr>
          <w:rFonts w:hint="eastAsia" w:ascii="宋体" w:hAnsi="宋体" w:cs="宋体"/>
          <w:color w:val="auto"/>
          <w:highlight w:val="none"/>
          <w:lang w:eastAsia="zh-CN"/>
        </w:rPr>
        <w:t>二</w:t>
      </w:r>
      <w:r>
        <w:rPr>
          <w:rFonts w:hint="eastAsia" w:ascii="宋体" w:hAnsi="宋体" w:cs="宋体"/>
          <w:color w:val="auto"/>
          <w:highlight w:val="none"/>
        </w:rPr>
        <w:t>级以上（含</w:t>
      </w:r>
      <w:r>
        <w:rPr>
          <w:rFonts w:hint="eastAsia" w:ascii="宋体" w:hAnsi="宋体" w:cs="宋体"/>
          <w:color w:val="auto"/>
          <w:highlight w:val="none"/>
          <w:lang w:eastAsia="zh-CN"/>
        </w:rPr>
        <w:t>二</w:t>
      </w:r>
      <w:r>
        <w:rPr>
          <w:rFonts w:hint="eastAsia" w:ascii="宋体" w:hAnsi="宋体" w:cs="宋体"/>
          <w:color w:val="auto"/>
          <w:highlight w:val="none"/>
        </w:rPr>
        <w:t>级）资质</w:t>
      </w:r>
      <w:r>
        <w:rPr>
          <w:rFonts w:hint="eastAsia" w:ascii="宋体" w:hAnsi="宋体" w:eastAsia="宋体" w:cs="Times New Roman"/>
          <w:color w:val="auto"/>
          <w:szCs w:val="21"/>
          <w:highlight w:val="none"/>
        </w:rPr>
        <w:t>，具备有效的安全生产许可证，并在人员、设备、资金等方面具备相应的施工能力。</w:t>
      </w:r>
    </w:p>
    <w:p w14:paraId="66E22B68">
      <w:pPr>
        <w:spacing w:line="36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（2）投标人拟派的项目经理须具备</w:t>
      </w:r>
      <w:r>
        <w:rPr>
          <w:rFonts w:hint="eastAsia" w:ascii="宋体" w:hAnsi="宋体" w:cs="宋体"/>
          <w:color w:val="auto"/>
          <w:highlight w:val="none"/>
        </w:rPr>
        <w:t>市政公用工程专业二级以上（含二级）注册建造师资格</w:t>
      </w:r>
      <w:r>
        <w:rPr>
          <w:rFonts w:hint="eastAsia" w:ascii="宋体" w:hAnsi="宋体" w:eastAsia="宋体" w:cs="Times New Roman"/>
          <w:color w:val="auto"/>
          <w:szCs w:val="21"/>
          <w:highlight w:val="none"/>
        </w:rPr>
        <w:t>及有效的安全生产考核合格证书（B类）。</w:t>
      </w:r>
    </w:p>
    <w:p w14:paraId="0189ACC4">
      <w:pPr>
        <w:widowControl w:val="0"/>
        <w:spacing w:line="360" w:lineRule="exact"/>
        <w:ind w:left="0" w:leftChars="0" w:firstLine="420" w:firstLineChars="0"/>
        <w:jc w:val="both"/>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（3）拟投入本工程的技术负责人具有市政公用工程相关专业工程师及以上职称。</w:t>
      </w:r>
    </w:p>
    <w:p w14:paraId="24DD8B7C">
      <w:pPr>
        <w:widowControl w:val="0"/>
        <w:spacing w:line="360" w:lineRule="exact"/>
        <w:ind w:left="0" w:leftChars="0" w:firstLine="420" w:firstLineChars="0"/>
        <w:jc w:val="both"/>
        <w:rPr>
          <w:rFonts w:hint="eastAsia" w:ascii="宋体" w:hAnsi="宋体" w:eastAsia="宋体" w:cs="Times New Roman"/>
          <w:color w:val="auto"/>
          <w:szCs w:val="21"/>
          <w:highlight w:val="none"/>
        </w:rPr>
      </w:pPr>
      <w:r>
        <w:rPr>
          <w:rFonts w:hint="eastAsia" w:ascii="宋体" w:hAnsi="宋体" w:eastAsia="宋体" w:cs="Times New Roman"/>
          <w:color w:val="auto"/>
          <w:sz w:val="21"/>
          <w:szCs w:val="21"/>
          <w:highlight w:val="none"/>
          <w:lang w:val="en-US" w:eastAsia="zh-CN" w:bidi="ar-SA"/>
        </w:rPr>
        <w:t>（4）拟投入本项目的专职安全生产管理人员须具备有效的安全生产考核合格证书（C类）。</w:t>
      </w:r>
    </w:p>
    <w:bookmarkEnd w:id="14"/>
    <w:p w14:paraId="5807F1DD">
      <w:pPr>
        <w:spacing w:line="360" w:lineRule="exact"/>
        <w:rPr>
          <w:rFonts w:ascii="黑体" w:hAnsi="黑体" w:eastAsia="黑体"/>
          <w:b/>
          <w:bCs/>
          <w:color w:val="auto"/>
          <w:sz w:val="24"/>
          <w:highlight w:val="none"/>
        </w:rPr>
      </w:pPr>
      <w:r>
        <w:rPr>
          <w:rFonts w:hint="eastAsia" w:ascii="黑体" w:hAnsi="黑体" w:eastAsia="黑体"/>
          <w:b/>
          <w:bCs/>
          <w:color w:val="auto"/>
          <w:sz w:val="24"/>
          <w:highlight w:val="none"/>
        </w:rPr>
        <w:t>三、获取招标文件</w:t>
      </w:r>
      <w:bookmarkEnd w:id="15"/>
      <w:bookmarkEnd w:id="16"/>
      <w:bookmarkEnd w:id="17"/>
      <w:bookmarkEnd w:id="18"/>
    </w:p>
    <w:p w14:paraId="3835FCEF">
      <w:pPr>
        <w:spacing w:line="360" w:lineRule="exact"/>
        <w:ind w:firstLine="540"/>
        <w:rPr>
          <w:rFonts w:hint="eastAsia" w:ascii="宋体" w:hAnsi="宋体" w:cs="宋体"/>
          <w:bCs/>
          <w:color w:val="auto"/>
          <w:szCs w:val="21"/>
          <w:highlight w:val="none"/>
        </w:rPr>
      </w:pPr>
      <w:r>
        <w:rPr>
          <w:rFonts w:hint="eastAsia" w:ascii="宋体" w:hAnsi="宋体" w:cs="宋体"/>
          <w:bCs/>
          <w:color w:val="auto"/>
          <w:szCs w:val="21"/>
          <w:highlight w:val="none"/>
        </w:rPr>
        <w:t>时间：202</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 xml:space="preserve">  </w:t>
      </w:r>
      <w:r>
        <w:rPr>
          <w:rFonts w:hint="eastAsia" w:ascii="宋体" w:hAnsi="宋体" w:cs="宋体"/>
          <w:bCs/>
          <w:color w:val="auto"/>
          <w:szCs w:val="21"/>
          <w:highlight w:val="none"/>
        </w:rPr>
        <w:t>日至202</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 xml:space="preserve">   </w:t>
      </w:r>
      <w:r>
        <w:rPr>
          <w:rFonts w:hint="eastAsia" w:ascii="宋体" w:hAnsi="宋体" w:cs="宋体"/>
          <w:bCs/>
          <w:color w:val="auto"/>
          <w:szCs w:val="21"/>
          <w:highlight w:val="none"/>
        </w:rPr>
        <w:t>日，每天上午8时00分至12时00分，下午3时00分至6时00分（北京时间，</w:t>
      </w:r>
      <w:r>
        <w:rPr>
          <w:rFonts w:ascii="宋体" w:hAnsi="宋体" w:cs="宋体"/>
          <w:bCs/>
          <w:color w:val="auto"/>
          <w:szCs w:val="21"/>
          <w:highlight w:val="none"/>
        </w:rPr>
        <w:t>法定节假日</w:t>
      </w:r>
      <w:r>
        <w:rPr>
          <w:rFonts w:hint="eastAsia" w:ascii="宋体" w:hAnsi="宋体" w:cs="宋体"/>
          <w:bCs/>
          <w:color w:val="auto"/>
          <w:szCs w:val="21"/>
          <w:highlight w:val="none"/>
        </w:rPr>
        <w:t>除外）</w:t>
      </w:r>
    </w:p>
    <w:p w14:paraId="450E83F6">
      <w:pPr>
        <w:spacing w:line="360" w:lineRule="exact"/>
        <w:ind w:firstLine="540"/>
        <w:rPr>
          <w:rFonts w:hint="eastAsia" w:ascii="宋体" w:hAnsi="宋体"/>
          <w:color w:val="auto"/>
          <w:szCs w:val="21"/>
          <w:highlight w:val="none"/>
        </w:rPr>
      </w:pPr>
      <w:r>
        <w:rPr>
          <w:rFonts w:hint="eastAsia" w:ascii="宋体" w:hAnsi="宋体" w:cs="宋体"/>
          <w:bCs/>
          <w:color w:val="auto"/>
          <w:szCs w:val="21"/>
          <w:highlight w:val="none"/>
        </w:rPr>
        <w:t>地点：</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54739332">
      <w:pPr>
        <w:spacing w:line="360" w:lineRule="exact"/>
        <w:ind w:firstLine="540"/>
        <w:rPr>
          <w:rFonts w:hint="eastAsia" w:ascii="宋体" w:hAnsi="宋体" w:cs="宋体"/>
          <w:bCs/>
          <w:color w:val="auto"/>
          <w:szCs w:val="21"/>
          <w:highlight w:val="none"/>
        </w:rPr>
      </w:pPr>
      <w:r>
        <w:rPr>
          <w:rFonts w:hint="eastAsia" w:ascii="宋体" w:hAnsi="宋体" w:cs="宋体"/>
          <w:bCs/>
          <w:color w:val="auto"/>
          <w:szCs w:val="21"/>
          <w:highlight w:val="none"/>
        </w:rPr>
        <w:t>方式：网上下载。本项目不提供纸质文件，潜在供应商需在</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w:t>
      </w:r>
      <w:r>
        <w:rPr>
          <w:rFonts w:hint="eastAsia" w:ascii="宋体" w:hAnsi="宋体" w:cs="宋体"/>
          <w:bCs/>
          <w:color w:val="auto"/>
          <w:szCs w:val="21"/>
          <w:highlight w:val="none"/>
        </w:rPr>
        <w:t>-进入“项目采购”应用，在获取招标文件菜单中选择项目，获取招标文件。</w:t>
      </w:r>
      <w:r>
        <w:rPr>
          <w:rFonts w:hint="eastAsia" w:ascii="宋体" w:hAnsi="宋体"/>
          <w:color w:val="auto"/>
          <w:szCs w:val="21"/>
          <w:highlight w:val="none"/>
        </w:rPr>
        <w:t>电子投标文件制作需要基于</w:t>
      </w:r>
      <w:r>
        <w:rPr>
          <w:rFonts w:ascii="宋体" w:hAnsi="宋体"/>
          <w:color w:val="auto"/>
          <w:szCs w:val="21"/>
          <w:highlight w:val="none"/>
        </w:rPr>
        <w:t>广西政府采购云平台</w:t>
      </w:r>
      <w:r>
        <w:rPr>
          <w:rFonts w:hint="eastAsia" w:ascii="宋体" w:hAnsi="宋体"/>
          <w:color w:val="auto"/>
          <w:szCs w:val="21"/>
          <w:highlight w:val="none"/>
        </w:rPr>
        <w:t>获取的招标文件编制，</w:t>
      </w:r>
      <w:r>
        <w:rPr>
          <w:rFonts w:hint="eastAsia" w:ascii="宋体" w:hAnsi="宋体" w:cs="宋体"/>
          <w:bCs/>
          <w:color w:val="auto"/>
          <w:szCs w:val="21"/>
          <w:highlight w:val="none"/>
        </w:rPr>
        <w:t>通过其他方式获取招标文件的，将有可能导致供应商无法在</w:t>
      </w:r>
      <w:r>
        <w:rPr>
          <w:rFonts w:ascii="宋体" w:hAnsi="宋体"/>
          <w:color w:val="auto"/>
          <w:szCs w:val="21"/>
          <w:highlight w:val="none"/>
        </w:rPr>
        <w:t>广西政府采购云平台</w:t>
      </w:r>
      <w:r>
        <w:rPr>
          <w:rFonts w:hint="eastAsia" w:ascii="宋体" w:hAnsi="宋体" w:cs="宋体"/>
          <w:bCs/>
          <w:color w:val="auto"/>
          <w:szCs w:val="21"/>
          <w:highlight w:val="none"/>
        </w:rPr>
        <w:t>编制及上传投标文件。</w:t>
      </w:r>
    </w:p>
    <w:p w14:paraId="3B3AE61D">
      <w:pPr>
        <w:spacing w:line="360" w:lineRule="exact"/>
        <w:ind w:firstLine="540"/>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bCs/>
          <w:color w:val="auto"/>
          <w:szCs w:val="21"/>
          <w:highlight w:val="none"/>
        </w:rPr>
        <w:t>售价：0元</w:t>
      </w:r>
    </w:p>
    <w:p w14:paraId="5A79AF98">
      <w:pPr>
        <w:spacing w:line="360" w:lineRule="exact"/>
        <w:rPr>
          <w:rFonts w:ascii="黑体" w:hAnsi="黑体" w:eastAsia="黑体"/>
          <w:b/>
          <w:bCs/>
          <w:color w:val="auto"/>
          <w:sz w:val="24"/>
          <w:highlight w:val="none"/>
        </w:rPr>
      </w:pPr>
      <w:bookmarkStart w:id="19" w:name="_Toc28359082"/>
      <w:bookmarkStart w:id="20" w:name="_Toc28359005"/>
      <w:bookmarkStart w:id="21" w:name="_Toc35393624"/>
      <w:bookmarkStart w:id="22" w:name="_Toc35393793"/>
      <w:r>
        <w:rPr>
          <w:rFonts w:hint="eastAsia" w:ascii="黑体" w:hAnsi="黑体" w:eastAsia="黑体"/>
          <w:b/>
          <w:bCs/>
          <w:color w:val="auto"/>
          <w:sz w:val="24"/>
          <w:highlight w:val="none"/>
        </w:rPr>
        <w:t>四、提交投标文件</w:t>
      </w:r>
      <w:bookmarkEnd w:id="19"/>
      <w:bookmarkEnd w:id="20"/>
      <w:r>
        <w:rPr>
          <w:rFonts w:hint="eastAsia" w:ascii="黑体" w:hAnsi="黑体" w:eastAsia="黑体"/>
          <w:b/>
          <w:bCs/>
          <w:color w:val="auto"/>
          <w:sz w:val="24"/>
          <w:highlight w:val="none"/>
        </w:rPr>
        <w:t>截止时间、开标时间和地点</w:t>
      </w:r>
      <w:bookmarkEnd w:id="21"/>
      <w:bookmarkEnd w:id="22"/>
    </w:p>
    <w:p w14:paraId="43420E06">
      <w:pPr>
        <w:spacing w:line="360" w:lineRule="exact"/>
        <w:ind w:firstLine="420"/>
        <w:rPr>
          <w:rFonts w:hint="eastAsia" w:ascii="宋体" w:hAnsi="宋体"/>
          <w:bCs/>
          <w:color w:val="auto"/>
          <w:szCs w:val="21"/>
          <w:highlight w:val="none"/>
        </w:rPr>
      </w:pPr>
      <w:bookmarkStart w:id="23" w:name="_Toc28359084"/>
      <w:bookmarkStart w:id="24" w:name="_Toc28359007"/>
      <w:bookmarkStart w:id="25" w:name="_Toc35393794"/>
      <w:bookmarkStart w:id="26" w:name="_Toc35393625"/>
      <w:r>
        <w:rPr>
          <w:rFonts w:hint="eastAsia" w:ascii="宋体" w:hAnsi="宋体" w:cs="宋体"/>
          <w:bCs/>
          <w:color w:val="auto"/>
          <w:szCs w:val="21"/>
          <w:highlight w:val="none"/>
        </w:rPr>
        <w:t>202</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 xml:space="preserve">   </w:t>
      </w:r>
      <w:r>
        <w:rPr>
          <w:rFonts w:hint="eastAsia" w:ascii="宋体" w:hAnsi="宋体" w:cs="宋体"/>
          <w:bCs/>
          <w:color w:val="auto"/>
          <w:szCs w:val="21"/>
          <w:highlight w:val="none"/>
        </w:rPr>
        <w:t>日</w:t>
      </w:r>
      <w:r>
        <w:rPr>
          <w:rFonts w:hint="eastAsia" w:ascii="宋体" w:hAnsi="宋体"/>
          <w:bCs/>
          <w:color w:val="auto"/>
          <w:szCs w:val="21"/>
          <w:highlight w:val="none"/>
        </w:rPr>
        <w:t>9时30分（北京时间）</w:t>
      </w:r>
    </w:p>
    <w:p w14:paraId="094E68E2">
      <w:pPr>
        <w:spacing w:line="360" w:lineRule="exact"/>
        <w:ind w:firstLine="420"/>
        <w:rPr>
          <w:rFonts w:hint="eastAsia" w:ascii="宋体" w:hAnsi="宋体"/>
          <w:color w:val="auto"/>
          <w:szCs w:val="21"/>
          <w:highlight w:val="none"/>
        </w:rPr>
      </w:pPr>
      <w:r>
        <w:rPr>
          <w:rFonts w:hint="eastAsia" w:ascii="宋体" w:hAnsi="宋体"/>
          <w:color w:val="auto"/>
          <w:szCs w:val="21"/>
          <w:highlight w:val="none"/>
        </w:rPr>
        <w:t>投标地点：</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w:t>
      </w:r>
    </w:p>
    <w:p w14:paraId="6B3CA41A">
      <w:pPr>
        <w:spacing w:line="360" w:lineRule="exact"/>
        <w:ind w:firstLine="420"/>
        <w:rPr>
          <w:rFonts w:hint="eastAsia" w:ascii="宋体" w:hAnsi="宋体"/>
          <w:color w:val="auto"/>
          <w:szCs w:val="21"/>
          <w:highlight w:val="none"/>
        </w:rPr>
      </w:pPr>
      <w:r>
        <w:rPr>
          <w:rFonts w:hint="eastAsia" w:ascii="宋体" w:hAnsi="宋体"/>
          <w:color w:val="auto"/>
          <w:szCs w:val="21"/>
          <w:highlight w:val="none"/>
        </w:rPr>
        <w:t>开标地点：</w:t>
      </w:r>
      <w:r>
        <w:rPr>
          <w:rFonts w:ascii="宋体" w:hAnsi="宋体"/>
          <w:color w:val="auto"/>
          <w:szCs w:val="21"/>
          <w:highlight w:val="none"/>
        </w:rPr>
        <w:t>广西政府采购云平台</w:t>
      </w:r>
      <w:r>
        <w:rPr>
          <w:rFonts w:hint="eastAsia" w:ascii="宋体" w:hAnsi="宋体"/>
          <w:color w:val="auto"/>
          <w:szCs w:val="21"/>
          <w:highlight w:val="none"/>
        </w:rPr>
        <w:t>电子开标大厅【政府采购开标室</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0423E411">
      <w:pPr>
        <w:spacing w:line="360" w:lineRule="exact"/>
        <w:rPr>
          <w:rFonts w:ascii="黑体" w:hAnsi="黑体" w:eastAsia="黑体"/>
          <w:b/>
          <w:bCs/>
          <w:color w:val="auto"/>
          <w:sz w:val="24"/>
          <w:highlight w:val="none"/>
        </w:rPr>
      </w:pPr>
      <w:r>
        <w:rPr>
          <w:rFonts w:hint="eastAsia" w:ascii="黑体" w:hAnsi="黑体" w:eastAsia="黑体"/>
          <w:b/>
          <w:bCs/>
          <w:color w:val="auto"/>
          <w:sz w:val="24"/>
          <w:highlight w:val="none"/>
        </w:rPr>
        <w:t>五、公告期限</w:t>
      </w:r>
      <w:bookmarkEnd w:id="23"/>
      <w:bookmarkEnd w:id="24"/>
      <w:bookmarkEnd w:id="25"/>
      <w:bookmarkEnd w:id="26"/>
    </w:p>
    <w:p w14:paraId="617BDF0F">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自本公告发布之日起5个工作日。</w:t>
      </w:r>
    </w:p>
    <w:p w14:paraId="38CA7045">
      <w:pPr>
        <w:spacing w:line="360" w:lineRule="exact"/>
        <w:rPr>
          <w:rFonts w:ascii="黑体" w:hAnsi="黑体" w:eastAsia="黑体"/>
          <w:b/>
          <w:bCs/>
          <w:color w:val="auto"/>
          <w:sz w:val="24"/>
          <w:highlight w:val="none"/>
        </w:rPr>
      </w:pPr>
      <w:bookmarkStart w:id="27" w:name="_Toc35393626"/>
      <w:bookmarkStart w:id="28" w:name="_Toc35393795"/>
      <w:r>
        <w:rPr>
          <w:rFonts w:hint="eastAsia" w:ascii="黑体" w:hAnsi="黑体" w:eastAsia="黑体"/>
          <w:b/>
          <w:bCs/>
          <w:color w:val="auto"/>
          <w:sz w:val="24"/>
          <w:highlight w:val="none"/>
        </w:rPr>
        <w:t>六、其他补充事宜</w:t>
      </w:r>
      <w:bookmarkEnd w:id="27"/>
      <w:bookmarkEnd w:id="28"/>
    </w:p>
    <w:p w14:paraId="62C6E6B9">
      <w:pPr>
        <w:spacing w:line="360" w:lineRule="exact"/>
        <w:ind w:firstLine="420"/>
        <w:rPr>
          <w:rFonts w:hint="eastAsia" w:ascii="宋体" w:hAnsi="宋体" w:eastAsia="宋体" w:cs="宋体"/>
          <w:color w:val="auto"/>
          <w:szCs w:val="21"/>
          <w:highlight w:val="none"/>
          <w:lang w:eastAsia="zh-CN"/>
        </w:rPr>
      </w:pPr>
      <w:bookmarkStart w:id="29" w:name="_Hlk37429595"/>
      <w:bookmarkStart w:id="30" w:name="_Hlk37429585"/>
      <w:bookmarkStart w:id="31" w:name="_Toc35393796"/>
      <w:bookmarkStart w:id="32" w:name="_Toc28359085"/>
      <w:bookmarkStart w:id="33" w:name="_Toc35393627"/>
      <w:bookmarkStart w:id="34" w:name="_Toc28359008"/>
      <w:r>
        <w:rPr>
          <w:rFonts w:hint="eastAsia" w:ascii="宋体" w:hAnsi="宋体" w:cs="宋体"/>
          <w:color w:val="auto"/>
          <w:szCs w:val="21"/>
          <w:highlight w:val="none"/>
        </w:rPr>
        <w:t>1.网上查询地址：</w:t>
      </w:r>
      <w:r>
        <w:rPr>
          <w:rFonts w:ascii="宋体" w:hAnsi="宋体" w:cs="宋体"/>
          <w:color w:val="auto"/>
          <w:szCs w:val="21"/>
          <w:highlight w:val="none"/>
        </w:rPr>
        <w:t>中国政府采购网</w:t>
      </w:r>
      <w:r>
        <w:rPr>
          <w:rFonts w:hint="eastAsia" w:ascii="宋体" w:hAnsi="宋体" w:cs="宋体"/>
          <w:color w:val="auto"/>
          <w:szCs w:val="21"/>
          <w:highlight w:val="none"/>
        </w:rPr>
        <w:t>（http://www.ccgp.gov.cn/）</w:t>
      </w:r>
      <w:r>
        <w:rPr>
          <w:rFonts w:ascii="宋体" w:hAnsi="宋体" w:cs="宋体"/>
          <w:color w:val="auto"/>
          <w:szCs w:val="21"/>
          <w:highlight w:val="none"/>
        </w:rPr>
        <w:t>、广西壮族自治区政府采购网</w:t>
      </w:r>
      <w:r>
        <w:rPr>
          <w:rFonts w:hint="eastAsia" w:ascii="宋体" w:hAnsi="宋体" w:cs="宋体"/>
          <w:color w:val="auto"/>
          <w:szCs w:val="21"/>
          <w:highlight w:val="none"/>
        </w:rPr>
        <w:t>（http://www.ccgp-guangxi.gov.cn/）</w:t>
      </w:r>
      <w:r>
        <w:rPr>
          <w:rFonts w:hint="eastAsia" w:ascii="宋体" w:hAnsi="宋体" w:cs="宋体"/>
          <w:color w:val="auto"/>
          <w:szCs w:val="21"/>
          <w:highlight w:val="none"/>
          <w:lang w:eastAsia="zh-CN"/>
        </w:rPr>
        <w:t>、全国公共资源交易平台（广西·防城港）(</w:t>
      </w:r>
      <w:r>
        <w:rPr>
          <w:rFonts w:hint="eastAsia" w:ascii="宋体" w:hAnsi="宋体" w:cs="宋体"/>
          <w:color w:val="auto"/>
          <w:szCs w:val="21"/>
          <w:highlight w:val="none"/>
          <w:lang w:eastAsia="zh-CN"/>
        </w:rPr>
        <w:fldChar w:fldCharType="begin"/>
      </w:r>
      <w:r>
        <w:rPr>
          <w:rFonts w:hint="eastAsia" w:ascii="宋体" w:hAnsi="宋体" w:cs="宋体"/>
          <w:color w:val="auto"/>
          <w:szCs w:val="21"/>
          <w:highlight w:val="none"/>
          <w:lang w:eastAsia="zh-CN"/>
        </w:rPr>
        <w:instrText xml:space="preserve"> HYPERLINK "http://ggzy.jgswj.gxzf.gov.cn/fcgggzy/" </w:instrText>
      </w:r>
      <w:r>
        <w:rPr>
          <w:rFonts w:hint="eastAsia" w:ascii="宋体" w:hAnsi="宋体" w:cs="宋体"/>
          <w:color w:val="auto"/>
          <w:szCs w:val="21"/>
          <w:highlight w:val="none"/>
          <w:lang w:eastAsia="zh-CN"/>
        </w:rPr>
        <w:fldChar w:fldCharType="separate"/>
      </w:r>
      <w:r>
        <w:rPr>
          <w:rFonts w:hint="eastAsia" w:ascii="宋体" w:hAnsi="宋体" w:cs="宋体"/>
          <w:color w:val="auto"/>
          <w:szCs w:val="21"/>
          <w:highlight w:val="none"/>
          <w:lang w:eastAsia="zh-CN"/>
        </w:rPr>
        <w:t>http://ggzy.jgswj.gxzf.gov.cn/fcgggzy/</w:t>
      </w:r>
      <w:r>
        <w:rPr>
          <w:rFonts w:hint="eastAsia" w:ascii="宋体" w:hAnsi="宋体" w:cs="宋体"/>
          <w:color w:val="auto"/>
          <w:szCs w:val="21"/>
          <w:highlight w:val="none"/>
          <w:lang w:eastAsia="zh-CN"/>
        </w:rPr>
        <w:fldChar w:fldCharType="end"/>
      </w:r>
      <w:r>
        <w:rPr>
          <w:rFonts w:hint="eastAsia" w:ascii="宋体" w:hAnsi="宋体" w:cs="宋体"/>
          <w:color w:val="auto"/>
          <w:szCs w:val="21"/>
          <w:highlight w:val="none"/>
          <w:lang w:eastAsia="zh-CN"/>
        </w:rPr>
        <w:t>）。</w:t>
      </w:r>
    </w:p>
    <w:bookmarkEnd w:id="29"/>
    <w:bookmarkEnd w:id="30"/>
    <w:p w14:paraId="5B0D1ED4">
      <w:pPr>
        <w:spacing w:line="360" w:lineRule="exact"/>
        <w:ind w:firstLine="424"/>
        <w:rPr>
          <w:rFonts w:hint="eastAsia" w:ascii="宋体" w:hAnsi="宋体" w:cs="宋体"/>
          <w:color w:val="auto"/>
          <w:szCs w:val="21"/>
          <w:highlight w:val="none"/>
        </w:rPr>
      </w:pPr>
      <w:bookmarkStart w:id="35" w:name="_Hlk37429674"/>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szCs w:val="21"/>
          <w:highlight w:val="none"/>
        </w:rPr>
        <w:t>本项目需要落实的政府采购政策</w:t>
      </w:r>
    </w:p>
    <w:p w14:paraId="08F6AADC">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（1）政府采购促进中小企业发展。</w:t>
      </w:r>
    </w:p>
    <w:p w14:paraId="5BE59A5C">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（2）政府采购支持采用本国产品的政策。</w:t>
      </w:r>
    </w:p>
    <w:p w14:paraId="13FC31F9">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（3）强制采购节能产品；优先采购节能产品、环境标志产品。</w:t>
      </w:r>
    </w:p>
    <w:p w14:paraId="6A73E432">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（4）政府采购促进残疾人就业政策。</w:t>
      </w:r>
    </w:p>
    <w:p w14:paraId="40083B5C">
      <w:pPr>
        <w:spacing w:line="36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（5）政府采购支持监狱企业发展。</w:t>
      </w:r>
    </w:p>
    <w:p w14:paraId="5BD7DD59">
      <w:pPr>
        <w:spacing w:line="360" w:lineRule="exact"/>
        <w:ind w:firstLine="424"/>
        <w:rPr>
          <w:rFonts w:hint="eastAsia" w:ascii="宋体" w:hAnsi="宋体"/>
          <w:color w:val="auto"/>
          <w:szCs w:val="21"/>
          <w:highlight w:val="none"/>
        </w:rPr>
      </w:pPr>
      <w:r>
        <w:rPr>
          <w:rFonts w:hint="eastAsia" w:ascii="宋体" w:hAnsi="宋体"/>
          <w:color w:val="auto"/>
          <w:szCs w:val="21"/>
          <w:highlight w:val="none"/>
        </w:rPr>
        <w:t>3.投标保证金：无。</w:t>
      </w:r>
    </w:p>
    <w:p w14:paraId="20D060B8">
      <w:pPr>
        <w:spacing w:line="360" w:lineRule="exact"/>
        <w:ind w:firstLine="424"/>
        <w:rPr>
          <w:rFonts w:hint="eastAsia" w:ascii="宋体" w:hAnsi="宋体"/>
          <w:color w:val="auto"/>
          <w:szCs w:val="21"/>
          <w:highlight w:val="none"/>
        </w:rPr>
      </w:pPr>
      <w:r>
        <w:rPr>
          <w:rFonts w:hint="eastAsia" w:ascii="宋体" w:hAnsi="宋体"/>
          <w:color w:val="auto"/>
          <w:szCs w:val="21"/>
          <w:highlight w:val="none"/>
        </w:rPr>
        <w:t>4.监督部门</w:t>
      </w:r>
    </w:p>
    <w:p w14:paraId="6954CD57">
      <w:pPr>
        <w:spacing w:line="360" w:lineRule="exact"/>
        <w:ind w:firstLine="424"/>
        <w:rPr>
          <w:rFonts w:hint="eastAsia" w:ascii="宋体" w:hAnsi="宋体"/>
          <w:color w:val="auto"/>
          <w:szCs w:val="21"/>
          <w:highlight w:val="none"/>
        </w:rPr>
      </w:pPr>
      <w:r>
        <w:rPr>
          <w:rFonts w:hint="eastAsia" w:ascii="宋体" w:hAnsi="宋体"/>
          <w:color w:val="auto"/>
          <w:szCs w:val="21"/>
          <w:highlight w:val="none"/>
        </w:rPr>
        <w:t>名称：防城港市财政局</w:t>
      </w:r>
    </w:p>
    <w:p w14:paraId="785EBBCC">
      <w:pPr>
        <w:spacing w:line="360" w:lineRule="exact"/>
        <w:ind w:firstLine="424"/>
        <w:rPr>
          <w:rFonts w:hint="eastAsia" w:ascii="宋体" w:hAnsi="宋体"/>
          <w:color w:val="auto"/>
          <w:szCs w:val="21"/>
          <w:highlight w:val="none"/>
        </w:rPr>
      </w:pPr>
      <w:r>
        <w:rPr>
          <w:rFonts w:hint="eastAsia" w:ascii="宋体" w:hAnsi="宋体"/>
          <w:color w:val="auto"/>
          <w:szCs w:val="21"/>
          <w:highlight w:val="none"/>
        </w:rPr>
        <w:t>电话：0770-6102323</w:t>
      </w:r>
    </w:p>
    <w:p w14:paraId="436FD971">
      <w:pPr>
        <w:widowControl/>
        <w:spacing w:line="360" w:lineRule="exact"/>
        <w:ind w:firstLine="420"/>
        <w:jc w:val="left"/>
        <w:rPr>
          <w:rFonts w:hint="eastAsia" w:ascii="宋体" w:hAnsi="宋体"/>
          <w:color w:val="auto"/>
          <w:szCs w:val="21"/>
          <w:highlight w:val="none"/>
        </w:rPr>
      </w:pPr>
      <w:r>
        <w:rPr>
          <w:rFonts w:hint="eastAsia" w:ascii="宋体" w:hAnsi="宋体" w:cs="宋体"/>
          <w:color w:val="auto"/>
          <w:szCs w:val="21"/>
          <w:highlight w:val="none"/>
        </w:rPr>
        <w:t>5.</w:t>
      </w:r>
      <w:bookmarkEnd w:id="31"/>
      <w:r>
        <w:rPr>
          <w:rFonts w:hint="eastAsia" w:ascii="宋体" w:hAnsi="宋体" w:cs="宋体"/>
          <w:color w:val="auto"/>
          <w:szCs w:val="21"/>
          <w:highlight w:val="none"/>
        </w:rPr>
        <w:t>投标人</w:t>
      </w:r>
      <w:r>
        <w:rPr>
          <w:rFonts w:hint="eastAsia" w:ascii="宋体" w:hAnsi="宋体"/>
          <w:color w:val="auto"/>
          <w:szCs w:val="21"/>
          <w:highlight w:val="none"/>
        </w:rPr>
        <w:t>投标注意事项</w:t>
      </w:r>
    </w:p>
    <w:p w14:paraId="59EF104F">
      <w:pPr>
        <w:widowControl/>
        <w:spacing w:line="360" w:lineRule="exact"/>
        <w:ind w:firstLine="420"/>
        <w:jc w:val="left"/>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（1）本项目为全流程电子化采购项目，通过广西政府采购云平台（https://www.gcy.zfcg.gxzf.gov.cn/）实行在线电子投标，投标人应先安装“</w:t>
      </w:r>
      <w:r>
        <w:rPr>
          <w:rFonts w:ascii="宋体" w:hAnsi="宋体"/>
          <w:color w:val="auto"/>
          <w:szCs w:val="21"/>
          <w:highlight w:val="none"/>
        </w:rPr>
        <w:t>广西政府采购云平台</w:t>
      </w:r>
      <w:r>
        <w:rPr>
          <w:rFonts w:hint="eastAsia" w:ascii="宋体" w:hAnsi="宋体"/>
          <w:color w:val="auto"/>
          <w:szCs w:val="21"/>
          <w:highlight w:val="none"/>
        </w:rPr>
        <w:t>电子投标客户端”（请自行前往</w:t>
      </w:r>
      <w:r>
        <w:rPr>
          <w:rFonts w:ascii="宋体" w:hAnsi="宋体"/>
          <w:color w:val="auto"/>
          <w:szCs w:val="21"/>
          <w:highlight w:val="none"/>
        </w:rPr>
        <w:t>广西政府采购云平台</w:t>
      </w:r>
      <w:r>
        <w:rPr>
          <w:rFonts w:hint="eastAsia" w:ascii="宋体" w:hAnsi="宋体"/>
          <w:color w:val="auto"/>
          <w:szCs w:val="21"/>
          <w:highlight w:val="none"/>
        </w:rPr>
        <w:t>进行下载），并按照本项目招标文件和</w:t>
      </w:r>
      <w:r>
        <w:rPr>
          <w:rFonts w:ascii="宋体" w:hAnsi="宋体"/>
          <w:color w:val="auto"/>
          <w:szCs w:val="21"/>
          <w:highlight w:val="none"/>
        </w:rPr>
        <w:t>广西政府采购云平台</w:t>
      </w:r>
      <w:r>
        <w:rPr>
          <w:rFonts w:hint="eastAsia" w:ascii="宋体" w:hAnsi="宋体"/>
          <w:color w:val="auto"/>
          <w:szCs w:val="21"/>
          <w:highlight w:val="none"/>
        </w:rPr>
        <w:t>的要求编制、加密后在投标截止时间前通过网络上传至广西政府采购云平台（加密的电子投标文件是指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投标人在广西政府采购云平台提交电子投标文件时，请填写参加远程开标活动经办人联系方式。</w:t>
      </w:r>
      <w:r>
        <w:rPr>
          <w:rFonts w:hint="eastAsia" w:ascii="宋体" w:hAnsi="宋体"/>
          <w:color w:val="auto"/>
          <w:szCs w:val="21"/>
          <w:highlight w:val="none"/>
        </w:rPr>
        <w:t>投标人登录广西政府采购网，依次进入“服务中心-项目采购-操作流程-电子招投标-</w:t>
      </w:r>
      <w:r>
        <w:rPr>
          <w:color w:val="auto"/>
          <w:highlight w:val="none"/>
        </w:rPr>
        <w:t>政府采购项目电子交易管理操作指南-</w:t>
      </w:r>
      <w:r>
        <w:rPr>
          <w:rFonts w:hint="eastAsia" w:ascii="宋体" w:hAnsi="宋体"/>
          <w:color w:val="auto"/>
          <w:szCs w:val="21"/>
          <w:highlight w:val="none"/>
        </w:rPr>
        <w:t>投标人”查看电子投标具体操作流程。</w:t>
      </w:r>
    </w:p>
    <w:p w14:paraId="66A0342F">
      <w:pPr>
        <w:widowControl/>
        <w:spacing w:line="360" w:lineRule="exact"/>
        <w:ind w:firstLine="420"/>
        <w:jc w:val="left"/>
        <w:rPr>
          <w:rFonts w:ascii="宋体" w:hAnsi="宋体"/>
          <w:color w:val="auto"/>
          <w:szCs w:val="21"/>
          <w:highlight w:val="none"/>
        </w:rPr>
      </w:pPr>
      <w:r>
        <w:rPr>
          <w:rFonts w:hint="eastAsia" w:ascii="宋体" w:hAnsi="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Pr>
          <w:rFonts w:hint="eastAsia" w:ascii="宋体" w:hAnsi="宋体" w:cs="宋体"/>
          <w:color w:val="auto"/>
          <w:szCs w:val="21"/>
          <w:highlight w:val="none"/>
        </w:rPr>
        <w:t>广西政府采购云平台，</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szCs w:val="21"/>
          <w:highlight w:val="none"/>
        </w:rPr>
        <w:t>如在操作过程中遇到问题或者需要技术支持，请致电客服热线：95763</w:t>
      </w:r>
      <w:r>
        <w:rPr>
          <w:rFonts w:hint="eastAsia" w:ascii="宋体" w:hAnsi="宋体"/>
          <w:bCs/>
          <w:color w:val="auto"/>
          <w:szCs w:val="21"/>
          <w:highlight w:val="none"/>
        </w:rPr>
        <w:t>或者0771-3381253</w:t>
      </w:r>
      <w:r>
        <w:rPr>
          <w:rFonts w:hint="eastAsia" w:ascii="宋体" w:hAnsi="宋体"/>
          <w:color w:val="auto"/>
          <w:szCs w:val="21"/>
          <w:highlight w:val="none"/>
        </w:rPr>
        <w:t>）。</w:t>
      </w:r>
    </w:p>
    <w:p w14:paraId="42426FBD">
      <w:pPr>
        <w:spacing w:line="36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（3）CA证书在线解密：投标人投标时，需凭制作投标文件时用来加密的有效数字证书（CA认证）登录广西政府采购云平台电子开标大厅现场按规定时间对加密的投标文件进行解密，否则后果自负。</w:t>
      </w:r>
    </w:p>
    <w:p w14:paraId="1D208E49">
      <w:pPr>
        <w:widowControl/>
        <w:spacing w:line="360" w:lineRule="exact"/>
        <w:ind w:firstLine="420"/>
        <w:jc w:val="left"/>
        <w:rPr>
          <w:rFonts w:hint="eastAsia" w:ascii="宋体" w:hAnsi="宋体"/>
          <w:bCs/>
          <w:color w:val="auto"/>
          <w:szCs w:val="21"/>
          <w:highlight w:val="none"/>
        </w:rPr>
      </w:pPr>
      <w:r>
        <w:rPr>
          <w:rFonts w:hint="eastAsia" w:ascii="宋体" w:hAnsi="宋体"/>
          <w:color w:val="auto"/>
          <w:szCs w:val="21"/>
          <w:highlight w:val="none"/>
        </w:rPr>
        <w:t>注：1）为确保网上操作合法、有效和安全，请投标人确保在电子投标过程中能够对相关数据电文进行加密和使用电子签章，妥善保管C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数字证书并使用有效的CA数字证书参与整个招标活动。2）</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40FBDAFE">
      <w:pPr>
        <w:spacing w:line="360" w:lineRule="exact"/>
        <w:ind w:firstLine="420"/>
        <w:rPr>
          <w:rFonts w:hint="eastAsia" w:ascii="黑体" w:hAnsi="黑体" w:eastAsia="黑体"/>
          <w:b/>
          <w:bCs/>
          <w:color w:val="auto"/>
          <w:sz w:val="24"/>
          <w:highlight w:val="none"/>
        </w:rPr>
      </w:pPr>
      <w:r>
        <w:rPr>
          <w:rFonts w:hint="eastAsia" w:ascii="宋体" w:hAnsi="宋体" w:cs="宋体"/>
          <w:color w:val="auto"/>
          <w:szCs w:val="21"/>
          <w:highlight w:val="none"/>
        </w:rPr>
        <w:t>6.评标说明：本项目为远程异地全流程电子评标。</w:t>
      </w:r>
    </w:p>
    <w:p w14:paraId="358FCF1C">
      <w:pPr>
        <w:spacing w:line="360" w:lineRule="exact"/>
        <w:rPr>
          <w:rFonts w:ascii="黑体" w:hAnsi="黑体" w:eastAsia="黑体"/>
          <w:b/>
          <w:bCs/>
          <w:color w:val="auto"/>
          <w:sz w:val="24"/>
          <w:highlight w:val="none"/>
        </w:rPr>
      </w:pPr>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32"/>
      <w:bookmarkEnd w:id="33"/>
      <w:bookmarkEnd w:id="34"/>
      <w:bookmarkEnd w:id="35"/>
    </w:p>
    <w:p w14:paraId="68E985D5">
      <w:pPr>
        <w:spacing w:line="360" w:lineRule="exact"/>
        <w:ind w:firstLine="424"/>
        <w:jc w:val="left"/>
        <w:rPr>
          <w:rFonts w:hint="eastAsia" w:ascii="宋体" w:hAnsi="宋体"/>
          <w:color w:val="auto"/>
          <w:szCs w:val="21"/>
          <w:highlight w:val="none"/>
        </w:rPr>
      </w:pPr>
      <w:r>
        <w:rPr>
          <w:rFonts w:hint="eastAsia" w:ascii="宋体" w:hAnsi="宋体" w:cs="宋体"/>
          <w:color w:val="auto"/>
          <w:szCs w:val="21"/>
          <w:highlight w:val="none"/>
        </w:rPr>
        <w:t>1.采购人信息</w:t>
      </w:r>
    </w:p>
    <w:p w14:paraId="2175C87D">
      <w:pPr>
        <w:spacing w:line="360" w:lineRule="exact"/>
        <w:ind w:firstLine="424"/>
        <w:jc w:val="left"/>
        <w:rPr>
          <w:rFonts w:hint="eastAsia" w:ascii="宋体" w:hAnsi="宋体" w:eastAsia="宋体" w:cs="宋体"/>
          <w:color w:val="auto"/>
          <w:szCs w:val="21"/>
          <w:highlight w:val="none"/>
          <w:lang w:eastAsia="zh-CN"/>
        </w:rPr>
      </w:pPr>
      <w:bookmarkStart w:id="36" w:name="_Toc28359086"/>
      <w:bookmarkStart w:id="37" w:name="_Toc28359009"/>
      <w:r>
        <w:rPr>
          <w:rFonts w:hint="eastAsia" w:ascii="宋体" w:hAnsi="宋体" w:cs="宋体"/>
          <w:color w:val="auto"/>
          <w:szCs w:val="21"/>
          <w:highlight w:val="none"/>
        </w:rPr>
        <w:t>名称：</w:t>
      </w:r>
      <w:r>
        <w:rPr>
          <w:rFonts w:hint="eastAsia" w:ascii="宋体" w:hAnsi="宋体"/>
          <w:color w:val="auto"/>
          <w:szCs w:val="21"/>
          <w:highlight w:val="none"/>
          <w:lang w:eastAsia="zh-CN"/>
        </w:rPr>
        <w:t>防城港市住房和城乡建设局</w:t>
      </w:r>
    </w:p>
    <w:p w14:paraId="1FFCBC5E">
      <w:pPr>
        <w:spacing w:line="360" w:lineRule="exact"/>
        <w:ind w:firstLine="424"/>
        <w:jc w:val="left"/>
        <w:rPr>
          <w:rFonts w:hint="eastAsia" w:ascii="宋体" w:hAnsi="宋体"/>
          <w:color w:val="auto"/>
          <w:szCs w:val="21"/>
          <w:highlight w:val="none"/>
        </w:rPr>
      </w:pPr>
      <w:r>
        <w:rPr>
          <w:rFonts w:hint="eastAsia" w:ascii="宋体" w:hAnsi="宋体" w:cs="宋体"/>
          <w:color w:val="auto"/>
          <w:szCs w:val="21"/>
          <w:highlight w:val="none"/>
        </w:rPr>
        <w:t>地址：</w:t>
      </w:r>
      <w:r>
        <w:rPr>
          <w:rFonts w:hint="eastAsia" w:ascii="宋体" w:hAnsi="宋体"/>
          <w:color w:val="auto"/>
          <w:szCs w:val="21"/>
          <w:highlight w:val="none"/>
        </w:rPr>
        <w:t>防城港市</w:t>
      </w:r>
      <w:r>
        <w:rPr>
          <w:rFonts w:hint="eastAsia" w:ascii="宋体" w:hAnsi="宋体"/>
          <w:color w:val="auto"/>
          <w:szCs w:val="21"/>
          <w:highlight w:val="none"/>
          <w:lang w:val="en-US" w:eastAsia="zh-CN"/>
        </w:rPr>
        <w:t>北部湾大道136</w:t>
      </w:r>
      <w:r>
        <w:rPr>
          <w:rFonts w:hint="eastAsia" w:ascii="宋体" w:hAnsi="宋体"/>
          <w:color w:val="auto"/>
          <w:szCs w:val="21"/>
          <w:highlight w:val="none"/>
        </w:rPr>
        <w:t>号</w:t>
      </w:r>
    </w:p>
    <w:p w14:paraId="5A4E2BAD">
      <w:pPr>
        <w:spacing w:line="360" w:lineRule="exact"/>
        <w:ind w:firstLine="424"/>
        <w:jc w:val="left"/>
        <w:rPr>
          <w:rFonts w:hint="eastAsia" w:ascii="宋体" w:hAnsi="宋体" w:cs="宋体"/>
          <w:color w:val="auto"/>
          <w:szCs w:val="21"/>
          <w:highlight w:val="none"/>
        </w:rPr>
      </w:pPr>
      <w:r>
        <w:rPr>
          <w:rFonts w:hint="eastAsia" w:ascii="宋体" w:hAnsi="宋体" w:cs="宋体"/>
          <w:color w:val="auto"/>
          <w:szCs w:val="21"/>
          <w:highlight w:val="none"/>
        </w:rPr>
        <w:t>联系人：吴泽宇 </w:t>
      </w:r>
    </w:p>
    <w:p w14:paraId="2D82B06F">
      <w:pPr>
        <w:spacing w:line="360" w:lineRule="exact"/>
        <w:ind w:firstLine="424"/>
        <w:jc w:val="left"/>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lang w:val="en-US" w:eastAsia="zh-CN"/>
        </w:rPr>
        <w:t>0770-2832600</w:t>
      </w:r>
      <w:r>
        <w:rPr>
          <w:rFonts w:hint="eastAsia" w:ascii="宋体" w:hAnsi="宋体" w:cs="宋体"/>
          <w:color w:val="auto"/>
          <w:szCs w:val="21"/>
          <w:highlight w:val="none"/>
        </w:rPr>
        <w:t> </w:t>
      </w:r>
    </w:p>
    <w:p w14:paraId="64859190">
      <w:pPr>
        <w:spacing w:line="360" w:lineRule="exact"/>
        <w:ind w:firstLine="424"/>
        <w:jc w:val="left"/>
        <w:rPr>
          <w:rFonts w:ascii="宋体" w:hAnsi="宋体"/>
          <w:color w:val="auto"/>
          <w:szCs w:val="21"/>
          <w:highlight w:val="none"/>
        </w:rPr>
      </w:pPr>
      <w:r>
        <w:rPr>
          <w:rFonts w:hint="eastAsia" w:ascii="宋体" w:hAnsi="宋体" w:cs="宋体"/>
          <w:color w:val="auto"/>
          <w:szCs w:val="21"/>
          <w:highlight w:val="none"/>
        </w:rPr>
        <w:t>2.采购代理机构信息</w:t>
      </w:r>
      <w:bookmarkEnd w:id="36"/>
      <w:bookmarkEnd w:id="37"/>
    </w:p>
    <w:p w14:paraId="38FB8716">
      <w:pPr>
        <w:spacing w:line="360" w:lineRule="exact"/>
        <w:ind w:firstLine="424"/>
        <w:rPr>
          <w:rFonts w:ascii="宋体" w:hAnsi="宋体"/>
          <w:color w:val="auto"/>
          <w:szCs w:val="21"/>
          <w:highlight w:val="none"/>
        </w:rPr>
      </w:pPr>
      <w:r>
        <w:rPr>
          <w:rFonts w:hint="eastAsia" w:ascii="宋体" w:hAnsi="宋体"/>
          <w:color w:val="auto"/>
          <w:szCs w:val="21"/>
          <w:highlight w:val="none"/>
        </w:rPr>
        <w:t>名称：</w:t>
      </w:r>
      <w:r>
        <w:rPr>
          <w:rFonts w:hint="eastAsia" w:ascii="宋体" w:hAnsi="宋体"/>
          <w:color w:val="auto"/>
          <w:highlight w:val="none"/>
        </w:rPr>
        <w:t>云之龙咨询集团有限公司</w:t>
      </w:r>
    </w:p>
    <w:p w14:paraId="6D435DD5">
      <w:pPr>
        <w:spacing w:line="360" w:lineRule="exact"/>
        <w:ind w:firstLine="424"/>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highlight w:val="none"/>
        </w:rPr>
        <w:t>防城港市港口区桃花湾广场海悦华府一单元12楼1203室</w:t>
      </w:r>
    </w:p>
    <w:p w14:paraId="009C6A62">
      <w:pPr>
        <w:spacing w:line="360" w:lineRule="exact"/>
        <w:ind w:firstLine="424"/>
        <w:rPr>
          <w:rFonts w:ascii="宋体" w:hAnsi="宋体"/>
          <w:color w:val="auto"/>
          <w:szCs w:val="21"/>
          <w:highlight w:val="none"/>
        </w:rPr>
      </w:pPr>
      <w:r>
        <w:rPr>
          <w:rFonts w:hint="eastAsia" w:ascii="宋体" w:hAnsi="宋体"/>
          <w:color w:val="auto"/>
          <w:szCs w:val="21"/>
          <w:highlight w:val="none"/>
        </w:rPr>
        <w:t>联系方式：</w:t>
      </w:r>
      <w:bookmarkStart w:id="38" w:name="_Toc28359010"/>
      <w:bookmarkStart w:id="39" w:name="_Toc28359087"/>
      <w:r>
        <w:rPr>
          <w:rFonts w:hint="eastAsia" w:ascii="宋体" w:hAnsi="宋体"/>
          <w:color w:val="auto"/>
          <w:highlight w:val="none"/>
        </w:rPr>
        <w:t>0770-2882899</w:t>
      </w:r>
    </w:p>
    <w:p w14:paraId="739C0F47">
      <w:pPr>
        <w:spacing w:line="360" w:lineRule="exact"/>
        <w:ind w:firstLine="424"/>
        <w:rPr>
          <w:rFonts w:ascii="宋体" w:hAnsi="宋体"/>
          <w:color w:val="auto"/>
          <w:szCs w:val="21"/>
          <w:highlight w:val="none"/>
          <w:u w:val="single"/>
        </w:rPr>
      </w:pPr>
      <w:r>
        <w:rPr>
          <w:rFonts w:hint="eastAsia" w:ascii="宋体" w:hAnsi="宋体" w:cs="宋体"/>
          <w:color w:val="auto"/>
          <w:szCs w:val="21"/>
          <w:highlight w:val="none"/>
        </w:rPr>
        <w:t>3.项目</w:t>
      </w:r>
      <w:r>
        <w:rPr>
          <w:rFonts w:ascii="宋体" w:hAnsi="宋体" w:cs="宋体"/>
          <w:color w:val="auto"/>
          <w:szCs w:val="21"/>
          <w:highlight w:val="none"/>
        </w:rPr>
        <w:t>联系方式</w:t>
      </w:r>
      <w:bookmarkEnd w:id="38"/>
      <w:bookmarkEnd w:id="39"/>
    </w:p>
    <w:p w14:paraId="0FD140DB">
      <w:pPr>
        <w:pStyle w:val="231"/>
        <w:spacing w:line="360" w:lineRule="exact"/>
        <w:ind w:firstLine="424"/>
        <w:rPr>
          <w:rFonts w:hAnsi="宋体"/>
          <w:color w:val="auto"/>
          <w:sz w:val="21"/>
          <w:highlight w:val="none"/>
        </w:rPr>
      </w:pPr>
      <w:r>
        <w:rPr>
          <w:rFonts w:hint="eastAsia" w:hAnsi="宋体"/>
          <w:color w:val="auto"/>
          <w:sz w:val="21"/>
          <w:highlight w:val="none"/>
        </w:rPr>
        <w:t>项目联系人：熊福玉、包文杰、陈义廷</w:t>
      </w:r>
    </w:p>
    <w:p w14:paraId="3084EA12">
      <w:pPr>
        <w:spacing w:line="360" w:lineRule="exact"/>
        <w:ind w:firstLine="420"/>
        <w:rPr>
          <w:rFonts w:hint="eastAsia" w:ascii="宋体" w:hAnsi="宋体"/>
          <w:color w:val="auto"/>
          <w:szCs w:val="21"/>
          <w:highlight w:val="none"/>
        </w:rPr>
      </w:pPr>
      <w:r>
        <w:rPr>
          <w:rFonts w:hint="eastAsia" w:ascii="宋体" w:hAnsi="宋体"/>
          <w:color w:val="auto"/>
          <w:szCs w:val="21"/>
          <w:highlight w:val="none"/>
        </w:rPr>
        <w:t>电话：0770-2882899</w:t>
      </w:r>
    </w:p>
    <w:p w14:paraId="0B8F9C2C">
      <w:pPr>
        <w:spacing w:line="360" w:lineRule="exact"/>
        <w:ind w:firstLine="420"/>
        <w:rPr>
          <w:rFonts w:hint="eastAsia" w:ascii="宋体" w:hAnsi="宋体"/>
          <w:color w:val="auto"/>
          <w:szCs w:val="21"/>
          <w:highlight w:val="none"/>
        </w:rPr>
      </w:pPr>
    </w:p>
    <w:p w14:paraId="3029C847">
      <w:pPr>
        <w:spacing w:line="360" w:lineRule="exact"/>
        <w:ind w:firstLine="420"/>
        <w:rPr>
          <w:rFonts w:hint="eastAsia" w:ascii="宋体" w:hAnsi="宋体"/>
          <w:color w:val="auto"/>
          <w:szCs w:val="21"/>
          <w:highlight w:val="none"/>
        </w:rPr>
      </w:pPr>
    </w:p>
    <w:p w14:paraId="55746EBE">
      <w:pPr>
        <w:widowControl/>
        <w:shd w:val="clear" w:color="auto" w:fill="FFFFFF"/>
        <w:spacing w:line="360" w:lineRule="exact"/>
        <w:ind w:firstLine="420"/>
        <w:jc w:val="right"/>
        <w:rPr>
          <w:rFonts w:hint="eastAsia" w:ascii="宋体" w:hAnsi="宋体" w:cs="宋体"/>
          <w:color w:val="auto"/>
          <w:szCs w:val="21"/>
          <w:highlight w:val="none"/>
        </w:rPr>
      </w:pPr>
    </w:p>
    <w:p w14:paraId="6EE4894A">
      <w:pPr>
        <w:widowControl/>
        <w:shd w:val="clear" w:color="auto" w:fill="FFFFFF"/>
        <w:spacing w:line="360" w:lineRule="exact"/>
        <w:jc w:val="both"/>
        <w:rPr>
          <w:rFonts w:hint="eastAsia" w:ascii="宋体" w:hAnsi="宋体" w:cs="宋体"/>
          <w:color w:val="auto"/>
          <w:szCs w:val="21"/>
          <w:highlight w:val="none"/>
        </w:rPr>
      </w:pPr>
    </w:p>
    <w:p w14:paraId="3FFF1761">
      <w:pPr>
        <w:widowControl/>
        <w:shd w:val="clear" w:color="auto" w:fill="FFFFFF"/>
        <w:spacing w:line="360" w:lineRule="exact"/>
        <w:jc w:val="both"/>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附件：采购需求</w:t>
      </w:r>
    </w:p>
    <w:p w14:paraId="54BACAA9">
      <w:pPr>
        <w:widowControl/>
        <w:shd w:val="clear" w:color="auto" w:fill="FFFFFF"/>
        <w:spacing w:line="360" w:lineRule="exact"/>
        <w:ind w:firstLine="420"/>
        <w:jc w:val="right"/>
        <w:rPr>
          <w:rFonts w:hint="eastAsia" w:ascii="宋体" w:hAnsi="宋体" w:cs="宋体"/>
          <w:color w:val="auto"/>
          <w:szCs w:val="21"/>
          <w:highlight w:val="none"/>
        </w:rPr>
      </w:pPr>
    </w:p>
    <w:p w14:paraId="0061B2E2">
      <w:pPr>
        <w:widowControl/>
        <w:shd w:val="clear" w:color="auto" w:fill="FFFFFF"/>
        <w:spacing w:line="360" w:lineRule="exact"/>
        <w:ind w:firstLine="420"/>
        <w:jc w:val="right"/>
        <w:rPr>
          <w:rFonts w:hint="eastAsia" w:ascii="宋体" w:hAnsi="宋体" w:cs="宋体"/>
          <w:color w:val="auto"/>
          <w:szCs w:val="21"/>
          <w:highlight w:val="none"/>
        </w:rPr>
      </w:pPr>
    </w:p>
    <w:p w14:paraId="6853CE29">
      <w:pPr>
        <w:widowControl/>
        <w:shd w:val="clear" w:color="auto" w:fill="FFFFFF"/>
        <w:spacing w:line="360" w:lineRule="exact"/>
        <w:ind w:firstLine="420"/>
        <w:jc w:val="right"/>
        <w:rPr>
          <w:rFonts w:hint="eastAsia" w:ascii="微软雅黑" w:hAnsi="微软雅黑" w:eastAsia="宋体" w:cs="宋体"/>
          <w:color w:val="auto"/>
          <w:sz w:val="19"/>
          <w:szCs w:val="19"/>
          <w:highlight w:val="none"/>
          <w:lang w:eastAsia="zh-CN"/>
        </w:rPr>
      </w:pPr>
      <w:r>
        <w:rPr>
          <w:rFonts w:hint="eastAsia" w:ascii="宋体" w:hAnsi="宋体" w:cs="宋体"/>
          <w:color w:val="auto"/>
          <w:szCs w:val="21"/>
          <w:highlight w:val="none"/>
        </w:rPr>
        <w:t>采购人：</w:t>
      </w:r>
      <w:r>
        <w:rPr>
          <w:rFonts w:hint="eastAsia" w:ascii="宋体" w:hAnsi="宋体" w:cs="宋体"/>
          <w:color w:val="auto"/>
          <w:szCs w:val="21"/>
          <w:highlight w:val="none"/>
          <w:lang w:eastAsia="zh-CN"/>
        </w:rPr>
        <w:t>防城港市住房和城乡建设局</w:t>
      </w:r>
    </w:p>
    <w:p w14:paraId="269FA975">
      <w:pPr>
        <w:widowControl/>
        <w:shd w:val="clear" w:color="auto" w:fill="FFFFFF"/>
        <w:spacing w:line="360" w:lineRule="exact"/>
        <w:ind w:firstLine="420"/>
        <w:jc w:val="right"/>
        <w:rPr>
          <w:rFonts w:hint="eastAsia" w:ascii="微软雅黑" w:hAnsi="微软雅黑" w:eastAsia="微软雅黑" w:cs="宋体"/>
          <w:color w:val="auto"/>
          <w:sz w:val="19"/>
          <w:szCs w:val="19"/>
          <w:highlight w:val="none"/>
        </w:rPr>
      </w:pPr>
      <w:r>
        <w:rPr>
          <w:rFonts w:hint="eastAsia" w:ascii="宋体" w:hAnsi="宋体" w:cs="宋体"/>
          <w:color w:val="auto"/>
          <w:szCs w:val="21"/>
          <w:highlight w:val="none"/>
        </w:rPr>
        <w:t>采购代理机构：云之龙咨询集团有限公司</w:t>
      </w:r>
    </w:p>
    <w:p w14:paraId="4CE3F903">
      <w:pPr>
        <w:widowControl/>
        <w:shd w:val="clear" w:color="auto" w:fill="FFFFFF"/>
        <w:spacing w:line="360" w:lineRule="exact"/>
        <w:ind w:firstLine="420"/>
        <w:jc w:val="right"/>
        <w:rPr>
          <w:rFonts w:hint="eastAsia" w:ascii="微软雅黑" w:hAnsi="微软雅黑" w:eastAsia="微软雅黑" w:cs="宋体"/>
          <w:color w:val="auto"/>
          <w:sz w:val="19"/>
          <w:szCs w:val="19"/>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p>
    <w:p w14:paraId="680011D0">
      <w:pPr>
        <w:pStyle w:val="194"/>
        <w:keepNext w:val="0"/>
        <w:keepLines w:val="0"/>
        <w:tabs>
          <w:tab w:val="left" w:pos="0"/>
          <w:tab w:val="left" w:pos="3165"/>
          <w:tab w:val="center" w:pos="4153"/>
        </w:tabs>
        <w:spacing w:before="0" w:after="0" w:line="360" w:lineRule="auto"/>
        <w:jc w:val="center"/>
        <w:rPr>
          <w:rFonts w:hint="eastAsia"/>
          <w:color w:val="auto"/>
          <w:highlight w:val="none"/>
        </w:rPr>
      </w:pPr>
      <w:r>
        <w:rPr>
          <w:rFonts w:ascii="仿宋_GB2312" w:hAnsi="宋体" w:eastAsia="仿宋_GB2312"/>
          <w:color w:val="auto"/>
          <w:sz w:val="24"/>
          <w:szCs w:val="20"/>
          <w:highlight w:val="none"/>
        </w:rPr>
        <w:br w:type="page" w:clear="all"/>
      </w:r>
      <w:bookmarkStart w:id="40" w:name="_Toc27979"/>
      <w:r>
        <w:rPr>
          <w:rFonts w:hint="eastAsia"/>
          <w:color w:val="auto"/>
          <w:highlight w:val="none"/>
        </w:rPr>
        <w:t>第二章  采购需求</w:t>
      </w:r>
      <w:bookmarkEnd w:id="40"/>
    </w:p>
    <w:p w14:paraId="3F1A33D9">
      <w:pPr>
        <w:spacing w:line="360" w:lineRule="auto"/>
        <w:jc w:val="left"/>
        <w:rPr>
          <w:rFonts w:hint="eastAsia" w:ascii="宋体" w:hAnsi="宋体" w:cs="宋体"/>
          <w:color w:val="auto"/>
          <w:szCs w:val="21"/>
          <w:highlight w:val="none"/>
        </w:rPr>
      </w:pPr>
      <w:bookmarkStart w:id="41" w:name="_Toc254970490"/>
      <w:bookmarkStart w:id="42" w:name="_Toc254970631"/>
    </w:p>
    <w:p w14:paraId="52D56C70">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1ECAAA7F">
      <w:pPr>
        <w:keepNext w:val="0"/>
        <w:keepLines w:val="0"/>
        <w:pageBreakBefore w:val="0"/>
        <w:widowControl/>
        <w:suppressLineNumbers w:val="0"/>
        <w:bidi w:val="0"/>
        <w:spacing w:line="360" w:lineRule="exact"/>
        <w:ind w:firstLine="420"/>
        <w:jc w:val="left"/>
        <w:rPr>
          <w:color w:val="auto"/>
          <w:highlight w:val="none"/>
        </w:rPr>
      </w:pPr>
      <w:r>
        <w:rPr>
          <w:rFonts w:hint="eastAsia" w:ascii="宋体" w:hAnsi="宋体" w:eastAsia="宋体" w:cs="宋体"/>
          <w:color w:val="auto"/>
          <w:sz w:val="21"/>
          <w:szCs w:val="21"/>
          <w:highlight w:val="none"/>
          <w:lang w:val="en-US" w:eastAsia="zh-CN" w:bidi="ar"/>
        </w:rPr>
        <w:t xml:space="preserve">1.为落实政府采购政策需满足的要求 </w:t>
      </w:r>
    </w:p>
    <w:p w14:paraId="798D3C62">
      <w:pPr>
        <w:keepNext w:val="0"/>
        <w:keepLines w:val="0"/>
        <w:pageBreakBefore w:val="0"/>
        <w:widowControl/>
        <w:suppressLineNumbers w:val="0"/>
        <w:bidi w:val="0"/>
        <w:spacing w:line="360" w:lineRule="exact"/>
        <w:ind w:firstLine="420"/>
        <w:jc w:val="left"/>
        <w:rPr>
          <w:color w:val="auto"/>
          <w:highlight w:val="none"/>
        </w:rPr>
      </w:pPr>
      <w:r>
        <w:rPr>
          <w:rFonts w:hint="eastAsia" w:ascii="宋体" w:hAnsi="宋体" w:eastAsia="宋体" w:cs="宋体"/>
          <w:color w:val="auto"/>
          <w:sz w:val="21"/>
          <w:szCs w:val="21"/>
          <w:highlight w:val="none"/>
          <w:lang w:val="en-US" w:eastAsia="zh-CN" w:bidi="ar"/>
        </w:rPr>
        <w:t xml:space="preserve">（1）本招标文件（以下或简称为“采购文件”）所称中小企业必须符合《政府采购促进中 </w:t>
      </w:r>
    </w:p>
    <w:p w14:paraId="6C9E8472">
      <w:pPr>
        <w:keepNext w:val="0"/>
        <w:keepLines w:val="0"/>
        <w:pageBreakBefore w:val="0"/>
        <w:widowControl/>
        <w:suppressLineNumbers w:val="0"/>
        <w:bidi w:val="0"/>
        <w:spacing w:line="360" w:lineRule="exact"/>
        <w:jc w:val="left"/>
        <w:rPr>
          <w:color w:val="auto"/>
          <w:highlight w:val="none"/>
        </w:rPr>
      </w:pPr>
      <w:r>
        <w:rPr>
          <w:rFonts w:hint="eastAsia" w:ascii="宋体" w:hAnsi="宋体" w:eastAsia="宋体" w:cs="宋体"/>
          <w:color w:val="auto"/>
          <w:sz w:val="21"/>
          <w:szCs w:val="21"/>
          <w:highlight w:val="none"/>
          <w:lang w:val="en-US" w:eastAsia="zh-CN" w:bidi="ar"/>
        </w:rPr>
        <w:t xml:space="preserve">小企业发展管理办法》（财库〔2020〕46 号）的规定。 </w:t>
      </w:r>
    </w:p>
    <w:p w14:paraId="645B2D9D">
      <w:pPr>
        <w:keepNext w:val="0"/>
        <w:keepLines w:val="0"/>
        <w:pageBreakBefore w:val="0"/>
        <w:widowControl/>
        <w:suppressLineNumbers w:val="0"/>
        <w:bidi w:val="0"/>
        <w:spacing w:line="360" w:lineRule="exact"/>
        <w:ind w:firstLine="420"/>
        <w:jc w:val="left"/>
        <w:rPr>
          <w:color w:val="auto"/>
          <w:highlight w:val="none"/>
        </w:rPr>
      </w:pPr>
      <w:r>
        <w:rPr>
          <w:rFonts w:hint="eastAsia" w:ascii="宋体" w:hAnsi="宋体" w:eastAsia="宋体" w:cs="宋体"/>
          <w:color w:val="auto"/>
          <w:sz w:val="21"/>
          <w:szCs w:val="21"/>
          <w:highlight w:val="none"/>
          <w:lang w:val="en-US" w:eastAsia="zh-CN" w:bidi="ar"/>
        </w:rPr>
        <w:t xml:space="preserve">（2）本国产品标准的货物具体是指《政府采购品目分类目录》中的货物类产品，但不包括 </w:t>
      </w:r>
    </w:p>
    <w:p w14:paraId="54C970FE">
      <w:pPr>
        <w:keepNext w:val="0"/>
        <w:keepLines w:val="0"/>
        <w:pageBreakBefore w:val="0"/>
        <w:widowControl/>
        <w:suppressLineNumbers w:val="0"/>
        <w:bidi w:val="0"/>
        <w:spacing w:line="360" w:lineRule="exact"/>
        <w:jc w:val="left"/>
        <w:rPr>
          <w:color w:val="auto"/>
          <w:highlight w:val="none"/>
        </w:rPr>
      </w:pPr>
      <w:r>
        <w:rPr>
          <w:rFonts w:hint="eastAsia" w:ascii="宋体" w:hAnsi="宋体" w:eastAsia="宋体" w:cs="宋体"/>
          <w:color w:val="auto"/>
          <w:sz w:val="21"/>
          <w:szCs w:val="21"/>
          <w:highlight w:val="none"/>
          <w:lang w:val="en-US" w:eastAsia="zh-CN" w:bidi="ar"/>
        </w:rPr>
        <w:t xml:space="preserve">其中的房屋和构筑物，文物和陈列品，图书和档案，特种动植物，农林牧渔业产品，矿与矿物， 电力、城市燃气、蒸汽和热水、水，食品、饮料和烟草原料，无形资产。 </w:t>
      </w:r>
    </w:p>
    <w:p w14:paraId="03875F98">
      <w:pPr>
        <w:keepNext w:val="0"/>
        <w:keepLines w:val="0"/>
        <w:pageBreakBefore w:val="0"/>
        <w:widowControl/>
        <w:suppressLineNumbers w:val="0"/>
        <w:bidi w:val="0"/>
        <w:spacing w:line="360" w:lineRule="exact"/>
        <w:ind w:firstLine="420"/>
        <w:jc w:val="left"/>
        <w:rPr>
          <w:color w:val="auto"/>
          <w:highlight w:val="none"/>
        </w:rPr>
      </w:pPr>
      <w:r>
        <w:rPr>
          <w:rFonts w:hint="eastAsia" w:ascii="宋体" w:hAnsi="宋体" w:eastAsia="宋体" w:cs="宋体"/>
          <w:color w:val="auto"/>
          <w:sz w:val="21"/>
          <w:szCs w:val="21"/>
          <w:highlight w:val="none"/>
          <w:lang w:val="en-US" w:eastAsia="zh-CN" w:bidi="ar"/>
        </w:rPr>
        <w:t>2.“实质性要求”是指招标文件中已经指明不满足则投标无效的条款</w:t>
      </w:r>
      <w:r>
        <w:rPr>
          <w:rFonts w:hint="eastAsia" w:ascii="宋体" w:hAnsi="宋体"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bidi="ar"/>
        </w:rPr>
        <w:t xml:space="preserve">或者不能负偏离的条款，或者采购需求中带“▲”的条款。 </w:t>
      </w:r>
    </w:p>
    <w:p w14:paraId="32202BF0">
      <w:pPr>
        <w:keepNext w:val="0"/>
        <w:keepLines w:val="0"/>
        <w:pageBreakBefore w:val="0"/>
        <w:widowControl/>
        <w:suppressLineNumbers w:val="0"/>
        <w:bidi w:val="0"/>
        <w:spacing w:line="360" w:lineRule="exact"/>
        <w:ind w:firstLine="422"/>
        <w:jc w:val="left"/>
        <w:rPr>
          <w:color w:val="auto"/>
          <w:highlight w:val="none"/>
        </w:rPr>
      </w:pPr>
      <w:r>
        <w:rPr>
          <w:rFonts w:hint="eastAsia" w:ascii="宋体" w:hAnsi="宋体" w:eastAsia="宋体" w:cs="宋体"/>
          <w:b/>
          <w:bCs/>
          <w:color w:val="auto"/>
          <w:sz w:val="21"/>
          <w:szCs w:val="21"/>
          <w:highlight w:val="none"/>
          <w:lang w:val="en-US" w:eastAsia="zh-CN" w:bidi="ar"/>
        </w:rPr>
        <w:t xml:space="preserve">3.本项目“技术要求”及“商务要求”凡标注“▲”的条款或要求，投标人不响应或不满足的，投标文件作无效处理；其他标注“▲”的事项或说明，投标人投标文件不符合要求的作无效处理。 </w:t>
      </w:r>
    </w:p>
    <w:p w14:paraId="6D5FCEB6">
      <w:pPr>
        <w:keepNext w:val="0"/>
        <w:keepLines w:val="0"/>
        <w:pageBreakBefore w:val="0"/>
        <w:widowControl/>
        <w:suppressLineNumbers w:val="0"/>
        <w:bidi w:val="0"/>
        <w:spacing w:line="360" w:lineRule="exact"/>
        <w:ind w:firstLine="420"/>
        <w:jc w:val="left"/>
        <w:rPr>
          <w:color w:val="auto"/>
          <w:highlight w:val="none"/>
        </w:rPr>
      </w:pPr>
      <w:r>
        <w:rPr>
          <w:rFonts w:hint="eastAsia" w:ascii="宋体" w:hAnsi="宋体" w:eastAsia="宋体" w:cs="宋体"/>
          <w:color w:val="auto"/>
          <w:sz w:val="21"/>
          <w:szCs w:val="21"/>
          <w:highlight w:val="none"/>
          <w:lang w:val="en-US" w:eastAsia="zh-CN" w:bidi="ar"/>
        </w:rPr>
        <w:t xml:space="preserve">4.投标人必须自行为其投标产品或技术服务侵犯他人的知识产权或者专利成果的行为承担 </w:t>
      </w:r>
    </w:p>
    <w:p w14:paraId="124586AE">
      <w:pPr>
        <w:keepNext w:val="0"/>
        <w:keepLines w:val="0"/>
        <w:pageBreakBefore w:val="0"/>
        <w:widowControl/>
        <w:suppressLineNumbers w:val="0"/>
        <w:bidi w:val="0"/>
        <w:spacing w:line="360" w:lineRule="exact"/>
        <w:jc w:val="left"/>
        <w:rPr>
          <w:color w:val="auto"/>
          <w:highlight w:val="none"/>
        </w:rPr>
      </w:pPr>
      <w:r>
        <w:rPr>
          <w:rFonts w:hint="eastAsia" w:ascii="宋体" w:hAnsi="宋体" w:eastAsia="宋体" w:cs="宋体"/>
          <w:color w:val="auto"/>
          <w:sz w:val="21"/>
          <w:szCs w:val="21"/>
          <w:highlight w:val="none"/>
          <w:lang w:val="en-US" w:eastAsia="zh-CN" w:bidi="ar"/>
        </w:rPr>
        <w:t xml:space="preserve">相应法律责任。 </w:t>
      </w:r>
    </w:p>
    <w:p w14:paraId="26E1440D">
      <w:pPr>
        <w:keepNext w:val="0"/>
        <w:keepLines w:val="0"/>
        <w:pageBreakBefore w:val="0"/>
        <w:widowControl/>
        <w:suppressLineNumbers w:val="0"/>
        <w:bidi w:val="0"/>
        <w:spacing w:line="360" w:lineRule="exact"/>
        <w:ind w:firstLine="420"/>
        <w:jc w:val="left"/>
        <w:rPr>
          <w:color w:val="auto"/>
          <w:highlight w:val="none"/>
        </w:rPr>
      </w:pPr>
      <w:r>
        <w:rPr>
          <w:rFonts w:hint="eastAsia" w:ascii="宋体" w:hAnsi="宋体" w:eastAsia="宋体" w:cs="宋体"/>
          <w:color w:val="auto"/>
          <w:sz w:val="21"/>
          <w:szCs w:val="21"/>
          <w:highlight w:val="none"/>
          <w:lang w:val="en-US" w:eastAsia="zh-CN" w:bidi="ar"/>
        </w:rPr>
        <w:t xml:space="preserve">5.所属行业依照《中小企业划型标准规定》（工信部联企业〔2011〕300 号）及《国民经济行业分类》（GB/T4754-2017）的有关规定执行。 </w:t>
      </w:r>
    </w:p>
    <w:p w14:paraId="331F5660">
      <w:pPr>
        <w:spacing w:line="400" w:lineRule="exact"/>
        <w:ind w:firstLine="310"/>
        <w:jc w:val="left"/>
        <w:rPr>
          <w:rFonts w:hint="eastAsia" w:ascii="宋体" w:hAnsi="宋体"/>
          <w:color w:val="auto"/>
          <w:szCs w:val="21"/>
          <w:highlight w:val="none"/>
        </w:rPr>
      </w:pPr>
      <w:r>
        <w:rPr>
          <w:rFonts w:hint="eastAsia" w:ascii="宋体" w:hAnsi="宋体"/>
          <w:b/>
          <w:color w:val="auto"/>
          <w:szCs w:val="21"/>
          <w:highlight w:val="none"/>
        </w:rPr>
        <w:t>采购预算：</w:t>
      </w:r>
      <w:r>
        <w:rPr>
          <w:rFonts w:hint="eastAsia" w:ascii="Segoe UI" w:hAnsi="Segoe UI" w:cs="Segoe UI"/>
          <w:b/>
          <w:bCs/>
          <w:i w:val="0"/>
          <w:iCs w:val="0"/>
          <w:caps w:val="0"/>
          <w:color w:val="auto"/>
          <w:spacing w:val="0"/>
          <w:sz w:val="21"/>
          <w:szCs w:val="21"/>
          <w:highlight w:val="none"/>
          <w:shd w:val="clear" w:color="auto" w:fill="FFFFFF"/>
          <w:lang w:val="en-US" w:eastAsia="zh-CN"/>
        </w:rPr>
        <w:t>2520</w:t>
      </w:r>
      <w:r>
        <w:rPr>
          <w:rFonts w:ascii="Segoe UI" w:hAnsi="Segoe UI" w:eastAsia="Segoe UI" w:cs="Segoe UI"/>
          <w:b/>
          <w:bCs/>
          <w:i w:val="0"/>
          <w:iCs w:val="0"/>
          <w:caps w:val="0"/>
          <w:color w:val="auto"/>
          <w:spacing w:val="0"/>
          <w:sz w:val="21"/>
          <w:szCs w:val="21"/>
          <w:highlight w:val="none"/>
          <w:shd w:val="clear" w:color="auto" w:fill="FFFFFF"/>
        </w:rPr>
        <w:t>万元</w:t>
      </w:r>
    </w:p>
    <w:bookmarkEnd w:id="41"/>
    <w:bookmarkEnd w:id="42"/>
    <w:tbl>
      <w:tblPr>
        <w:tblStyle w:val="30"/>
        <w:tblW w:w="92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874"/>
        <w:gridCol w:w="625"/>
        <w:gridCol w:w="41"/>
        <w:gridCol w:w="687"/>
        <w:gridCol w:w="6369"/>
      </w:tblGrid>
      <w:tr w14:paraId="282FF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251" w:type="dxa"/>
            <w:gridSpan w:val="6"/>
            <w:tcBorders>
              <w:top w:val="single" w:color="000000" w:sz="4" w:space="0"/>
              <w:left w:val="single" w:color="000000" w:sz="4" w:space="0"/>
              <w:bottom w:val="single" w:color="000000" w:sz="4" w:space="0"/>
              <w:right w:val="single" w:color="000000" w:sz="4" w:space="0"/>
            </w:tcBorders>
            <w:noWrap w:val="0"/>
            <w:vAlign w:val="center"/>
          </w:tcPr>
          <w:p w14:paraId="5BB9B7D7">
            <w:pPr>
              <w:pStyle w:val="218"/>
              <w:rPr>
                <w:rFonts w:hint="eastAsia" w:ascii="宋体" w:hAnsi="宋体" w:cs="宋体"/>
                <w:color w:val="auto"/>
                <w:szCs w:val="21"/>
                <w:highlight w:val="none"/>
              </w:rPr>
            </w:pPr>
            <w:r>
              <w:rPr>
                <w:rFonts w:hint="eastAsia" w:ascii="宋体" w:hAnsi="宋体" w:cs="宋体"/>
                <w:bCs/>
                <w:color w:val="auto"/>
                <w:sz w:val="24"/>
                <w:szCs w:val="24"/>
                <w:highlight w:val="none"/>
              </w:rPr>
              <w:t>▲</w:t>
            </w:r>
            <w:r>
              <w:rPr>
                <w:rFonts w:hint="eastAsia"/>
                <w:b/>
                <w:bCs/>
                <w:color w:val="auto"/>
                <w:highlight w:val="none"/>
                <w:lang w:val="en-US" w:eastAsia="zh-CN"/>
              </w:rPr>
              <w:t>第一部分：技术要求</w:t>
            </w:r>
          </w:p>
        </w:tc>
      </w:tr>
      <w:tr w14:paraId="0F7C2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75C8891">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782D63D1">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标的的名称</w:t>
            </w:r>
          </w:p>
        </w:tc>
        <w:tc>
          <w:tcPr>
            <w:tcW w:w="666" w:type="dxa"/>
            <w:gridSpan w:val="2"/>
            <w:tcBorders>
              <w:top w:val="single" w:color="000000" w:sz="4" w:space="0"/>
              <w:left w:val="single" w:color="000000" w:sz="4" w:space="0"/>
              <w:bottom w:val="single" w:color="000000" w:sz="4" w:space="0"/>
              <w:right w:val="single" w:color="000000" w:sz="4" w:space="0"/>
            </w:tcBorders>
            <w:noWrap w:val="0"/>
            <w:vAlign w:val="center"/>
          </w:tcPr>
          <w:p w14:paraId="44AC7C32">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数量及单位</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37AFE1B6">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所属</w:t>
            </w:r>
          </w:p>
          <w:p w14:paraId="10AFC23B">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行业</w:t>
            </w:r>
          </w:p>
        </w:tc>
        <w:tc>
          <w:tcPr>
            <w:tcW w:w="6369" w:type="dxa"/>
            <w:tcBorders>
              <w:top w:val="single" w:color="000000" w:sz="4" w:space="0"/>
              <w:left w:val="single" w:color="000000" w:sz="4" w:space="0"/>
              <w:bottom w:val="single" w:color="000000" w:sz="4" w:space="0"/>
              <w:right w:val="single" w:color="000000" w:sz="4" w:space="0"/>
            </w:tcBorders>
            <w:noWrap w:val="0"/>
            <w:vAlign w:val="center"/>
          </w:tcPr>
          <w:p w14:paraId="1AB59705">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服务内容及要求</w:t>
            </w:r>
          </w:p>
        </w:tc>
      </w:tr>
      <w:tr w14:paraId="5F9BB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3E931AD">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080FB438">
            <w:pPr>
              <w:tabs>
                <w:tab w:val="left" w:pos="180"/>
                <w:tab w:val="left" w:pos="1620"/>
              </w:tabs>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2026-2028年市管市政设施维修养护服务采购项目</w:t>
            </w:r>
          </w:p>
        </w:tc>
        <w:tc>
          <w:tcPr>
            <w:tcW w:w="666" w:type="dxa"/>
            <w:gridSpan w:val="2"/>
            <w:tcBorders>
              <w:top w:val="single" w:color="000000" w:sz="4" w:space="0"/>
              <w:left w:val="single" w:color="000000" w:sz="4" w:space="0"/>
              <w:bottom w:val="single" w:color="000000" w:sz="4" w:space="0"/>
              <w:right w:val="single" w:color="000000" w:sz="4" w:space="0"/>
            </w:tcBorders>
            <w:noWrap w:val="0"/>
            <w:vAlign w:val="center"/>
          </w:tcPr>
          <w:p w14:paraId="15CB9130">
            <w:pPr>
              <w:tabs>
                <w:tab w:val="left" w:pos="180"/>
                <w:tab w:val="left" w:pos="1620"/>
              </w:tabs>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3年</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281D9FB4">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建筑业</w:t>
            </w:r>
          </w:p>
        </w:tc>
        <w:tc>
          <w:tcPr>
            <w:tcW w:w="6369" w:type="dxa"/>
            <w:tcBorders>
              <w:top w:val="single" w:color="000000" w:sz="4" w:space="0"/>
              <w:left w:val="single" w:color="000000" w:sz="4" w:space="0"/>
              <w:bottom w:val="single" w:color="000000" w:sz="4" w:space="0"/>
              <w:right w:val="single" w:color="000000" w:sz="4" w:space="0"/>
            </w:tcBorders>
            <w:noWrap w:val="0"/>
            <w:vAlign w:val="center"/>
          </w:tcPr>
          <w:p w14:paraId="557EBAB8">
            <w:pPr>
              <w:spacing w:line="360" w:lineRule="auto"/>
              <w:ind w:firstLine="420"/>
              <w:rPr>
                <w:rFonts w:hint="eastAsia" w:ascii="宋体" w:hAnsi="宋体" w:cs="宋体"/>
                <w:b/>
                <w:bCs/>
                <w:color w:val="auto"/>
                <w:szCs w:val="20"/>
                <w:highlight w:val="none"/>
              </w:rPr>
            </w:pPr>
            <w:r>
              <w:rPr>
                <w:rFonts w:hint="eastAsia" w:ascii="宋体" w:hAnsi="宋体" w:cs="宋体"/>
                <w:b/>
                <w:bCs/>
                <w:color w:val="auto"/>
                <w:szCs w:val="20"/>
                <w:highlight w:val="none"/>
              </w:rPr>
              <w:t>（一）项目概况：</w:t>
            </w:r>
          </w:p>
          <w:p w14:paraId="48B0743B">
            <w:pPr>
              <w:spacing w:line="360" w:lineRule="auto"/>
              <w:ind w:firstLine="420"/>
              <w:rPr>
                <w:rFonts w:hint="eastAsia" w:ascii="宋体" w:hAnsi="宋体"/>
                <w:b/>
                <w:bCs/>
                <w:color w:val="auto"/>
                <w:szCs w:val="21"/>
                <w:highlight w:val="none"/>
              </w:rPr>
            </w:pPr>
            <w:r>
              <w:rPr>
                <w:rFonts w:hint="eastAsia" w:ascii="宋体" w:hAnsi="宋体" w:cs="宋体"/>
                <w:b/>
                <w:bCs/>
                <w:color w:val="auto"/>
                <w:szCs w:val="20"/>
                <w:highlight w:val="none"/>
              </w:rPr>
              <w:t>1.项目名称：2026-2028年市管市政设施维修养护服务采购项目</w:t>
            </w:r>
          </w:p>
          <w:p w14:paraId="4CAD6E5D">
            <w:pPr>
              <w:spacing w:line="360" w:lineRule="auto"/>
              <w:ind w:firstLine="420"/>
              <w:rPr>
                <w:rFonts w:hint="eastAsia" w:ascii="宋体" w:hAnsi="宋体"/>
                <w:b/>
                <w:bCs/>
                <w:color w:val="auto"/>
                <w:szCs w:val="21"/>
                <w:highlight w:val="none"/>
              </w:rPr>
            </w:pPr>
            <w:r>
              <w:rPr>
                <w:rFonts w:hint="eastAsia" w:ascii="宋体" w:hAnsi="宋体"/>
                <w:b/>
                <w:bCs/>
                <w:color w:val="auto"/>
                <w:szCs w:val="21"/>
                <w:highlight w:val="none"/>
              </w:rPr>
              <w:t>2.预算金额：</w:t>
            </w:r>
            <w:r>
              <w:rPr>
                <w:rFonts w:hint="eastAsia" w:ascii="宋体" w:hAnsi="宋体"/>
                <w:b/>
                <w:bCs/>
                <w:color w:val="auto"/>
                <w:szCs w:val="21"/>
                <w:highlight w:val="none"/>
                <w:lang w:val="en-US" w:eastAsia="zh-CN"/>
              </w:rPr>
              <w:t>2520</w:t>
            </w:r>
            <w:r>
              <w:rPr>
                <w:rFonts w:hint="eastAsia" w:ascii="宋体" w:hAnsi="宋体"/>
                <w:b/>
                <w:bCs/>
                <w:color w:val="auto"/>
                <w:szCs w:val="21"/>
                <w:highlight w:val="none"/>
              </w:rPr>
              <w:t>万元。</w:t>
            </w:r>
          </w:p>
          <w:p w14:paraId="39726195">
            <w:pPr>
              <w:spacing w:line="360" w:lineRule="auto"/>
              <w:ind w:firstLine="420"/>
              <w:rPr>
                <w:rFonts w:hint="eastAsia" w:ascii="宋体" w:hAnsi="宋体"/>
                <w:b/>
                <w:bCs/>
                <w:color w:val="auto"/>
                <w:szCs w:val="21"/>
                <w:highlight w:val="none"/>
              </w:rPr>
            </w:pPr>
            <w:r>
              <w:rPr>
                <w:rFonts w:hint="eastAsia" w:ascii="宋体" w:hAnsi="宋体"/>
                <w:b/>
                <w:bCs/>
                <w:color w:val="auto"/>
                <w:szCs w:val="21"/>
                <w:highlight w:val="none"/>
              </w:rPr>
              <w:t>3.采购内容：通过公开招标，择优选择1家供应商开展</w:t>
            </w:r>
            <w:r>
              <w:rPr>
                <w:rFonts w:hint="eastAsia" w:ascii="宋体" w:hAnsi="宋体"/>
                <w:b/>
                <w:bCs/>
                <w:color w:val="auto"/>
                <w:szCs w:val="21"/>
                <w:highlight w:val="none"/>
                <w:lang w:eastAsia="zh-CN"/>
              </w:rPr>
              <w:t>2026-2028年市管市政设施维修养护服务</w:t>
            </w:r>
            <w:r>
              <w:rPr>
                <w:rFonts w:hint="eastAsia" w:ascii="宋体" w:hAnsi="宋体"/>
                <w:b/>
                <w:bCs/>
                <w:color w:val="auto"/>
                <w:szCs w:val="21"/>
                <w:highlight w:val="none"/>
              </w:rPr>
              <w:t>。</w:t>
            </w:r>
          </w:p>
          <w:p w14:paraId="35E37B91">
            <w:pPr>
              <w:spacing w:line="360" w:lineRule="auto"/>
              <w:ind w:firstLine="420"/>
              <w:rPr>
                <w:rFonts w:hint="eastAsia" w:ascii="宋体" w:hAnsi="宋体"/>
                <w:b/>
                <w:bCs/>
                <w:color w:val="auto"/>
                <w:szCs w:val="21"/>
                <w:highlight w:val="none"/>
              </w:rPr>
            </w:pPr>
            <w:r>
              <w:rPr>
                <w:rFonts w:hint="eastAsia" w:ascii="宋体" w:hAnsi="宋体"/>
                <w:b/>
                <w:bCs/>
                <w:color w:val="auto"/>
                <w:szCs w:val="21"/>
                <w:highlight w:val="none"/>
              </w:rPr>
              <w:t>4.服务工作内容：市管市政设施维修养护服务工作内容包括对</w:t>
            </w:r>
            <w:r>
              <w:rPr>
                <w:rFonts w:hint="eastAsia" w:ascii="宋体" w:hAnsi="宋体"/>
                <w:b/>
                <w:bCs/>
                <w:color w:val="auto"/>
                <w:szCs w:val="21"/>
                <w:highlight w:val="none"/>
                <w:lang w:eastAsia="zh-CN"/>
              </w:rPr>
              <w:t>文昌大道以南（含）、北部湾大道以西（含）、伏波大道以东（不含）、西湾环海大道以东（含）、西湾跨海大桥以北（含）</w:t>
            </w:r>
            <w:r>
              <w:rPr>
                <w:rFonts w:hint="eastAsia" w:ascii="宋体" w:hAnsi="宋体"/>
                <w:b/>
                <w:bCs/>
                <w:color w:val="auto"/>
                <w:szCs w:val="21"/>
                <w:highlight w:val="none"/>
              </w:rPr>
              <w:t>的市管道路的路面、排水、桥梁的日常维修养护工作，防汛排涝、路面塌陷等市政设施突发事件的应急处置工作，市政设施巡查、重大活动期间的市政设施应急保障工作等。</w:t>
            </w:r>
          </w:p>
          <w:p w14:paraId="46D43D16">
            <w:pPr>
              <w:spacing w:line="360" w:lineRule="auto"/>
              <w:ind w:firstLine="420"/>
              <w:rPr>
                <w:rFonts w:hint="eastAsia" w:ascii="宋体" w:hAnsi="宋体"/>
                <w:b/>
                <w:bCs/>
                <w:color w:val="auto"/>
                <w:szCs w:val="21"/>
                <w:highlight w:val="none"/>
              </w:rPr>
            </w:pPr>
            <w:r>
              <w:rPr>
                <w:rFonts w:hint="eastAsia" w:ascii="宋体" w:hAnsi="宋体"/>
                <w:b/>
                <w:bCs/>
                <w:color w:val="auto"/>
                <w:szCs w:val="21"/>
                <w:highlight w:val="none"/>
              </w:rPr>
              <w:t>5.服务期限：</w:t>
            </w:r>
          </w:p>
          <w:p w14:paraId="765B403C">
            <w:pPr>
              <w:spacing w:line="360" w:lineRule="auto"/>
              <w:ind w:firstLine="420"/>
              <w:rPr>
                <w:rFonts w:hint="eastAsia" w:ascii="宋体" w:hAnsi="宋体"/>
                <w:b/>
                <w:bCs/>
                <w:color w:val="auto"/>
                <w:szCs w:val="21"/>
                <w:highlight w:val="none"/>
              </w:rPr>
            </w:pPr>
            <w:r>
              <w:rPr>
                <w:rFonts w:hint="eastAsia" w:ascii="宋体" w:hAnsi="宋体"/>
                <w:b/>
                <w:bCs/>
                <w:color w:val="auto"/>
                <w:szCs w:val="21"/>
                <w:highlight w:val="none"/>
              </w:rPr>
              <w:t>（1）</w:t>
            </w:r>
            <w:r>
              <w:rPr>
                <w:rFonts w:hint="eastAsia" w:ascii="宋体" w:hAnsi="宋体" w:cs="宋体"/>
                <w:b/>
                <w:bCs/>
                <w:color w:val="auto"/>
                <w:szCs w:val="20"/>
                <w:highlight w:val="none"/>
              </w:rPr>
              <w:t>自签订合同之日起</w:t>
            </w:r>
            <w:r>
              <w:rPr>
                <w:rFonts w:hint="eastAsia" w:ascii="宋体" w:hAnsi="宋体"/>
                <w:b/>
                <w:bCs/>
                <w:color w:val="auto"/>
                <w:szCs w:val="21"/>
                <w:highlight w:val="none"/>
              </w:rPr>
              <w:t>3</w:t>
            </w:r>
            <w:r>
              <w:rPr>
                <w:rFonts w:hint="eastAsia" w:ascii="宋体" w:hAnsi="宋体"/>
                <w:b/>
                <w:bCs/>
                <w:color w:val="auto"/>
                <w:szCs w:val="21"/>
                <w:highlight w:val="none"/>
                <w:lang w:eastAsia="zh-CN"/>
              </w:rPr>
              <w:t>年</w:t>
            </w:r>
            <w:r>
              <w:rPr>
                <w:rFonts w:hint="eastAsia" w:ascii="宋体" w:hAnsi="宋体"/>
                <w:b/>
                <w:bCs/>
                <w:color w:val="auto"/>
                <w:szCs w:val="21"/>
                <w:highlight w:val="none"/>
              </w:rPr>
              <w:t>。</w:t>
            </w:r>
          </w:p>
          <w:p w14:paraId="5C92D7BF">
            <w:pPr>
              <w:spacing w:line="360" w:lineRule="auto"/>
              <w:ind w:firstLine="420"/>
              <w:rPr>
                <w:rFonts w:hint="eastAsia" w:ascii="宋体" w:hAnsi="宋体"/>
                <w:b/>
                <w:bCs/>
                <w:color w:val="auto"/>
                <w:szCs w:val="21"/>
                <w:highlight w:val="none"/>
              </w:rPr>
            </w:pPr>
            <w:r>
              <w:rPr>
                <w:rFonts w:hint="eastAsia" w:ascii="宋体" w:hAnsi="宋体" w:cs="宋体"/>
                <w:b/>
                <w:bCs/>
                <w:color w:val="auto"/>
                <w:szCs w:val="21"/>
                <w:highlight w:val="none"/>
                <w:shd w:val="clear" w:color="auto" w:fill="FFFFFF"/>
              </w:rPr>
              <w:t>（2）</w:t>
            </w:r>
            <w:r>
              <w:rPr>
                <w:rFonts w:hint="eastAsia" w:ascii="宋体" w:hAnsi="宋体"/>
                <w:b/>
                <w:bCs/>
                <w:color w:val="auto"/>
                <w:highlight w:val="none"/>
              </w:rPr>
              <w:t>如本项目服务期满且采购人未完成项目下一服务期的采购时，为保障项目的延续性，中标人</w:t>
            </w:r>
            <w:r>
              <w:rPr>
                <w:rFonts w:hint="eastAsia"/>
                <w:b/>
                <w:bCs/>
                <w:color w:val="auto"/>
                <w:highlight w:val="none"/>
              </w:rPr>
              <w:t>应配合采购人</w:t>
            </w:r>
            <w:r>
              <w:rPr>
                <w:rFonts w:hint="eastAsia" w:ascii="宋体" w:hAnsi="宋体"/>
                <w:b/>
                <w:bCs/>
                <w:color w:val="auto"/>
                <w:highlight w:val="none"/>
              </w:rPr>
              <w:t>有偿提供本项目服务期满至</w:t>
            </w:r>
            <w:r>
              <w:rPr>
                <w:rFonts w:hint="eastAsia"/>
                <w:b/>
                <w:bCs/>
                <w:color w:val="auto"/>
                <w:highlight w:val="none"/>
              </w:rPr>
              <w:t>采购人</w:t>
            </w:r>
            <w:r>
              <w:rPr>
                <w:rFonts w:hint="eastAsia" w:ascii="宋体" w:hAnsi="宋体"/>
                <w:b/>
                <w:bCs/>
                <w:color w:val="auto"/>
                <w:highlight w:val="none"/>
              </w:rPr>
              <w:t>再次完成采购这一期限内的维修养护服务工作。该期限内服务费</w:t>
            </w:r>
            <w:r>
              <w:rPr>
                <w:b/>
                <w:bCs/>
                <w:color w:val="auto"/>
                <w:highlight w:val="none"/>
              </w:rPr>
              <w:t>结算按</w:t>
            </w:r>
            <w:r>
              <w:rPr>
                <w:rFonts w:hint="eastAsia" w:ascii="宋体" w:hAnsi="宋体"/>
                <w:b/>
                <w:bCs/>
                <w:color w:val="auto"/>
                <w:highlight w:val="none"/>
              </w:rPr>
              <w:t>以下“</w:t>
            </w:r>
            <w:r>
              <w:rPr>
                <w:rFonts w:hint="eastAsia" w:ascii="宋体" w:hAnsi="宋体" w:cs="宋体"/>
                <w:b/>
                <w:bCs/>
                <w:color w:val="auto"/>
                <w:szCs w:val="20"/>
                <w:highlight w:val="none"/>
              </w:rPr>
              <w:t>（三）项目结算</w:t>
            </w:r>
            <w:r>
              <w:rPr>
                <w:rFonts w:hint="eastAsia" w:ascii="宋体" w:hAnsi="宋体"/>
                <w:b/>
                <w:bCs/>
                <w:color w:val="auto"/>
                <w:highlight w:val="none"/>
              </w:rPr>
              <w:t>”要求执行，延续服务费用金额不超过原服务期内</w:t>
            </w:r>
            <w:r>
              <w:rPr>
                <w:rFonts w:hint="eastAsia" w:ascii="宋体" w:hAnsi="宋体" w:cs="宋体"/>
                <w:b/>
                <w:bCs/>
                <w:color w:val="auto"/>
                <w:szCs w:val="21"/>
                <w:highlight w:val="none"/>
                <w:shd w:val="clear" w:color="auto" w:fill="FFFFFF"/>
              </w:rPr>
              <w:t>维修养护合同</w:t>
            </w:r>
            <w:r>
              <w:rPr>
                <w:rFonts w:hint="eastAsia" w:ascii="宋体" w:hAnsi="宋体"/>
                <w:b/>
                <w:bCs/>
                <w:color w:val="auto"/>
                <w:highlight w:val="none"/>
              </w:rPr>
              <w:t>金额的10%。</w:t>
            </w:r>
          </w:p>
          <w:p w14:paraId="3B9946B7">
            <w:pPr>
              <w:spacing w:line="360" w:lineRule="auto"/>
              <w:ind w:firstLine="420"/>
              <w:rPr>
                <w:rFonts w:hint="eastAsia" w:ascii="宋体" w:hAnsi="宋体" w:cs="宋体"/>
                <w:b/>
                <w:bCs/>
                <w:color w:val="auto"/>
                <w:szCs w:val="20"/>
                <w:highlight w:val="none"/>
              </w:rPr>
            </w:pPr>
            <w:r>
              <w:rPr>
                <w:rFonts w:hint="eastAsia" w:ascii="宋体" w:hAnsi="宋体" w:cs="宋体"/>
                <w:b/>
                <w:bCs/>
                <w:color w:val="auto"/>
                <w:szCs w:val="20"/>
                <w:highlight w:val="none"/>
              </w:rPr>
              <w:t>（</w:t>
            </w:r>
            <w:r>
              <w:rPr>
                <w:rFonts w:hint="eastAsia" w:ascii="宋体" w:hAnsi="宋体" w:cs="宋体"/>
                <w:b/>
                <w:bCs/>
                <w:color w:val="auto"/>
                <w:szCs w:val="20"/>
                <w:highlight w:val="none"/>
                <w:lang w:eastAsia="zh-CN"/>
              </w:rPr>
              <w:t>二</w:t>
            </w:r>
            <w:r>
              <w:rPr>
                <w:rFonts w:hint="eastAsia" w:ascii="宋体" w:hAnsi="宋体" w:cs="宋体"/>
                <w:b/>
                <w:bCs/>
                <w:color w:val="auto"/>
                <w:szCs w:val="20"/>
                <w:highlight w:val="none"/>
              </w:rPr>
              <w:t>）项目结算：</w:t>
            </w:r>
          </w:p>
          <w:p w14:paraId="5FA2BB66">
            <w:pPr>
              <w:spacing w:line="360" w:lineRule="auto"/>
              <w:ind w:firstLine="420"/>
              <w:rPr>
                <w:rFonts w:ascii="宋体" w:hAnsi="宋体" w:cs="宋体"/>
                <w:b/>
                <w:bCs/>
                <w:color w:val="auto"/>
                <w:szCs w:val="20"/>
                <w:highlight w:val="none"/>
              </w:rPr>
            </w:pPr>
            <w:r>
              <w:rPr>
                <w:rFonts w:hint="eastAsia" w:ascii="宋体" w:hAnsi="宋体" w:cs="宋体"/>
                <w:b/>
                <w:bCs/>
                <w:color w:val="auto"/>
                <w:szCs w:val="20"/>
                <w:highlight w:val="none"/>
              </w:rPr>
              <w:t>1.项目承包范围：</w:t>
            </w:r>
            <w:r>
              <w:rPr>
                <w:rFonts w:hint="eastAsia" w:ascii="宋体" w:hAnsi="宋体"/>
                <w:b/>
                <w:bCs/>
                <w:color w:val="auto"/>
                <w:szCs w:val="21"/>
                <w:highlight w:val="none"/>
              </w:rPr>
              <w:t>市管市政设施维修养护服务工作内容包括对</w:t>
            </w:r>
            <w:r>
              <w:rPr>
                <w:rFonts w:hint="eastAsia" w:ascii="宋体" w:hAnsi="宋体"/>
                <w:b/>
                <w:bCs/>
                <w:color w:val="auto"/>
                <w:szCs w:val="21"/>
                <w:highlight w:val="none"/>
                <w:lang w:eastAsia="zh-CN"/>
              </w:rPr>
              <w:t>文昌大道以南（含）、北部湾大道以西（含）、伏波大道以东（不含）、西湾环海大道以东（含）、西湾跨海大桥以北（含）</w:t>
            </w:r>
            <w:r>
              <w:rPr>
                <w:rFonts w:hint="eastAsia" w:ascii="宋体" w:hAnsi="宋体"/>
                <w:b/>
                <w:bCs/>
                <w:color w:val="auto"/>
                <w:szCs w:val="21"/>
                <w:highlight w:val="none"/>
              </w:rPr>
              <w:t>的市管道路的路面、排水、桥梁的日常维修养护工作，防汛排涝、路面塌陷等市政设施突发事件的应急处置工作，市政设施巡查、重大活动期间的市政设施应急保障工作等。</w:t>
            </w:r>
          </w:p>
          <w:p w14:paraId="34B478D2">
            <w:pPr>
              <w:spacing w:line="360" w:lineRule="auto"/>
              <w:ind w:firstLine="420"/>
              <w:rPr>
                <w:rFonts w:ascii="宋体" w:hAnsi="宋体" w:cs="宋体"/>
                <w:b/>
                <w:bCs/>
                <w:color w:val="auto"/>
                <w:szCs w:val="20"/>
                <w:highlight w:val="none"/>
              </w:rPr>
            </w:pPr>
            <w:r>
              <w:rPr>
                <w:rFonts w:hint="eastAsia" w:ascii="宋体" w:hAnsi="宋体" w:cs="宋体"/>
                <w:b/>
                <w:bCs/>
                <w:color w:val="auto"/>
                <w:szCs w:val="20"/>
                <w:highlight w:val="none"/>
              </w:rPr>
              <w:t>2.项目承包方式：包工包料。</w:t>
            </w:r>
          </w:p>
          <w:p w14:paraId="1FCF4B2D">
            <w:pPr>
              <w:spacing w:line="360" w:lineRule="auto"/>
              <w:ind w:firstLine="420"/>
              <w:rPr>
                <w:rFonts w:hint="eastAsia" w:ascii="宋体" w:hAnsi="宋体" w:cs="宋体"/>
                <w:b/>
                <w:bCs/>
                <w:color w:val="auto"/>
                <w:szCs w:val="20"/>
                <w:highlight w:val="none"/>
              </w:rPr>
            </w:pPr>
            <w:r>
              <w:rPr>
                <w:rFonts w:hint="eastAsia" w:ascii="宋体" w:hAnsi="宋体" w:cs="宋体"/>
                <w:b/>
                <w:bCs/>
                <w:color w:val="auto"/>
                <w:szCs w:val="20"/>
                <w:highlight w:val="none"/>
              </w:rPr>
              <w:t>3.项目</w:t>
            </w:r>
            <w:r>
              <w:rPr>
                <w:rFonts w:hint="eastAsia" w:ascii="宋体" w:hAnsi="宋体" w:cs="宋体"/>
                <w:b/>
                <w:bCs/>
                <w:color w:val="auto"/>
                <w:szCs w:val="21"/>
                <w:highlight w:val="none"/>
              </w:rPr>
              <w:t>质量要求：合格。</w:t>
            </w:r>
          </w:p>
          <w:p w14:paraId="7887E73B">
            <w:pPr>
              <w:spacing w:line="360" w:lineRule="auto"/>
              <w:ind w:firstLine="420"/>
              <w:rPr>
                <w:rFonts w:hint="eastAsia" w:ascii="宋体" w:hAnsi="宋体" w:cs="宋体"/>
                <w:b/>
                <w:bCs/>
                <w:color w:val="auto"/>
                <w:szCs w:val="20"/>
                <w:highlight w:val="none"/>
              </w:rPr>
            </w:pPr>
            <w:r>
              <w:rPr>
                <w:rFonts w:hint="eastAsia" w:ascii="宋体" w:hAnsi="宋体" w:cs="宋体"/>
                <w:b/>
                <w:bCs/>
                <w:color w:val="auto"/>
                <w:szCs w:val="20"/>
                <w:highlight w:val="none"/>
              </w:rPr>
              <w:t>4.项目结算方式：</w:t>
            </w:r>
            <w:r>
              <w:rPr>
                <w:rFonts w:hint="eastAsia" w:ascii="宋体" w:hAnsi="宋体" w:cs="宋体"/>
                <w:b/>
                <w:bCs/>
                <w:color w:val="auto"/>
                <w:szCs w:val="20"/>
                <w:highlight w:val="none"/>
                <w:lang w:val="en-US" w:eastAsia="zh-CN"/>
              </w:rPr>
              <w:t>中标供应商</w:t>
            </w:r>
            <w:r>
              <w:rPr>
                <w:rFonts w:hint="eastAsia" w:ascii="宋体" w:hAnsi="宋体" w:cs="宋体"/>
                <w:b/>
                <w:bCs/>
                <w:color w:val="auto"/>
                <w:szCs w:val="20"/>
                <w:highlight w:val="none"/>
              </w:rPr>
              <w:t>按实际完成工程量编制结算造价，由</w:t>
            </w:r>
            <w:r>
              <w:rPr>
                <w:rFonts w:hint="eastAsia"/>
                <w:b/>
                <w:bCs/>
                <w:color w:val="auto"/>
                <w:highlight w:val="none"/>
              </w:rPr>
              <w:t>采购人</w:t>
            </w:r>
            <w:r>
              <w:rPr>
                <w:rFonts w:hint="eastAsia" w:ascii="宋体" w:hAnsi="宋体" w:cs="宋体"/>
                <w:b/>
                <w:bCs/>
                <w:color w:val="auto"/>
                <w:szCs w:val="20"/>
                <w:highlight w:val="none"/>
              </w:rPr>
              <w:t>审核后委托第三方审核机构或报送</w:t>
            </w:r>
            <w:r>
              <w:rPr>
                <w:rFonts w:hint="eastAsia" w:ascii="宋体" w:hAnsi="宋体" w:cs="宋体"/>
                <w:b/>
                <w:bCs/>
                <w:color w:val="auto"/>
                <w:szCs w:val="20"/>
                <w:highlight w:val="none"/>
                <w:lang w:val="en-US" w:eastAsia="zh-CN"/>
              </w:rPr>
              <w:t>防城港</w:t>
            </w:r>
            <w:r>
              <w:rPr>
                <w:rFonts w:hint="eastAsia" w:ascii="宋体" w:hAnsi="宋体" w:cs="宋体"/>
                <w:b/>
                <w:bCs/>
                <w:color w:val="auto"/>
                <w:szCs w:val="20"/>
                <w:highlight w:val="none"/>
              </w:rPr>
              <w:t>市财政投资评审中心审定，审定的结算造价乘以</w:t>
            </w:r>
            <w:r>
              <w:rPr>
                <w:rFonts w:hint="eastAsia" w:ascii="宋体" w:hAnsi="宋体" w:cs="宋体"/>
                <w:b/>
                <w:bCs/>
                <w:color w:val="auto"/>
                <w:szCs w:val="20"/>
                <w:highlight w:val="none"/>
                <w:lang w:val="en-US" w:eastAsia="zh-CN"/>
              </w:rPr>
              <w:t>中标供应商</w:t>
            </w:r>
            <w:r>
              <w:rPr>
                <w:rFonts w:hint="eastAsia" w:ascii="宋体" w:hAnsi="宋体" w:cs="宋体"/>
                <w:b/>
                <w:bCs/>
                <w:color w:val="auto"/>
                <w:szCs w:val="20"/>
                <w:highlight w:val="none"/>
              </w:rPr>
              <w:t>中标报价系数作为项目结算价款。</w:t>
            </w:r>
          </w:p>
          <w:p w14:paraId="281FB384">
            <w:pPr>
              <w:spacing w:line="360" w:lineRule="auto"/>
              <w:ind w:firstLine="420"/>
              <w:rPr>
                <w:b/>
                <w:bCs/>
                <w:color w:val="auto"/>
                <w:highlight w:val="none"/>
                <w:lang w:val="en-US" w:eastAsia="zh-CN"/>
              </w:rPr>
            </w:pPr>
            <w:r>
              <w:rPr>
                <w:rFonts w:hint="eastAsia" w:ascii="宋体" w:hAnsi="宋体" w:cs="宋体"/>
                <w:b/>
                <w:bCs/>
                <w:color w:val="auto"/>
                <w:szCs w:val="20"/>
                <w:highlight w:val="none"/>
                <w:lang w:eastAsia="zh-CN"/>
              </w:rPr>
              <w:t>（三）</w:t>
            </w:r>
            <w:r>
              <w:rPr>
                <w:rFonts w:hint="eastAsia" w:ascii="宋体" w:hAnsi="宋体" w:cs="宋体"/>
                <w:b/>
                <w:bCs/>
                <w:color w:val="auto"/>
                <w:szCs w:val="20"/>
                <w:highlight w:val="none"/>
              </w:rPr>
              <w:t>考核验收标准：</w:t>
            </w:r>
            <w:r>
              <w:rPr>
                <w:rFonts w:ascii="宋体" w:hAnsi="宋体" w:cs="宋体"/>
                <w:b/>
                <w:bCs/>
                <w:color w:val="auto"/>
                <w:szCs w:val="20"/>
                <w:highlight w:val="none"/>
              </w:rPr>
              <w:t xml:space="preserve"> 本项目将根据</w:t>
            </w:r>
            <w:r>
              <w:rPr>
                <w:rFonts w:hint="eastAsia" w:ascii="宋体" w:hAnsi="宋体" w:cs="宋体"/>
                <w:b/>
                <w:bCs/>
                <w:color w:val="auto"/>
                <w:szCs w:val="20"/>
                <w:highlight w:val="none"/>
              </w:rPr>
              <w:t>《防城港市市本级市政设施日常维修养护管理考核办法（试行）》（详见附件）进行考核验收，中标</w:t>
            </w:r>
            <w:r>
              <w:rPr>
                <w:rFonts w:hint="eastAsia" w:ascii="宋体" w:hAnsi="宋体" w:cs="宋体"/>
                <w:b/>
                <w:bCs/>
                <w:color w:val="auto"/>
                <w:szCs w:val="20"/>
                <w:highlight w:val="none"/>
                <w:lang w:eastAsia="zh-CN"/>
              </w:rPr>
              <w:t>供应商</w:t>
            </w:r>
            <w:r>
              <w:rPr>
                <w:rFonts w:hint="eastAsia" w:ascii="宋体" w:hAnsi="宋体" w:cs="宋体"/>
                <w:b/>
                <w:bCs/>
                <w:color w:val="auto"/>
                <w:szCs w:val="20"/>
                <w:highlight w:val="none"/>
              </w:rPr>
              <w:t>所承接的</w:t>
            </w:r>
            <w:r>
              <w:rPr>
                <w:b/>
                <w:bCs/>
                <w:color w:val="auto"/>
                <w:highlight w:val="none"/>
              </w:rPr>
              <w:t>维修养护</w:t>
            </w:r>
            <w:r>
              <w:rPr>
                <w:rFonts w:hint="eastAsia" w:ascii="宋体" w:hAnsi="宋体" w:cs="宋体"/>
                <w:b/>
                <w:bCs/>
                <w:color w:val="auto"/>
                <w:szCs w:val="20"/>
                <w:highlight w:val="none"/>
              </w:rPr>
              <w:t>项目必须达到《防城港市市本级市政设施日常维修养护管理考核办法（试行）》要求。</w:t>
            </w:r>
          </w:p>
          <w:p w14:paraId="13E47ED5">
            <w:pPr>
              <w:spacing w:line="360" w:lineRule="auto"/>
              <w:ind w:firstLine="420"/>
              <w:rPr>
                <w:rFonts w:hint="eastAsia" w:ascii="宋体" w:hAnsi="宋体" w:cs="宋体"/>
                <w:b/>
                <w:bCs/>
                <w:color w:val="auto"/>
                <w:szCs w:val="20"/>
                <w:highlight w:val="none"/>
              </w:rPr>
            </w:pPr>
            <w:r>
              <w:rPr>
                <w:rFonts w:hint="eastAsia" w:ascii="宋体" w:hAnsi="宋体" w:cs="宋体"/>
                <w:b/>
                <w:bCs/>
                <w:color w:val="auto"/>
                <w:szCs w:val="20"/>
                <w:highlight w:val="none"/>
              </w:rPr>
              <w:t>（</w:t>
            </w:r>
            <w:r>
              <w:rPr>
                <w:rFonts w:hint="eastAsia" w:ascii="宋体" w:hAnsi="宋体" w:cs="宋体"/>
                <w:b/>
                <w:bCs/>
                <w:color w:val="auto"/>
                <w:szCs w:val="20"/>
                <w:highlight w:val="none"/>
                <w:lang w:eastAsia="zh-CN"/>
              </w:rPr>
              <w:t>四</w:t>
            </w:r>
            <w:r>
              <w:rPr>
                <w:rFonts w:hint="eastAsia" w:ascii="宋体" w:hAnsi="宋体" w:cs="宋体"/>
                <w:b/>
                <w:bCs/>
                <w:color w:val="auto"/>
                <w:szCs w:val="20"/>
                <w:highlight w:val="none"/>
              </w:rPr>
              <w:t>）其他要求</w:t>
            </w:r>
          </w:p>
          <w:p w14:paraId="11596DA7">
            <w:pPr>
              <w:spacing w:line="360" w:lineRule="auto"/>
              <w:ind w:firstLine="420"/>
              <w:rPr>
                <w:rFonts w:hint="eastAsia" w:ascii="宋体" w:hAnsi="宋体" w:eastAsia="宋体" w:cs="宋体"/>
                <w:b/>
                <w:bCs/>
                <w:color w:val="auto"/>
                <w:szCs w:val="20"/>
                <w:highlight w:val="none"/>
                <w:lang w:eastAsia="zh-CN"/>
              </w:rPr>
            </w:pPr>
            <w:r>
              <w:rPr>
                <w:rFonts w:hint="eastAsia" w:ascii="宋体" w:hAnsi="宋体" w:cs="宋体"/>
                <w:b/>
                <w:bCs/>
                <w:color w:val="auto"/>
                <w:szCs w:val="20"/>
                <w:highlight w:val="none"/>
              </w:rPr>
              <w:t>1.采购</w:t>
            </w:r>
            <w:r>
              <w:rPr>
                <w:b/>
                <w:bCs/>
                <w:color w:val="auto"/>
                <w:highlight w:val="none"/>
              </w:rPr>
              <w:t>合同签订</w:t>
            </w:r>
            <w:r>
              <w:rPr>
                <w:rFonts w:hint="eastAsia" w:ascii="宋体" w:hAnsi="宋体" w:cs="宋体"/>
                <w:b/>
                <w:bCs/>
                <w:color w:val="auto"/>
                <w:szCs w:val="20"/>
                <w:highlight w:val="none"/>
              </w:rPr>
              <w:t>后，中标</w:t>
            </w:r>
            <w:r>
              <w:rPr>
                <w:rFonts w:hint="eastAsia" w:ascii="宋体" w:hAnsi="宋体" w:cs="宋体"/>
                <w:b/>
                <w:bCs/>
                <w:color w:val="auto"/>
                <w:szCs w:val="20"/>
                <w:highlight w:val="none"/>
                <w:lang w:eastAsia="zh-CN"/>
              </w:rPr>
              <w:t>供应商</w:t>
            </w:r>
            <w:r>
              <w:rPr>
                <w:rFonts w:hint="eastAsia" w:ascii="宋体" w:hAnsi="宋体" w:cs="宋体"/>
                <w:b/>
                <w:bCs/>
                <w:color w:val="auto"/>
                <w:szCs w:val="20"/>
                <w:highlight w:val="none"/>
              </w:rPr>
              <w:t>必须自有或租赁维护用车辆和设备，包括</w:t>
            </w:r>
            <w:r>
              <w:rPr>
                <w:rFonts w:hint="eastAsia" w:ascii="宋体" w:hAnsi="宋体" w:cs="宋体"/>
                <w:b/>
                <w:bCs/>
                <w:color w:val="auto"/>
                <w:szCs w:val="20"/>
                <w:highlight w:val="none"/>
                <w:lang w:val="en-US" w:eastAsia="zh-CN"/>
              </w:rPr>
              <w:t>2辆</w:t>
            </w:r>
            <w:r>
              <w:rPr>
                <w:rFonts w:hint="eastAsia" w:ascii="宋体" w:hAnsi="宋体" w:cs="宋体"/>
                <w:b/>
                <w:bCs/>
                <w:color w:val="auto"/>
                <w:szCs w:val="20"/>
                <w:highlight w:val="none"/>
              </w:rPr>
              <w:t>巡查机动车辆（皮卡或轻卡）、运输车辆、手扶式小型压路机、应急照明设备、管道潜望镜</w:t>
            </w:r>
            <w:r>
              <w:rPr>
                <w:rFonts w:hint="eastAsia" w:ascii="宋体" w:hAnsi="宋体" w:cs="宋体"/>
                <w:b/>
                <w:bCs/>
                <w:color w:val="auto"/>
                <w:szCs w:val="20"/>
                <w:highlight w:val="none"/>
                <w:lang w:val="en-US" w:eastAsia="zh-CN"/>
              </w:rPr>
              <w:t>(高清无线潜望镜)</w:t>
            </w:r>
            <w:r>
              <w:rPr>
                <w:rFonts w:hint="eastAsia" w:ascii="宋体" w:hAnsi="宋体" w:cs="宋体"/>
                <w:b/>
                <w:bCs/>
                <w:color w:val="auto"/>
                <w:szCs w:val="20"/>
                <w:highlight w:val="none"/>
              </w:rPr>
              <w:t>、</w:t>
            </w:r>
            <w:r>
              <w:rPr>
                <w:rFonts w:hint="eastAsia" w:ascii="宋体" w:hAnsi="宋体" w:cs="宋体"/>
                <w:b/>
                <w:bCs/>
                <w:color w:val="auto"/>
                <w:szCs w:val="20"/>
                <w:highlight w:val="none"/>
                <w:lang w:val="en-US" w:eastAsia="zh-CN"/>
              </w:rPr>
              <w:t>2台</w:t>
            </w:r>
            <w:r>
              <w:rPr>
                <w:rFonts w:hint="eastAsia" w:ascii="宋体" w:hAnsi="宋体" w:cs="宋体"/>
                <w:b/>
                <w:bCs/>
                <w:color w:val="auto"/>
                <w:szCs w:val="20"/>
                <w:highlight w:val="none"/>
              </w:rPr>
              <w:t>应急水泵</w:t>
            </w:r>
            <w:r>
              <w:rPr>
                <w:rFonts w:hint="eastAsia" w:ascii="宋体" w:hAnsi="宋体" w:cs="宋体"/>
                <w:b/>
                <w:bCs/>
                <w:color w:val="auto"/>
                <w:szCs w:val="20"/>
                <w:highlight w:val="none"/>
                <w:lang w:eastAsia="zh-CN"/>
              </w:rPr>
              <w:t>（排水能力</w:t>
            </w:r>
            <w:r>
              <w:rPr>
                <w:rFonts w:ascii="Arial" w:hAnsi="Arial" w:eastAsia="Arial" w:cs="Arial"/>
                <w:i w:val="0"/>
                <w:iCs w:val="0"/>
                <w:caps w:val="0"/>
                <w:color w:val="auto"/>
                <w:spacing w:val="0"/>
                <w:sz w:val="19"/>
                <w:szCs w:val="19"/>
                <w:highlight w:val="none"/>
                <w:shd w:val="clear" w:fill="FFFFFF"/>
              </w:rPr>
              <w:t>≥</w:t>
            </w:r>
            <w:r>
              <w:rPr>
                <w:rFonts w:hint="eastAsia" w:ascii="Arial" w:hAnsi="Arial" w:eastAsia="宋体" w:cs="Arial"/>
                <w:i w:val="0"/>
                <w:iCs w:val="0"/>
                <w:caps w:val="0"/>
                <w:color w:val="auto"/>
                <w:spacing w:val="0"/>
                <w:sz w:val="19"/>
                <w:szCs w:val="19"/>
                <w:highlight w:val="none"/>
                <w:shd w:val="clear" w:fill="FFFFFF"/>
                <w:lang w:val="en-US" w:eastAsia="zh-CN"/>
              </w:rPr>
              <w:t>100</w:t>
            </w:r>
            <w:r>
              <w:rPr>
                <w:color w:val="auto"/>
                <w:highlight w:val="none"/>
              </w:rPr>
              <w:t>m³</w:t>
            </w:r>
            <w:r>
              <w:rPr>
                <w:rFonts w:hint="eastAsia" w:ascii="宋体" w:hAnsi="宋体" w:cs="宋体"/>
                <w:color w:val="auto"/>
                <w:szCs w:val="21"/>
                <w:highlight w:val="none"/>
                <w:lang w:bidi="ar"/>
              </w:rPr>
              <w:t>/h</w:t>
            </w:r>
            <w:r>
              <w:rPr>
                <w:rFonts w:hint="eastAsia" w:ascii="宋体" w:hAnsi="宋体" w:cs="宋体"/>
                <w:b/>
                <w:bCs/>
                <w:color w:val="auto"/>
                <w:szCs w:val="20"/>
                <w:highlight w:val="none"/>
                <w:lang w:eastAsia="zh-CN"/>
              </w:rPr>
              <w:t>）</w:t>
            </w:r>
            <w:r>
              <w:rPr>
                <w:rFonts w:hint="eastAsia" w:ascii="宋体" w:hAnsi="宋体" w:cs="宋体"/>
                <w:b/>
                <w:bCs/>
                <w:color w:val="auto"/>
                <w:szCs w:val="20"/>
                <w:highlight w:val="none"/>
              </w:rPr>
              <w:t>、沥青灌缝机、</w:t>
            </w:r>
            <w:r>
              <w:rPr>
                <w:rFonts w:hint="eastAsia" w:ascii="宋体" w:hAnsi="宋体" w:cs="宋体"/>
                <w:b/>
                <w:bCs/>
                <w:color w:val="auto"/>
                <w:szCs w:val="20"/>
                <w:highlight w:val="none"/>
                <w:lang w:val="en-US" w:eastAsia="zh-CN"/>
              </w:rPr>
              <w:t>2台</w:t>
            </w:r>
            <w:r>
              <w:rPr>
                <w:rFonts w:hint="eastAsia" w:ascii="宋体" w:hAnsi="宋体" w:cs="宋体"/>
                <w:b/>
                <w:bCs/>
                <w:color w:val="auto"/>
                <w:szCs w:val="20"/>
                <w:highlight w:val="none"/>
                <w:lang w:eastAsia="zh-CN"/>
              </w:rPr>
              <w:t>发电机、</w:t>
            </w:r>
            <w:r>
              <w:rPr>
                <w:rFonts w:hint="eastAsia" w:ascii="宋体" w:hAnsi="宋体" w:cs="宋体"/>
                <w:b/>
                <w:bCs/>
                <w:color w:val="auto"/>
                <w:szCs w:val="20"/>
                <w:highlight w:val="none"/>
                <w:lang w:val="en-US" w:eastAsia="zh-CN"/>
              </w:rPr>
              <w:t>无人机</w:t>
            </w:r>
            <w:r>
              <w:rPr>
                <w:rFonts w:hint="eastAsia" w:ascii="宋体" w:hAnsi="宋体" w:cs="宋体"/>
                <w:b/>
                <w:bCs/>
                <w:color w:val="auto"/>
                <w:szCs w:val="20"/>
                <w:highlight w:val="none"/>
                <w:lang w:eastAsia="zh-CN"/>
              </w:rPr>
              <w:t>。</w:t>
            </w:r>
          </w:p>
          <w:p w14:paraId="53B7CDB6">
            <w:pPr>
              <w:spacing w:line="360" w:lineRule="auto"/>
              <w:ind w:firstLine="420"/>
              <w:rPr>
                <w:rFonts w:hint="eastAsia" w:ascii="宋体" w:hAnsi="宋体" w:cs="宋体"/>
                <w:b/>
                <w:bCs/>
                <w:color w:val="auto"/>
                <w:szCs w:val="20"/>
                <w:highlight w:val="none"/>
              </w:rPr>
            </w:pPr>
            <w:r>
              <w:rPr>
                <w:rFonts w:hint="eastAsia" w:ascii="宋体" w:hAnsi="宋体" w:cs="宋体"/>
                <w:b/>
                <w:bCs/>
                <w:color w:val="auto"/>
                <w:szCs w:val="20"/>
                <w:highlight w:val="none"/>
              </w:rPr>
              <w:t>2.中标</w:t>
            </w:r>
            <w:r>
              <w:rPr>
                <w:rFonts w:hint="eastAsia" w:ascii="宋体" w:hAnsi="宋体" w:cs="宋体"/>
                <w:b/>
                <w:bCs/>
                <w:color w:val="auto"/>
                <w:szCs w:val="20"/>
                <w:highlight w:val="none"/>
                <w:lang w:eastAsia="zh-CN"/>
              </w:rPr>
              <w:t>供应商</w:t>
            </w:r>
            <w:r>
              <w:rPr>
                <w:rFonts w:hint="eastAsia" w:ascii="宋体" w:hAnsi="宋体" w:cs="宋体"/>
                <w:b/>
                <w:bCs/>
                <w:color w:val="auto"/>
                <w:szCs w:val="20"/>
                <w:highlight w:val="none"/>
              </w:rPr>
              <w:t>必须拥有或租赁维护用10吨</w:t>
            </w:r>
            <w:r>
              <w:rPr>
                <w:rFonts w:hint="eastAsia" w:ascii="宋体" w:hAnsi="宋体" w:cs="宋体"/>
                <w:b/>
                <w:bCs/>
                <w:color w:val="auto"/>
                <w:szCs w:val="20"/>
                <w:highlight w:val="none"/>
                <w:lang w:eastAsia="zh-CN"/>
              </w:rPr>
              <w:t>及</w:t>
            </w:r>
            <w:r>
              <w:rPr>
                <w:rFonts w:hint="eastAsia" w:ascii="宋体" w:hAnsi="宋体" w:cs="宋体"/>
                <w:b/>
                <w:bCs/>
                <w:color w:val="auto"/>
                <w:szCs w:val="20"/>
                <w:highlight w:val="none"/>
              </w:rPr>
              <w:t>以上大型压路机、沥青混凝土铣刨机、沥青混凝土摊铺机。</w:t>
            </w:r>
          </w:p>
          <w:p w14:paraId="2C4F0C41">
            <w:pPr>
              <w:spacing w:line="360" w:lineRule="auto"/>
              <w:ind w:firstLine="420"/>
              <w:rPr>
                <w:rFonts w:hint="eastAsia" w:ascii="宋体" w:hAnsi="宋体" w:cs="宋体"/>
                <w:b/>
                <w:bCs/>
                <w:color w:val="auto"/>
                <w:szCs w:val="20"/>
                <w:highlight w:val="none"/>
              </w:rPr>
            </w:pPr>
            <w:r>
              <w:rPr>
                <w:rFonts w:hint="eastAsia" w:ascii="宋体" w:hAnsi="宋体" w:cs="宋体"/>
                <w:b/>
                <w:bCs/>
                <w:color w:val="auto"/>
                <w:szCs w:val="20"/>
                <w:highlight w:val="none"/>
              </w:rPr>
              <w:t>3.中标</w:t>
            </w:r>
            <w:r>
              <w:rPr>
                <w:rFonts w:hint="eastAsia" w:ascii="宋体" w:hAnsi="宋体" w:cs="宋体"/>
                <w:b/>
                <w:bCs/>
                <w:color w:val="auto"/>
                <w:szCs w:val="20"/>
                <w:highlight w:val="none"/>
                <w:lang w:eastAsia="zh-CN"/>
              </w:rPr>
              <w:t>供应商</w:t>
            </w:r>
            <w:r>
              <w:rPr>
                <w:rFonts w:hint="eastAsia" w:ascii="宋体" w:hAnsi="宋体" w:cs="宋体"/>
                <w:b/>
                <w:bCs/>
                <w:color w:val="auto"/>
                <w:szCs w:val="20"/>
                <w:highlight w:val="none"/>
              </w:rPr>
              <w:t>在服务期限内设置固定经营或项目管理场所。</w:t>
            </w:r>
          </w:p>
          <w:p w14:paraId="5CD9E312">
            <w:pPr>
              <w:spacing w:line="360" w:lineRule="auto"/>
              <w:ind w:firstLine="420"/>
              <w:rPr>
                <w:rFonts w:hint="eastAsia" w:ascii="宋体" w:hAnsi="宋体" w:cs="宋体"/>
                <w:b/>
                <w:bCs/>
                <w:color w:val="auto"/>
                <w:szCs w:val="20"/>
                <w:highlight w:val="none"/>
              </w:rPr>
            </w:pPr>
            <w:r>
              <w:rPr>
                <w:rFonts w:hint="eastAsia" w:ascii="宋体" w:hAnsi="宋体" w:cs="宋体"/>
                <w:b/>
                <w:bCs/>
                <w:color w:val="auto"/>
                <w:szCs w:val="20"/>
                <w:highlight w:val="none"/>
              </w:rPr>
              <w:t>4.中标</w:t>
            </w:r>
            <w:r>
              <w:rPr>
                <w:rFonts w:hint="eastAsia" w:ascii="宋体" w:hAnsi="宋体" w:cs="宋体"/>
                <w:b/>
                <w:bCs/>
                <w:color w:val="auto"/>
                <w:szCs w:val="20"/>
                <w:highlight w:val="none"/>
                <w:lang w:eastAsia="zh-CN"/>
              </w:rPr>
              <w:t>供应商</w:t>
            </w:r>
            <w:r>
              <w:rPr>
                <w:rFonts w:hint="eastAsia" w:ascii="宋体" w:hAnsi="宋体" w:cs="宋体"/>
                <w:b/>
                <w:bCs/>
                <w:color w:val="auto"/>
                <w:szCs w:val="20"/>
                <w:highlight w:val="none"/>
              </w:rPr>
              <w:t>于签订合同前对维修车辆和设施需完成“防港市政养护”标识喷绘，完成车载定位系统配备以便今后接到</w:t>
            </w:r>
            <w:r>
              <w:rPr>
                <w:rFonts w:hint="eastAsia"/>
                <w:b/>
                <w:bCs/>
                <w:color w:val="auto"/>
                <w:highlight w:val="none"/>
              </w:rPr>
              <w:t>采购人</w:t>
            </w:r>
            <w:r>
              <w:rPr>
                <w:rFonts w:hint="eastAsia" w:ascii="宋体" w:hAnsi="宋体" w:cs="宋体"/>
                <w:b/>
                <w:bCs/>
                <w:color w:val="auto"/>
                <w:szCs w:val="20"/>
                <w:highlight w:val="none"/>
              </w:rPr>
              <w:t>监控平台。</w:t>
            </w:r>
          </w:p>
          <w:p w14:paraId="18434691">
            <w:pPr>
              <w:spacing w:line="360" w:lineRule="exact"/>
              <w:ind w:firstLine="420"/>
              <w:jc w:val="left"/>
              <w:rPr>
                <w:rFonts w:hint="eastAsia" w:ascii="宋体" w:hAnsi="宋体" w:cs="宋体"/>
                <w:b/>
                <w:bCs/>
                <w:color w:val="auto"/>
                <w:szCs w:val="20"/>
                <w:highlight w:val="none"/>
                <w:lang w:val="en-US" w:eastAsia="zh-CN"/>
              </w:rPr>
            </w:pPr>
            <w:r>
              <w:rPr>
                <w:rFonts w:hint="eastAsia" w:ascii="宋体" w:hAnsi="宋体" w:cs="宋体"/>
                <w:b/>
                <w:bCs/>
                <w:color w:val="auto"/>
                <w:szCs w:val="20"/>
                <w:highlight w:val="none"/>
              </w:rPr>
              <w:t>5.</w:t>
            </w:r>
            <w:r>
              <w:rPr>
                <w:rFonts w:hint="eastAsia" w:ascii="宋体" w:hAnsi="宋体" w:cs="宋体"/>
                <w:b/>
                <w:bCs/>
                <w:color w:val="auto"/>
                <w:szCs w:val="20"/>
                <w:highlight w:val="none"/>
                <w:lang w:val="en-US" w:eastAsia="zh-CN"/>
              </w:rPr>
              <w:t>项目履行过程中，中标供应商须投入相应的项目管理机构，项目管理机构最低人数要求为项目经理、</w:t>
            </w:r>
            <w:r>
              <w:rPr>
                <w:rFonts w:hint="eastAsia" w:ascii="宋体" w:hAnsi="宋体" w:cs="宋体"/>
                <w:b/>
                <w:bCs/>
                <w:color w:val="auto"/>
                <w:szCs w:val="20"/>
                <w:highlight w:val="none"/>
              </w:rPr>
              <w:t>技术负责人</w:t>
            </w:r>
            <w:r>
              <w:rPr>
                <w:rFonts w:hint="eastAsia" w:ascii="宋体" w:hAnsi="宋体" w:cs="宋体"/>
                <w:b/>
                <w:bCs/>
                <w:color w:val="auto"/>
                <w:szCs w:val="20"/>
                <w:highlight w:val="none"/>
                <w:lang w:eastAsia="zh-CN"/>
              </w:rPr>
              <w:t>、</w:t>
            </w:r>
            <w:r>
              <w:rPr>
                <w:rFonts w:hint="eastAsia" w:ascii="宋体" w:hAnsi="宋体" w:cs="宋体"/>
                <w:b/>
                <w:bCs/>
                <w:color w:val="auto"/>
                <w:szCs w:val="20"/>
                <w:highlight w:val="none"/>
                <w:lang w:val="en-US" w:eastAsia="zh-CN"/>
              </w:rPr>
              <w:t>施工员、质量员、专职安全生产管理人员、电工各1名，须在投标文件中提供拟投入项目经理市政公用工程专业二级以上（含二级）注册建造师资格及有效的安全生产考核合格证书（B类）、技术负责人的市政公用工程相关专业工程师及以上职称证书、专职安全生产管理人员有效的安全生产考核合格证（C类）、施工员和质量员有效的相应施工现场专业人员职业培训合格证书、电工的电工证等材料复印件或扫描件。</w:t>
            </w:r>
          </w:p>
          <w:p w14:paraId="4CC574BB">
            <w:pPr>
              <w:spacing w:line="360" w:lineRule="exact"/>
              <w:ind w:firstLine="420"/>
              <w:jc w:val="left"/>
              <w:rPr>
                <w:rFonts w:hint="eastAsia" w:ascii="宋体" w:hAnsi="宋体" w:cs="宋体"/>
                <w:b/>
                <w:bCs/>
                <w:color w:val="auto"/>
                <w:szCs w:val="21"/>
                <w:highlight w:val="none"/>
                <w:lang w:val="en-US" w:eastAsia="zh-CN"/>
              </w:rPr>
            </w:pPr>
            <w:r>
              <w:rPr>
                <w:rFonts w:hint="eastAsia" w:ascii="宋体" w:hAnsi="宋体" w:cs="宋体"/>
                <w:b/>
                <w:bCs/>
                <w:color w:val="auto"/>
                <w:szCs w:val="20"/>
                <w:highlight w:val="none"/>
              </w:rPr>
              <w:t>6.若设施量增加或减少时，中标系数不作调整，中标人须考虑在投标报价中。</w:t>
            </w:r>
          </w:p>
        </w:tc>
      </w:tr>
      <w:tr w14:paraId="7F760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9251" w:type="dxa"/>
            <w:gridSpan w:val="6"/>
            <w:tcBorders>
              <w:top w:val="single" w:color="000000" w:sz="4" w:space="0"/>
              <w:left w:val="single" w:color="000000" w:sz="4" w:space="0"/>
              <w:bottom w:val="single" w:color="000000" w:sz="4" w:space="0"/>
              <w:right w:val="single" w:color="000000" w:sz="4" w:space="0"/>
            </w:tcBorders>
            <w:noWrap w:val="0"/>
            <w:vAlign w:val="center"/>
          </w:tcPr>
          <w:p w14:paraId="287FC1A7">
            <w:pPr>
              <w:pStyle w:val="218"/>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b/>
                <w:bCs/>
                <w:color w:val="auto"/>
                <w:highlight w:val="none"/>
                <w:lang w:val="en-US" w:eastAsia="zh-CN"/>
              </w:rPr>
              <w:t>第二部分：</w:t>
            </w:r>
            <w:r>
              <w:rPr>
                <w:rFonts w:hint="eastAsia" w:ascii="宋体" w:hAnsi="宋体" w:cs="宋体"/>
                <w:b/>
                <w:color w:val="auto"/>
                <w:szCs w:val="21"/>
                <w:highlight w:val="none"/>
              </w:rPr>
              <w:t>商务要求</w:t>
            </w:r>
          </w:p>
        </w:tc>
      </w:tr>
      <w:tr w14:paraId="35D4C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2154" w:type="dxa"/>
            <w:gridSpan w:val="3"/>
            <w:tcBorders>
              <w:top w:val="single" w:color="000000" w:sz="4" w:space="0"/>
              <w:left w:val="single" w:color="000000" w:sz="4" w:space="0"/>
              <w:bottom w:val="single" w:color="000000" w:sz="4" w:space="0"/>
              <w:right w:val="single" w:color="000000" w:sz="4" w:space="0"/>
            </w:tcBorders>
            <w:noWrap w:val="0"/>
            <w:vAlign w:val="center"/>
          </w:tcPr>
          <w:p w14:paraId="50236A0B">
            <w:pPr>
              <w:spacing w:line="360" w:lineRule="exact"/>
              <w:ind w:firstLine="42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服务保修期</w:t>
            </w:r>
          </w:p>
        </w:tc>
        <w:tc>
          <w:tcPr>
            <w:tcW w:w="7097" w:type="dxa"/>
            <w:gridSpan w:val="3"/>
            <w:tcBorders>
              <w:top w:val="single" w:color="000000" w:sz="4" w:space="0"/>
              <w:left w:val="single" w:color="000000" w:sz="4" w:space="0"/>
              <w:bottom w:val="single" w:color="000000" w:sz="4" w:space="0"/>
              <w:right w:val="single" w:color="000000" w:sz="4" w:space="0"/>
            </w:tcBorders>
            <w:noWrap w:val="0"/>
            <w:vAlign w:val="top"/>
          </w:tcPr>
          <w:p w14:paraId="579E1F91">
            <w:pPr>
              <w:spacing w:line="360" w:lineRule="exact"/>
              <w:jc w:val="both"/>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所有维修内容保修期</w:t>
            </w:r>
            <w:r>
              <w:rPr>
                <w:rFonts w:hint="eastAsia" w:ascii="宋体" w:hAnsi="宋体" w:cs="宋体"/>
                <w:b/>
                <w:bCs/>
                <w:color w:val="auto"/>
                <w:szCs w:val="21"/>
                <w:highlight w:val="none"/>
                <w:lang w:val="en-US" w:eastAsia="zh-CN"/>
              </w:rPr>
              <w:t>至少</w:t>
            </w:r>
            <w:r>
              <w:rPr>
                <w:rFonts w:hint="eastAsia" w:ascii="宋体" w:hAnsi="宋体" w:eastAsia="宋体" w:cs="宋体"/>
                <w:b/>
                <w:bCs/>
                <w:color w:val="auto"/>
                <w:szCs w:val="21"/>
                <w:highlight w:val="none"/>
                <w:lang w:val="en-US" w:eastAsia="zh-CN"/>
              </w:rPr>
              <w:t>一年（经采购人同意的临时修复除外），经维修后所有设施保修期内出现损坏的，中标供应商无条件进行修复，不得再提出任何签证要求（非质量原因除外）。</w:t>
            </w:r>
          </w:p>
        </w:tc>
      </w:tr>
      <w:tr w14:paraId="76113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2154" w:type="dxa"/>
            <w:gridSpan w:val="3"/>
            <w:tcBorders>
              <w:top w:val="single" w:color="000000" w:sz="4" w:space="0"/>
              <w:left w:val="single" w:color="000000" w:sz="4" w:space="0"/>
              <w:bottom w:val="single" w:color="000000" w:sz="4" w:space="0"/>
              <w:right w:val="single" w:color="000000" w:sz="4" w:space="0"/>
            </w:tcBorders>
            <w:noWrap w:val="0"/>
            <w:vAlign w:val="center"/>
          </w:tcPr>
          <w:p w14:paraId="0C86FF40">
            <w:pPr>
              <w:spacing w:line="360" w:lineRule="exact"/>
              <w:ind w:firstLine="42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服务地点</w:t>
            </w:r>
          </w:p>
        </w:tc>
        <w:tc>
          <w:tcPr>
            <w:tcW w:w="7097" w:type="dxa"/>
            <w:gridSpan w:val="3"/>
            <w:tcBorders>
              <w:top w:val="single" w:color="000000" w:sz="4" w:space="0"/>
              <w:left w:val="single" w:color="000000" w:sz="4" w:space="0"/>
              <w:bottom w:val="single" w:color="000000" w:sz="4" w:space="0"/>
              <w:right w:val="single" w:color="000000" w:sz="4" w:space="0"/>
            </w:tcBorders>
            <w:noWrap w:val="0"/>
            <w:vAlign w:val="center"/>
          </w:tcPr>
          <w:p w14:paraId="31BCBA42">
            <w:pPr>
              <w:spacing w:line="360" w:lineRule="exact"/>
              <w:jc w:val="both"/>
              <w:rPr>
                <w:rFonts w:hint="eastAsia" w:ascii="宋体" w:hAnsi="宋体" w:eastAsia="宋体" w:cs="宋体"/>
                <w:b/>
                <w:bCs/>
                <w:color w:val="auto"/>
                <w:szCs w:val="21"/>
                <w:highlight w:val="none"/>
                <w:lang w:val="en-US" w:eastAsia="zh-CN"/>
              </w:rPr>
            </w:pPr>
            <w:r>
              <w:rPr>
                <w:rFonts w:hint="eastAsia" w:ascii="宋体" w:hAnsi="宋体"/>
                <w:b/>
                <w:bCs/>
                <w:color w:val="auto"/>
                <w:szCs w:val="21"/>
                <w:highlight w:val="none"/>
              </w:rPr>
              <w:t>防城港市内采购人指定地点。</w:t>
            </w:r>
          </w:p>
        </w:tc>
      </w:tr>
      <w:tr w14:paraId="79318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2154" w:type="dxa"/>
            <w:gridSpan w:val="3"/>
            <w:tcBorders>
              <w:top w:val="single" w:color="000000" w:sz="4" w:space="0"/>
              <w:left w:val="single" w:color="000000" w:sz="4" w:space="0"/>
              <w:bottom w:val="single" w:color="000000" w:sz="4" w:space="0"/>
              <w:right w:val="single" w:color="000000" w:sz="4" w:space="0"/>
            </w:tcBorders>
            <w:noWrap w:val="0"/>
            <w:vAlign w:val="center"/>
          </w:tcPr>
          <w:p w14:paraId="0060F2A7">
            <w:pPr>
              <w:spacing w:line="360" w:lineRule="exact"/>
              <w:ind w:firstLine="42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合同签订时间</w:t>
            </w:r>
          </w:p>
        </w:tc>
        <w:tc>
          <w:tcPr>
            <w:tcW w:w="7097" w:type="dxa"/>
            <w:gridSpan w:val="3"/>
            <w:tcBorders>
              <w:top w:val="single" w:color="000000" w:sz="4" w:space="0"/>
              <w:left w:val="single" w:color="000000" w:sz="4" w:space="0"/>
              <w:bottom w:val="single" w:color="000000" w:sz="4" w:space="0"/>
              <w:right w:val="single" w:color="000000" w:sz="4" w:space="0"/>
            </w:tcBorders>
            <w:noWrap w:val="0"/>
            <w:vAlign w:val="top"/>
          </w:tcPr>
          <w:p w14:paraId="404CB68B">
            <w:pPr>
              <w:spacing w:line="360" w:lineRule="exact"/>
              <w:jc w:val="both"/>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自中标通知书发出之日起 25 日内。</w:t>
            </w:r>
          </w:p>
        </w:tc>
      </w:tr>
      <w:tr w14:paraId="46B60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2154" w:type="dxa"/>
            <w:gridSpan w:val="3"/>
            <w:tcBorders>
              <w:top w:val="single" w:color="000000" w:sz="4" w:space="0"/>
              <w:left w:val="single" w:color="000000" w:sz="4" w:space="0"/>
              <w:bottom w:val="single" w:color="000000" w:sz="4" w:space="0"/>
              <w:right w:val="single" w:color="000000" w:sz="4" w:space="0"/>
            </w:tcBorders>
            <w:noWrap w:val="0"/>
            <w:vAlign w:val="center"/>
          </w:tcPr>
          <w:p w14:paraId="1184DFEA">
            <w:pPr>
              <w:spacing w:line="360" w:lineRule="exact"/>
              <w:ind w:firstLine="42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报价要求</w:t>
            </w:r>
          </w:p>
        </w:tc>
        <w:tc>
          <w:tcPr>
            <w:tcW w:w="7097" w:type="dxa"/>
            <w:gridSpan w:val="3"/>
            <w:tcBorders>
              <w:top w:val="single" w:color="000000" w:sz="4" w:space="0"/>
              <w:left w:val="single" w:color="000000" w:sz="4" w:space="0"/>
              <w:bottom w:val="single" w:color="000000" w:sz="4" w:space="0"/>
              <w:right w:val="single" w:color="000000" w:sz="4" w:space="0"/>
            </w:tcBorders>
            <w:noWrap w:val="0"/>
            <w:vAlign w:val="top"/>
          </w:tcPr>
          <w:p w14:paraId="167B4E27">
            <w:pPr>
              <w:keepNext w:val="0"/>
              <w:keepLines w:val="0"/>
              <w:pageBreakBefore w:val="0"/>
              <w:widowControl w:val="0"/>
              <w:bidi w:val="0"/>
              <w:spacing w:line="400" w:lineRule="exact"/>
              <w:jc w:val="both"/>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1.本项目投标报价采用系数报价。投标人须对服务期内所承接的所有项目，在经委托第三方审核机构或报送</w:t>
            </w:r>
            <w:r>
              <w:rPr>
                <w:rFonts w:hint="eastAsia" w:ascii="宋体" w:hAnsi="宋体"/>
                <w:b/>
                <w:bCs/>
                <w:color w:val="auto"/>
                <w:szCs w:val="21"/>
                <w:highlight w:val="none"/>
              </w:rPr>
              <w:t>防城港</w:t>
            </w:r>
            <w:r>
              <w:rPr>
                <w:rFonts w:hint="eastAsia" w:ascii="宋体" w:hAnsi="宋体" w:eastAsia="宋体" w:cs="宋体"/>
                <w:b/>
                <w:bCs/>
                <w:color w:val="auto"/>
                <w:szCs w:val="21"/>
                <w:highlight w:val="none"/>
                <w:lang w:val="en-US" w:eastAsia="zh-CN"/>
              </w:rPr>
              <w:t>市财政投资评审中心审定的结算价款的基础上进行系数报价。系数报价保留两位小数。</w:t>
            </w:r>
          </w:p>
          <w:p w14:paraId="19869B8C">
            <w:pPr>
              <w:keepNext w:val="0"/>
              <w:keepLines w:val="0"/>
              <w:pageBreakBefore w:val="0"/>
              <w:widowControl w:val="0"/>
              <w:bidi w:val="0"/>
              <w:spacing w:line="400" w:lineRule="exact"/>
              <w:jc w:val="both"/>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2.报价范围：投标报价系数≤100%，投标人投标系数不在报价范围的，其报价无效，按投标无效处理。</w:t>
            </w:r>
          </w:p>
          <w:p w14:paraId="1CBA7529">
            <w:pPr>
              <w:keepNext w:val="0"/>
              <w:keepLines w:val="0"/>
              <w:pageBreakBefore w:val="0"/>
              <w:widowControl w:val="0"/>
              <w:tabs>
                <w:tab w:val="left" w:pos="1305"/>
              </w:tabs>
              <w:bidi w:val="0"/>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3.投标人只能有一个有效系数报价，否则，其投标将被拒绝。</w:t>
            </w:r>
          </w:p>
          <w:p w14:paraId="424E0A5A">
            <w:pPr>
              <w:keepNext w:val="0"/>
              <w:keepLines w:val="0"/>
              <w:pageBreakBefore w:val="0"/>
              <w:widowControl w:val="0"/>
              <w:tabs>
                <w:tab w:val="left" w:pos="1305"/>
              </w:tabs>
              <w:bidi w:val="0"/>
              <w:spacing w:line="400" w:lineRule="exact"/>
              <w:rPr>
                <w:rFonts w:hint="eastAsia" w:ascii="宋体" w:hAnsi="宋体" w:eastAsia="宋体" w:cs="宋体"/>
                <w:b/>
                <w:bCs/>
                <w:color w:val="auto"/>
                <w:szCs w:val="21"/>
                <w:highlight w:val="none"/>
                <w:lang w:val="en-US" w:eastAsia="zh-CN"/>
              </w:rPr>
            </w:pPr>
            <w:r>
              <w:rPr>
                <w:rFonts w:hint="eastAsia" w:ascii="宋体" w:hAnsi="宋体" w:cs="宋体"/>
                <w:b/>
                <w:bCs/>
                <w:color w:val="auto"/>
                <w:highlight w:val="none"/>
              </w:rPr>
              <w:t>4.投标人所报的</w:t>
            </w:r>
            <w:r>
              <w:rPr>
                <w:rFonts w:hint="eastAsia" w:ascii="宋体" w:hAnsi="宋体" w:cs="宋体"/>
                <w:b/>
                <w:bCs/>
                <w:color w:val="auto"/>
                <w:szCs w:val="21"/>
                <w:highlight w:val="none"/>
              </w:rPr>
              <w:t>系数报价</w:t>
            </w:r>
            <w:r>
              <w:rPr>
                <w:rFonts w:hint="eastAsia" w:ascii="宋体" w:hAnsi="宋体" w:cs="宋体"/>
                <w:b/>
                <w:bCs/>
                <w:color w:val="auto"/>
                <w:highlight w:val="none"/>
              </w:rPr>
              <w:t>在合同执行过程中固定不变，不得以任何理由予以变更。</w:t>
            </w:r>
          </w:p>
          <w:p w14:paraId="1788E040">
            <w:pPr>
              <w:keepNext w:val="0"/>
              <w:keepLines w:val="0"/>
              <w:pageBreakBefore w:val="0"/>
              <w:widowControl w:val="0"/>
              <w:bidi w:val="0"/>
              <w:spacing w:line="400" w:lineRule="exact"/>
              <w:jc w:val="both"/>
              <w:rPr>
                <w:rFonts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5.投标报价是合同期内用于计算具体项目结算金额的系数，具体项目的结算金额包括了为实施和完成合同工程所需的劳务、材料、机械、质检、安装、缺陷修复、管理、保险、税费、利润等费用，以及合同明示的所有责任、义务和一般风险。</w:t>
            </w:r>
          </w:p>
        </w:tc>
      </w:tr>
      <w:tr w14:paraId="33261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5" w:hRule="atLeast"/>
          <w:jc w:val="center"/>
        </w:trPr>
        <w:tc>
          <w:tcPr>
            <w:tcW w:w="2154" w:type="dxa"/>
            <w:gridSpan w:val="3"/>
            <w:tcBorders>
              <w:top w:val="single" w:color="000000" w:sz="4" w:space="0"/>
              <w:left w:val="single" w:color="000000" w:sz="4" w:space="0"/>
              <w:bottom w:val="single" w:color="000000" w:sz="4" w:space="0"/>
              <w:right w:val="single" w:color="000000" w:sz="4" w:space="0"/>
            </w:tcBorders>
            <w:noWrap w:val="0"/>
            <w:vAlign w:val="center"/>
          </w:tcPr>
          <w:p w14:paraId="6398D5EF">
            <w:pPr>
              <w:spacing w:line="360" w:lineRule="exact"/>
              <w:ind w:firstLine="42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付款方式</w:t>
            </w:r>
          </w:p>
        </w:tc>
        <w:tc>
          <w:tcPr>
            <w:tcW w:w="7097" w:type="dxa"/>
            <w:gridSpan w:val="3"/>
            <w:tcBorders>
              <w:top w:val="single" w:color="000000" w:sz="4" w:space="0"/>
              <w:left w:val="single" w:color="000000" w:sz="4" w:space="0"/>
              <w:bottom w:val="single" w:color="000000" w:sz="4" w:space="0"/>
              <w:right w:val="single" w:color="000000" w:sz="4" w:space="0"/>
            </w:tcBorders>
            <w:noWrap w:val="0"/>
            <w:vAlign w:val="center"/>
          </w:tcPr>
          <w:p w14:paraId="56CDDE9E">
            <w:pPr>
              <w:spacing w:line="360" w:lineRule="exact"/>
              <w:jc w:val="both"/>
              <w:rPr>
                <w:rFonts w:ascii="宋体" w:hAnsi="宋体" w:eastAsia="宋体" w:cs="宋体"/>
                <w:b/>
                <w:bCs/>
                <w:color w:val="auto"/>
                <w:szCs w:val="21"/>
                <w:highlight w:val="none"/>
                <w:lang w:val="en-US" w:eastAsia="zh-CN"/>
              </w:rPr>
            </w:pPr>
            <w:r>
              <w:rPr>
                <w:rFonts w:hint="eastAsia" w:ascii="宋体" w:hAnsi="宋体"/>
                <w:b/>
                <w:bCs/>
                <w:color w:val="auto"/>
                <w:szCs w:val="21"/>
                <w:highlight w:val="none"/>
              </w:rPr>
              <w:t>每2个月支付1次，根据《防城港市市本级市政设施日常维修养护管理考核办法（试行）》运用考核结果和委托第三方审核机构或报送防城港市财政投资评审中心审定价款进行综合计算后，得出每期服务费。在防城港市财政局下达资金使用计划后10</w:t>
            </w:r>
            <w:r>
              <w:rPr>
                <w:rFonts w:hint="eastAsia" w:ascii="宋体" w:hAnsi="宋体"/>
                <w:b/>
                <w:bCs/>
                <w:color w:val="auto"/>
                <w:szCs w:val="21"/>
                <w:highlight w:val="none"/>
                <w:lang w:eastAsia="zh-CN"/>
              </w:rPr>
              <w:t>个</w:t>
            </w:r>
            <w:r>
              <w:rPr>
                <w:rFonts w:hint="eastAsia" w:ascii="宋体" w:hAnsi="宋体"/>
                <w:b/>
                <w:bCs/>
                <w:color w:val="auto"/>
                <w:szCs w:val="21"/>
                <w:highlight w:val="none"/>
              </w:rPr>
              <w:t>工作日内支付。</w:t>
            </w:r>
          </w:p>
        </w:tc>
      </w:tr>
      <w:tr w14:paraId="65BB6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2154" w:type="dxa"/>
            <w:gridSpan w:val="3"/>
            <w:tcBorders>
              <w:top w:val="single" w:color="000000" w:sz="4" w:space="0"/>
              <w:left w:val="single" w:color="000000" w:sz="4" w:space="0"/>
              <w:bottom w:val="single" w:color="000000" w:sz="4" w:space="0"/>
              <w:right w:val="single" w:color="000000" w:sz="4" w:space="0"/>
            </w:tcBorders>
            <w:noWrap w:val="0"/>
            <w:vAlign w:val="center"/>
          </w:tcPr>
          <w:p w14:paraId="50829D29">
            <w:pPr>
              <w:spacing w:line="360" w:lineRule="exact"/>
              <w:ind w:firstLine="42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验收要求</w:t>
            </w:r>
          </w:p>
        </w:tc>
        <w:tc>
          <w:tcPr>
            <w:tcW w:w="7097" w:type="dxa"/>
            <w:gridSpan w:val="3"/>
            <w:tcBorders>
              <w:top w:val="single" w:color="000000" w:sz="4" w:space="0"/>
              <w:left w:val="single" w:color="000000" w:sz="4" w:space="0"/>
              <w:bottom w:val="single" w:color="000000" w:sz="4" w:space="0"/>
              <w:right w:val="single" w:color="000000" w:sz="4" w:space="0"/>
            </w:tcBorders>
            <w:noWrap w:val="0"/>
            <w:vAlign w:val="center"/>
          </w:tcPr>
          <w:p w14:paraId="2CEA4D92">
            <w:pPr>
              <w:spacing w:line="360" w:lineRule="exact"/>
              <w:ind w:firstLine="420"/>
              <w:jc w:val="both"/>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 xml:space="preserve"> 1.本项目将根据《防城港市市本级市政设施日常维修养护管理考核办法（试行）》（详见附件）进行考核验收，中标人所承接的维护养护项目必须达到《防城港市市本级市政设施日常维修养护管理考核办法（试行）》要求。</w:t>
            </w:r>
          </w:p>
          <w:p w14:paraId="5D38DD8F">
            <w:pPr>
              <w:spacing w:line="360" w:lineRule="exact"/>
              <w:ind w:firstLine="420"/>
              <w:jc w:val="both"/>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本项目验收不足之处须严格按《关于印发广西壮族自治区政府采购项目履约验收管理办法的通知》[桂财采〔2015〕22号]以及《财政部关于进一步加强政府采购需求和履约验收管理的指导意见》[财库〔2016〕205号]规定执行。</w:t>
            </w:r>
          </w:p>
        </w:tc>
      </w:tr>
      <w:tr w14:paraId="16535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2154" w:type="dxa"/>
            <w:gridSpan w:val="3"/>
            <w:tcBorders>
              <w:top w:val="single" w:color="000000" w:sz="4" w:space="0"/>
              <w:left w:val="single" w:color="000000" w:sz="4" w:space="0"/>
              <w:bottom w:val="single" w:color="000000" w:sz="4" w:space="0"/>
              <w:right w:val="single" w:color="000000" w:sz="4" w:space="0"/>
            </w:tcBorders>
            <w:noWrap w:val="0"/>
            <w:vAlign w:val="center"/>
          </w:tcPr>
          <w:p w14:paraId="091A92D8">
            <w:pPr>
              <w:spacing w:line="360" w:lineRule="exact"/>
              <w:ind w:firstLine="422"/>
              <w:jc w:val="both"/>
              <w:rPr>
                <w:rFonts w:hint="eastAsia" w:ascii="宋体" w:hAnsi="宋体" w:eastAsia="宋体" w:cs="宋体"/>
                <w:color w:val="auto"/>
                <w:szCs w:val="21"/>
                <w:highlight w:val="none"/>
                <w:lang w:val="en-US" w:eastAsia="zh-CN"/>
              </w:rPr>
            </w:pPr>
            <w:r>
              <w:rPr>
                <w:rFonts w:hint="eastAsia"/>
                <w:b/>
                <w:bCs/>
                <w:color w:val="auto"/>
                <w:highlight w:val="none"/>
              </w:rPr>
              <w:t>其他要求</w:t>
            </w:r>
          </w:p>
        </w:tc>
        <w:tc>
          <w:tcPr>
            <w:tcW w:w="7097" w:type="dxa"/>
            <w:gridSpan w:val="3"/>
            <w:tcBorders>
              <w:top w:val="single" w:color="000000" w:sz="4" w:space="0"/>
              <w:left w:val="single" w:color="000000" w:sz="4" w:space="0"/>
              <w:bottom w:val="single" w:color="000000" w:sz="4" w:space="0"/>
              <w:right w:val="single" w:color="000000" w:sz="4" w:space="0"/>
            </w:tcBorders>
            <w:noWrap w:val="0"/>
            <w:vAlign w:val="center"/>
          </w:tcPr>
          <w:p w14:paraId="04DF2396">
            <w:pPr>
              <w:numPr>
                <w:ilvl w:val="0"/>
                <w:numId w:val="4"/>
              </w:numPr>
              <w:spacing w:line="400" w:lineRule="exac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投标人结合本项目服务需求及要求于投标文件中提供技术</w:t>
            </w:r>
            <w:r>
              <w:rPr>
                <w:rFonts w:hint="eastAsia" w:ascii="宋体" w:hAnsi="宋体" w:cs="宋体"/>
                <w:b/>
                <w:bCs/>
                <w:color w:val="auto"/>
                <w:szCs w:val="21"/>
                <w:highlight w:val="none"/>
                <w:lang w:val="en-US" w:eastAsia="zh-CN"/>
              </w:rPr>
              <w:t>服务</w:t>
            </w:r>
            <w:r>
              <w:rPr>
                <w:rFonts w:hint="eastAsia" w:ascii="宋体" w:hAnsi="宋体" w:eastAsia="宋体" w:cs="宋体"/>
                <w:b/>
                <w:bCs/>
                <w:color w:val="auto"/>
                <w:szCs w:val="21"/>
                <w:highlight w:val="none"/>
                <w:lang w:val="en-US" w:eastAsia="zh-CN"/>
              </w:rPr>
              <w:t>方案；格式自拟。</w:t>
            </w:r>
          </w:p>
          <w:p w14:paraId="3B94C42A">
            <w:pPr>
              <w:numPr>
                <w:ilvl w:val="0"/>
                <w:numId w:val="4"/>
              </w:numPr>
              <w:spacing w:line="400" w:lineRule="exac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本项目不允许投标人挂靠投标。投标人中标后，如采购人发现中标人存在挂靠的，采购人将依法终止合同。</w:t>
            </w:r>
          </w:p>
        </w:tc>
      </w:tr>
      <w:tr w14:paraId="4647B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9251" w:type="dxa"/>
            <w:gridSpan w:val="6"/>
            <w:tcBorders>
              <w:top w:val="single" w:color="000000" w:sz="4" w:space="0"/>
              <w:left w:val="single" w:color="000000" w:sz="4" w:space="0"/>
              <w:bottom w:val="single" w:color="000000" w:sz="4" w:space="0"/>
              <w:right w:val="single" w:color="000000" w:sz="4" w:space="0"/>
            </w:tcBorders>
            <w:noWrap w:val="0"/>
            <w:vAlign w:val="center"/>
          </w:tcPr>
          <w:p w14:paraId="63094DA7">
            <w:pPr>
              <w:spacing w:line="360" w:lineRule="exact"/>
              <w:ind w:left="-2"/>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第三部分：与实现项目目标相关的其他要求</w:t>
            </w:r>
          </w:p>
        </w:tc>
      </w:tr>
      <w:tr w14:paraId="1BB44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9251" w:type="dxa"/>
            <w:gridSpan w:val="6"/>
            <w:tcBorders>
              <w:top w:val="single" w:color="000000" w:sz="4" w:space="0"/>
              <w:left w:val="single" w:color="000000" w:sz="4" w:space="0"/>
              <w:bottom w:val="single" w:color="000000" w:sz="4" w:space="0"/>
              <w:right w:val="single" w:color="000000" w:sz="4" w:space="0"/>
            </w:tcBorders>
            <w:noWrap w:val="0"/>
            <w:vAlign w:val="center"/>
          </w:tcPr>
          <w:p w14:paraId="05FCA2BD">
            <w:pPr>
              <w:spacing w:line="360" w:lineRule="exact"/>
              <w:ind w:left="-2"/>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一、投标人的履约能力要求</w:t>
            </w:r>
          </w:p>
        </w:tc>
      </w:tr>
      <w:tr w14:paraId="5BA3A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2154" w:type="dxa"/>
            <w:gridSpan w:val="3"/>
            <w:tcBorders>
              <w:top w:val="single" w:color="000000" w:sz="4" w:space="0"/>
              <w:left w:val="single" w:color="000000" w:sz="4" w:space="0"/>
              <w:bottom w:val="single" w:color="000000" w:sz="4" w:space="0"/>
              <w:right w:val="single" w:color="000000" w:sz="4" w:space="0"/>
            </w:tcBorders>
            <w:noWrap w:val="0"/>
            <w:vAlign w:val="center"/>
          </w:tcPr>
          <w:p w14:paraId="559FAADA">
            <w:pPr>
              <w:spacing w:line="360" w:lineRule="exact"/>
              <w:ind w:left="-2"/>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政策性加分条件</w:t>
            </w:r>
          </w:p>
        </w:tc>
        <w:tc>
          <w:tcPr>
            <w:tcW w:w="7097" w:type="dxa"/>
            <w:gridSpan w:val="3"/>
            <w:tcBorders>
              <w:top w:val="single" w:color="000000" w:sz="4" w:space="0"/>
              <w:left w:val="single" w:color="000000" w:sz="4" w:space="0"/>
              <w:bottom w:val="single" w:color="000000" w:sz="4" w:space="0"/>
              <w:right w:val="single" w:color="000000" w:sz="4" w:space="0"/>
            </w:tcBorders>
            <w:noWrap w:val="0"/>
            <w:vAlign w:val="center"/>
          </w:tcPr>
          <w:p w14:paraId="30C34F1E">
            <w:pPr>
              <w:spacing w:line="360" w:lineRule="exact"/>
              <w:ind w:left="-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见本采购文件第四章“评标方法及评标标准”。</w:t>
            </w:r>
          </w:p>
        </w:tc>
      </w:tr>
      <w:tr w14:paraId="0688C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2154" w:type="dxa"/>
            <w:gridSpan w:val="3"/>
            <w:tcBorders>
              <w:top w:val="single" w:color="000000" w:sz="4" w:space="0"/>
              <w:left w:val="single" w:color="000000" w:sz="4" w:space="0"/>
              <w:bottom w:val="single" w:color="000000" w:sz="4" w:space="0"/>
              <w:right w:val="single" w:color="000000" w:sz="4" w:space="0"/>
            </w:tcBorders>
            <w:noWrap w:val="0"/>
            <w:vAlign w:val="center"/>
          </w:tcPr>
          <w:p w14:paraId="21967F98">
            <w:pPr>
              <w:spacing w:line="360" w:lineRule="exact"/>
              <w:ind w:left="-2"/>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业绩要求</w:t>
            </w:r>
          </w:p>
        </w:tc>
        <w:tc>
          <w:tcPr>
            <w:tcW w:w="7097" w:type="dxa"/>
            <w:gridSpan w:val="3"/>
            <w:tcBorders>
              <w:top w:val="single" w:color="000000" w:sz="4" w:space="0"/>
              <w:left w:val="single" w:color="000000" w:sz="4" w:space="0"/>
              <w:bottom w:val="single" w:color="000000" w:sz="4" w:space="0"/>
              <w:right w:val="single" w:color="000000" w:sz="4" w:space="0"/>
            </w:tcBorders>
            <w:noWrap w:val="0"/>
            <w:vAlign w:val="center"/>
          </w:tcPr>
          <w:p w14:paraId="3502A12C">
            <w:pPr>
              <w:spacing w:line="360" w:lineRule="exact"/>
              <w:ind w:left="-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如有，请于投标文件中自行提供。</w:t>
            </w:r>
          </w:p>
        </w:tc>
      </w:tr>
      <w:tr w14:paraId="2729D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9251" w:type="dxa"/>
            <w:gridSpan w:val="6"/>
            <w:tcBorders>
              <w:top w:val="single" w:color="000000" w:sz="4" w:space="0"/>
              <w:left w:val="single" w:color="000000" w:sz="4" w:space="0"/>
              <w:bottom w:val="single" w:color="000000" w:sz="4" w:space="0"/>
              <w:right w:val="single" w:color="000000" w:sz="4" w:space="0"/>
            </w:tcBorders>
            <w:noWrap w:val="0"/>
            <w:vAlign w:val="center"/>
          </w:tcPr>
          <w:p w14:paraId="22B660F0">
            <w:pPr>
              <w:spacing w:line="360" w:lineRule="exact"/>
              <w:ind w:left="-2"/>
              <w:jc w:val="left"/>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二、进口产品及核心产品说明</w:t>
            </w:r>
          </w:p>
        </w:tc>
      </w:tr>
      <w:tr w14:paraId="1D383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9251" w:type="dxa"/>
            <w:gridSpan w:val="6"/>
            <w:tcBorders>
              <w:top w:val="single" w:color="000000" w:sz="4" w:space="0"/>
              <w:left w:val="single" w:color="000000" w:sz="4" w:space="0"/>
              <w:bottom w:val="single" w:color="000000" w:sz="4" w:space="0"/>
              <w:right w:val="single" w:color="000000" w:sz="4" w:space="0"/>
            </w:tcBorders>
            <w:noWrap w:val="0"/>
            <w:vAlign w:val="center"/>
          </w:tcPr>
          <w:p w14:paraId="2EBC9929">
            <w:pPr>
              <w:spacing w:line="360" w:lineRule="exact"/>
              <w:ind w:left="-2"/>
              <w:jc w:val="left"/>
              <w:rPr>
                <w:rFonts w:hint="eastAsia" w:ascii="宋体" w:hAnsi="宋体" w:eastAsia="宋体" w:cs="宋体"/>
                <w:color w:val="auto"/>
                <w:szCs w:val="21"/>
                <w:highlight w:val="none"/>
                <w:lang w:val="en-US" w:eastAsia="zh-CN"/>
              </w:rPr>
            </w:pPr>
            <w:r>
              <w:rPr>
                <w:rFonts w:hint="eastAsia"/>
                <w:color w:val="auto"/>
                <w:highlight w:val="none"/>
              </w:rPr>
              <w:t>本项目为服务类项目，无进口产品和核心产品。</w:t>
            </w:r>
          </w:p>
        </w:tc>
      </w:tr>
    </w:tbl>
    <w:p w14:paraId="48AE7A88">
      <w:pPr>
        <w:pStyle w:val="222"/>
        <w:jc w:val="center"/>
        <w:rPr>
          <w:rFonts w:hint="eastAsia" w:ascii="宋体" w:hAnsi="宋体" w:cs="宋体"/>
          <w:b/>
          <w:bCs/>
          <w:color w:val="auto"/>
          <w:szCs w:val="21"/>
          <w:highlight w:val="none"/>
        </w:rPr>
      </w:pPr>
    </w:p>
    <w:p w14:paraId="4504A9F6">
      <w:pPr>
        <w:pStyle w:val="222"/>
        <w:jc w:val="center"/>
        <w:rPr>
          <w:rFonts w:hint="eastAsia" w:ascii="宋体" w:hAnsi="宋体" w:cs="宋体"/>
          <w:b/>
          <w:bCs/>
          <w:color w:val="auto"/>
          <w:szCs w:val="21"/>
          <w:highlight w:val="none"/>
        </w:rPr>
      </w:pPr>
    </w:p>
    <w:p w14:paraId="2317AB4D">
      <w:pPr>
        <w:shd w:val="clear" w:color="auto" w:fill="auto"/>
        <w:spacing w:line="360" w:lineRule="auto"/>
        <w:jc w:val="both"/>
        <w:rPr>
          <w:rFonts w:ascii="宋体" w:hAnsi="宋体"/>
          <w:b/>
          <w:bCs/>
          <w:color w:val="auto"/>
          <w:sz w:val="44"/>
          <w:szCs w:val="44"/>
          <w:highlight w:val="none"/>
        </w:rPr>
        <w:sectPr>
          <w:footerReference r:id="rId3" w:type="default"/>
          <w:pgSz w:w="11910" w:h="16840"/>
          <w:pgMar w:top="1340" w:right="1500" w:bottom="280" w:left="1680" w:header="720" w:footer="720" w:gutter="0"/>
          <w:pgBorders>
            <w:top w:val="none" w:sz="0" w:space="0"/>
            <w:left w:val="none" w:sz="0" w:space="0"/>
            <w:bottom w:val="none" w:sz="0" w:space="0"/>
            <w:right w:val="none" w:sz="0" w:space="0"/>
          </w:pgBorders>
          <w:pgNumType w:start="1"/>
          <w:cols w:space="1701" w:num="1"/>
        </w:sectPr>
      </w:pPr>
    </w:p>
    <w:p w14:paraId="786D2054">
      <w:pPr>
        <w:spacing w:line="360" w:lineRule="auto"/>
        <w:jc w:val="both"/>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附件</w:t>
      </w:r>
    </w:p>
    <w:p w14:paraId="58128DB0">
      <w:pPr>
        <w:spacing w:line="360" w:lineRule="auto"/>
        <w:jc w:val="center"/>
        <w:rPr>
          <w:rFonts w:ascii="宋体" w:hAnsi="宋体" w:cs="宋体"/>
          <w:b/>
          <w:bCs/>
          <w:color w:val="auto"/>
          <w:sz w:val="22"/>
          <w:szCs w:val="22"/>
          <w:highlight w:val="none"/>
        </w:rPr>
      </w:pPr>
      <w:r>
        <w:rPr>
          <w:rFonts w:hint="eastAsia" w:hAnsi="宋体" w:cs="宋体"/>
          <w:color w:val="auto"/>
          <w:sz w:val="22"/>
          <w:szCs w:val="22"/>
          <w:highlight w:val="none"/>
          <w:lang w:val="en-US" w:eastAsia="zh-CN"/>
        </w:rPr>
        <w:t xml:space="preserve"> </w:t>
      </w:r>
      <w:r>
        <w:rPr>
          <w:rFonts w:hint="eastAsia" w:ascii="宋体" w:hAnsi="宋体" w:cs="宋体"/>
          <w:b/>
          <w:bCs/>
          <w:color w:val="auto"/>
          <w:sz w:val="28"/>
          <w:szCs w:val="28"/>
          <w:highlight w:val="none"/>
        </w:rPr>
        <w:t>防城港市市本级市政设施日常维修养护管理考核办法（试行）</w:t>
      </w:r>
    </w:p>
    <w:p w14:paraId="57BC083E">
      <w:pPr>
        <w:spacing w:line="360" w:lineRule="auto"/>
        <w:ind w:firstLine="442"/>
        <w:jc w:val="center"/>
        <w:rPr>
          <w:rFonts w:ascii="宋体" w:hAnsi="宋体" w:cs="宋体"/>
          <w:b/>
          <w:color w:val="auto"/>
          <w:sz w:val="22"/>
          <w:szCs w:val="22"/>
          <w:highlight w:val="none"/>
        </w:rPr>
      </w:pPr>
    </w:p>
    <w:p w14:paraId="57C15DCA">
      <w:pPr>
        <w:spacing w:line="360" w:lineRule="auto"/>
        <w:ind w:firstLine="440"/>
        <w:rPr>
          <w:rFonts w:ascii="宋体" w:hAnsi="宋体" w:cs="宋体"/>
          <w:color w:val="auto"/>
          <w:sz w:val="22"/>
          <w:szCs w:val="22"/>
          <w:highlight w:val="none"/>
        </w:rPr>
      </w:pPr>
      <w:r>
        <w:rPr>
          <w:rFonts w:hint="eastAsia" w:ascii="宋体" w:hAnsi="宋体" w:cs="宋体"/>
          <w:color w:val="auto"/>
          <w:sz w:val="22"/>
          <w:szCs w:val="22"/>
          <w:highlight w:val="none"/>
        </w:rPr>
        <w:t>为进一步加强防城港市市政设施管理，确保防城港市市政设施的完好和正常运行，提高防城港市市政管理水平和维护质量，改善城市环境，针对当前防城港市市本级市政设施日常维修养护标准、考核、管理模式等方面出现的突出问题，按照防城港市市委、防城港市人民政府关于强化防城港市市政管理的工作要求，对照先进发达地区的标准，结合防城港市实际，特制定本办法。</w:t>
      </w:r>
    </w:p>
    <w:p w14:paraId="1333329F">
      <w:pPr>
        <w:spacing w:line="360" w:lineRule="auto"/>
        <w:ind w:firstLine="442"/>
        <w:rPr>
          <w:rFonts w:ascii="宋体" w:hAnsi="宋体" w:cs="宋体"/>
          <w:b/>
          <w:bCs/>
          <w:color w:val="auto"/>
          <w:sz w:val="22"/>
          <w:szCs w:val="22"/>
          <w:highlight w:val="none"/>
        </w:rPr>
      </w:pPr>
      <w:r>
        <w:rPr>
          <w:rFonts w:hint="eastAsia" w:ascii="宋体" w:hAnsi="宋体" w:cs="宋体"/>
          <w:b/>
          <w:bCs/>
          <w:color w:val="auto"/>
          <w:sz w:val="22"/>
          <w:szCs w:val="22"/>
          <w:highlight w:val="none"/>
        </w:rPr>
        <w:t>一、指导思想</w:t>
      </w:r>
    </w:p>
    <w:p w14:paraId="7249053D">
      <w:pPr>
        <w:spacing w:line="360" w:lineRule="auto"/>
        <w:ind w:firstLine="440"/>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以习近平新时代中国特色社会主义思想为指导，全面贯彻落实党的二十大精神</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坚持新发展理念，按照高质量发展的要求，以问题为导向，通过进一步深化防城港市市本级市政设施日常维护服务改革，不断探索新思路、新方法，使防城港市市政设施维修养护管理水平实现新的突破，不断提升市政设施品质水平，改善人居环境，建设“宜居防城港”。</w:t>
      </w:r>
    </w:p>
    <w:p w14:paraId="626395B4">
      <w:pPr>
        <w:spacing w:line="360" w:lineRule="auto"/>
        <w:ind w:firstLine="442"/>
        <w:rPr>
          <w:rFonts w:ascii="宋体" w:hAnsi="宋体" w:cs="宋体"/>
          <w:b/>
          <w:bCs/>
          <w:color w:val="auto"/>
          <w:sz w:val="22"/>
          <w:szCs w:val="22"/>
          <w:highlight w:val="none"/>
        </w:rPr>
      </w:pPr>
      <w:r>
        <w:rPr>
          <w:rFonts w:hint="eastAsia" w:ascii="宋体" w:hAnsi="宋体" w:cs="宋体"/>
          <w:b/>
          <w:bCs/>
          <w:color w:val="auto"/>
          <w:sz w:val="22"/>
          <w:szCs w:val="22"/>
          <w:highlight w:val="none"/>
        </w:rPr>
        <w:t>二、工作目标</w:t>
      </w:r>
    </w:p>
    <w:p w14:paraId="56917A51">
      <w:pPr>
        <w:spacing w:line="360" w:lineRule="auto"/>
        <w:ind w:firstLine="440"/>
        <w:rPr>
          <w:rFonts w:ascii="宋体" w:hAnsi="宋体" w:cs="宋体"/>
          <w:color w:val="auto"/>
          <w:sz w:val="22"/>
          <w:szCs w:val="22"/>
          <w:highlight w:val="none"/>
        </w:rPr>
      </w:pPr>
      <w:r>
        <w:rPr>
          <w:rFonts w:hint="eastAsia" w:ascii="宋体" w:hAnsi="宋体" w:cs="宋体"/>
          <w:color w:val="auto"/>
          <w:sz w:val="22"/>
          <w:szCs w:val="22"/>
          <w:highlight w:val="none"/>
        </w:rPr>
        <w:t>通过推行防城港市市政设施维修养护管理考核，培育统一开放、有序竞争的防城港市市政设施养护作业市场，真正实现市场对公共服务的优化配置，全面推进防城港市市政设施维护管理工作的社会化、专业化、规范化、精细化，提高工作效率，确保防城港市市政设施完好和使用安全。进一步增强防城港市市政设施维修养护财政资金使用的计划性、公开性和透明度，规范资金管理，提高资金的使用效益。</w:t>
      </w:r>
    </w:p>
    <w:p w14:paraId="7391F69E">
      <w:pPr>
        <w:spacing w:line="360" w:lineRule="auto"/>
        <w:ind w:firstLine="442"/>
        <w:rPr>
          <w:rFonts w:ascii="宋体" w:hAnsi="宋体" w:cs="宋体"/>
          <w:b/>
          <w:bCs/>
          <w:color w:val="auto"/>
          <w:sz w:val="22"/>
          <w:szCs w:val="22"/>
          <w:highlight w:val="none"/>
        </w:rPr>
      </w:pPr>
      <w:r>
        <w:rPr>
          <w:rFonts w:hint="eastAsia" w:ascii="宋体" w:hAnsi="宋体" w:cs="宋体"/>
          <w:b/>
          <w:bCs/>
          <w:color w:val="auto"/>
          <w:sz w:val="22"/>
          <w:szCs w:val="22"/>
          <w:highlight w:val="none"/>
        </w:rPr>
        <w:t>三、考核依据</w:t>
      </w:r>
    </w:p>
    <w:p w14:paraId="2A932529">
      <w:pPr>
        <w:widowControl/>
        <w:shd w:val="clear" w:color="auto" w:fill="FFFFFF"/>
        <w:spacing w:line="360" w:lineRule="auto"/>
        <w:ind w:firstLine="398"/>
        <w:jc w:val="left"/>
        <w:rPr>
          <w:rFonts w:ascii="宋体" w:hAnsi="宋体" w:cs="宋体"/>
          <w:color w:val="auto"/>
          <w:sz w:val="22"/>
          <w:szCs w:val="22"/>
          <w:highlight w:val="none"/>
        </w:rPr>
      </w:pPr>
      <w:r>
        <w:rPr>
          <w:rFonts w:hint="eastAsia" w:ascii="宋体" w:hAnsi="宋体" w:cs="宋体"/>
          <w:color w:val="auto"/>
          <w:sz w:val="22"/>
          <w:szCs w:val="22"/>
          <w:highlight w:val="none"/>
        </w:rPr>
        <w:t>（一）《城镇道路养护技术规范》（CJJ36—</w:t>
      </w:r>
      <w:r>
        <w:rPr>
          <w:rFonts w:hint="eastAsia" w:ascii="宋体" w:hAnsi="宋体" w:cs="宋体"/>
          <w:color w:val="auto"/>
          <w:sz w:val="22"/>
          <w:szCs w:val="22"/>
          <w:highlight w:val="none"/>
          <w:lang w:val="en-US" w:eastAsia="zh-CN"/>
        </w:rPr>
        <w:t>2016</w:t>
      </w:r>
      <w:r>
        <w:rPr>
          <w:rFonts w:hint="eastAsia" w:ascii="宋体" w:hAnsi="宋体" w:cs="宋体"/>
          <w:color w:val="auto"/>
          <w:sz w:val="22"/>
          <w:szCs w:val="22"/>
          <w:highlight w:val="none"/>
        </w:rPr>
        <w:t>）。</w:t>
      </w:r>
    </w:p>
    <w:p w14:paraId="20ED0FC7">
      <w:pPr>
        <w:widowControl/>
        <w:shd w:val="clear" w:color="auto" w:fill="FFFFFF"/>
        <w:spacing w:line="360" w:lineRule="auto"/>
        <w:ind w:firstLine="398"/>
        <w:jc w:val="left"/>
        <w:rPr>
          <w:rFonts w:ascii="宋体" w:hAnsi="宋体" w:cs="宋体"/>
          <w:color w:val="auto"/>
          <w:sz w:val="22"/>
          <w:szCs w:val="22"/>
          <w:highlight w:val="none"/>
        </w:rPr>
      </w:pPr>
      <w:r>
        <w:rPr>
          <w:rFonts w:hint="eastAsia" w:ascii="宋体" w:hAnsi="宋体" w:cs="宋体"/>
          <w:color w:val="auto"/>
          <w:sz w:val="22"/>
          <w:szCs w:val="22"/>
          <w:highlight w:val="none"/>
        </w:rPr>
        <w:t>（二）《城市桥梁养护技术</w:t>
      </w:r>
      <w:r>
        <w:rPr>
          <w:rFonts w:hint="eastAsia" w:ascii="宋体" w:hAnsi="宋体" w:cs="宋体"/>
          <w:color w:val="auto"/>
          <w:sz w:val="22"/>
          <w:szCs w:val="22"/>
          <w:highlight w:val="none"/>
          <w:lang w:val="en-US" w:eastAsia="zh-CN"/>
        </w:rPr>
        <w:t>标准</w:t>
      </w:r>
      <w:r>
        <w:rPr>
          <w:rFonts w:hint="eastAsia" w:ascii="宋体" w:hAnsi="宋体" w:cs="宋体"/>
          <w:color w:val="auto"/>
          <w:sz w:val="22"/>
          <w:szCs w:val="22"/>
          <w:highlight w:val="none"/>
        </w:rPr>
        <w:t>》（CJJ99—20</w:t>
      </w:r>
      <w:r>
        <w:rPr>
          <w:rFonts w:hint="eastAsia" w:ascii="宋体" w:hAnsi="宋体" w:cs="宋体"/>
          <w:color w:val="auto"/>
          <w:sz w:val="22"/>
          <w:szCs w:val="22"/>
          <w:highlight w:val="none"/>
          <w:lang w:val="en-US" w:eastAsia="zh-CN"/>
        </w:rPr>
        <w:t>17</w:t>
      </w:r>
      <w:r>
        <w:rPr>
          <w:rFonts w:hint="eastAsia" w:ascii="宋体" w:hAnsi="宋体" w:cs="宋体"/>
          <w:color w:val="auto"/>
          <w:sz w:val="22"/>
          <w:szCs w:val="22"/>
          <w:highlight w:val="none"/>
        </w:rPr>
        <w:t>）。</w:t>
      </w:r>
    </w:p>
    <w:p w14:paraId="36DFEBF8">
      <w:pPr>
        <w:widowControl/>
        <w:shd w:val="clear" w:color="auto" w:fill="FFFFFF"/>
        <w:spacing w:line="360" w:lineRule="auto"/>
        <w:ind w:firstLine="398"/>
        <w:jc w:val="left"/>
        <w:rPr>
          <w:rFonts w:ascii="宋体" w:hAnsi="宋体" w:cs="宋体"/>
          <w:color w:val="auto"/>
          <w:sz w:val="22"/>
          <w:szCs w:val="22"/>
          <w:highlight w:val="none"/>
        </w:rPr>
      </w:pPr>
      <w:r>
        <w:rPr>
          <w:rFonts w:hint="eastAsia" w:ascii="宋体" w:hAnsi="宋体" w:cs="宋体"/>
          <w:color w:val="auto"/>
          <w:sz w:val="22"/>
          <w:szCs w:val="22"/>
          <w:highlight w:val="none"/>
        </w:rPr>
        <w:t>（三）《城镇排水管渠与泵站运行、维护及安全技术规程》（CJJ68-2016）。</w:t>
      </w:r>
    </w:p>
    <w:p w14:paraId="4B752F9C">
      <w:pPr>
        <w:widowControl/>
        <w:shd w:val="clear" w:color="auto" w:fill="FFFFFF"/>
        <w:spacing w:line="360" w:lineRule="auto"/>
        <w:ind w:firstLine="376"/>
        <w:jc w:val="left"/>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w:t>
      </w:r>
      <w:r>
        <w:rPr>
          <w:rFonts w:hint="eastAsia" w:ascii="宋体" w:hAnsi="宋体" w:cs="宋体"/>
          <w:color w:val="auto"/>
          <w:spacing w:val="-6"/>
          <w:sz w:val="22"/>
          <w:szCs w:val="22"/>
          <w:highlight w:val="none"/>
          <w:lang w:val="en-US" w:eastAsia="zh-CN"/>
        </w:rPr>
        <w:t>四</w:t>
      </w:r>
      <w:r>
        <w:rPr>
          <w:rFonts w:hint="eastAsia" w:ascii="宋体" w:hAnsi="宋体" w:cs="宋体"/>
          <w:color w:val="auto"/>
          <w:spacing w:val="-6"/>
          <w:sz w:val="22"/>
          <w:szCs w:val="22"/>
          <w:highlight w:val="none"/>
        </w:rPr>
        <w:t>）《防城港市城市精细化管理办法》（防政办发〔2015〕21号）</w:t>
      </w:r>
    </w:p>
    <w:p w14:paraId="609212A1">
      <w:pPr>
        <w:widowControl/>
        <w:shd w:val="clear" w:color="auto" w:fill="FFFFFF"/>
        <w:spacing w:line="360" w:lineRule="auto"/>
        <w:ind w:firstLine="398"/>
        <w:jc w:val="left"/>
        <w:rPr>
          <w:rFonts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五</w:t>
      </w:r>
      <w:r>
        <w:rPr>
          <w:rFonts w:hint="eastAsia" w:ascii="宋体" w:hAnsi="宋体" w:cs="宋体"/>
          <w:color w:val="auto"/>
          <w:sz w:val="22"/>
          <w:szCs w:val="22"/>
          <w:highlight w:val="none"/>
        </w:rPr>
        <w:t>）国家有关法律、法规，地方性政策、法规、文件及相关行业标准。</w:t>
      </w:r>
    </w:p>
    <w:p w14:paraId="7D44F35E">
      <w:pPr>
        <w:spacing w:line="360" w:lineRule="auto"/>
        <w:ind w:firstLine="442"/>
        <w:rPr>
          <w:rFonts w:ascii="宋体" w:hAnsi="宋体" w:cs="宋体"/>
          <w:b/>
          <w:bCs/>
          <w:color w:val="auto"/>
          <w:sz w:val="22"/>
          <w:szCs w:val="22"/>
          <w:highlight w:val="none"/>
        </w:rPr>
      </w:pPr>
      <w:r>
        <w:rPr>
          <w:rFonts w:hint="eastAsia" w:ascii="宋体" w:hAnsi="宋体" w:cs="宋体"/>
          <w:b/>
          <w:bCs/>
          <w:color w:val="auto"/>
          <w:sz w:val="22"/>
          <w:szCs w:val="22"/>
          <w:highlight w:val="none"/>
        </w:rPr>
        <w:t>四、考核主体</w:t>
      </w:r>
    </w:p>
    <w:p w14:paraId="36986A2E">
      <w:pPr>
        <w:spacing w:line="360" w:lineRule="auto"/>
        <w:ind w:firstLine="440"/>
        <w:rPr>
          <w:rFonts w:ascii="宋体" w:hAnsi="宋体" w:cs="宋体"/>
          <w:color w:val="auto"/>
          <w:sz w:val="22"/>
          <w:szCs w:val="22"/>
          <w:highlight w:val="none"/>
        </w:rPr>
      </w:pPr>
      <w:r>
        <w:rPr>
          <w:rFonts w:hint="eastAsia" w:ascii="宋体" w:hAnsi="宋体" w:cs="宋体"/>
          <w:color w:val="auto"/>
          <w:sz w:val="22"/>
          <w:szCs w:val="22"/>
          <w:highlight w:val="none"/>
          <w:lang w:val="en-US" w:eastAsia="zh-CN"/>
        </w:rPr>
        <w:t>对</w:t>
      </w:r>
      <w:r>
        <w:rPr>
          <w:rFonts w:hint="eastAsia" w:ascii="宋体" w:hAnsi="宋体" w:cs="宋体"/>
          <w:color w:val="auto"/>
          <w:sz w:val="22"/>
          <w:szCs w:val="22"/>
          <w:highlight w:val="none"/>
        </w:rPr>
        <w:t>防城港市市政设施进行考核。</w:t>
      </w:r>
    </w:p>
    <w:p w14:paraId="199DCE43">
      <w:pPr>
        <w:spacing w:line="360" w:lineRule="auto"/>
        <w:ind w:firstLine="440"/>
        <w:rPr>
          <w:rFonts w:ascii="宋体" w:hAnsi="宋体" w:cs="宋体"/>
          <w:color w:val="auto"/>
          <w:sz w:val="22"/>
          <w:szCs w:val="22"/>
          <w:highlight w:val="none"/>
        </w:rPr>
      </w:pPr>
      <w:r>
        <w:rPr>
          <w:rFonts w:hint="eastAsia" w:ascii="宋体" w:hAnsi="宋体" w:cs="宋体"/>
          <w:color w:val="auto"/>
          <w:sz w:val="22"/>
          <w:szCs w:val="22"/>
          <w:highlight w:val="none"/>
        </w:rPr>
        <w:t>防城港市市政设施考评组组长为防城港</w:t>
      </w:r>
      <w:r>
        <w:rPr>
          <w:rFonts w:hint="eastAsia" w:ascii="宋体" w:hAnsi="宋体" w:cs="宋体"/>
          <w:color w:val="auto"/>
          <w:sz w:val="22"/>
          <w:szCs w:val="22"/>
          <w:highlight w:val="none"/>
          <w:lang w:eastAsia="zh-CN"/>
        </w:rPr>
        <w:t>市住房城乡建设局</w:t>
      </w:r>
      <w:r>
        <w:rPr>
          <w:rFonts w:hint="eastAsia" w:ascii="宋体" w:hAnsi="宋体" w:cs="宋体"/>
          <w:color w:val="auto"/>
          <w:sz w:val="22"/>
          <w:szCs w:val="22"/>
          <w:highlight w:val="none"/>
        </w:rPr>
        <w:t>分管领导，</w:t>
      </w:r>
      <w:r>
        <w:rPr>
          <w:rFonts w:hint="eastAsia" w:ascii="宋体" w:hAnsi="宋体" w:cs="宋体"/>
          <w:color w:val="auto"/>
          <w:sz w:val="22"/>
          <w:szCs w:val="22"/>
          <w:highlight w:val="none"/>
          <w:lang w:val="en-US" w:eastAsia="zh-CN"/>
        </w:rPr>
        <w:t>成员为城建科、计财科、</w:t>
      </w:r>
      <w:r>
        <w:rPr>
          <w:rFonts w:hint="eastAsia" w:ascii="宋体" w:hAnsi="宋体" w:cs="宋体"/>
          <w:color w:val="auto"/>
          <w:sz w:val="22"/>
          <w:szCs w:val="22"/>
          <w:highlight w:val="none"/>
        </w:rPr>
        <w:t>市政工程服务中心</w:t>
      </w:r>
      <w:r>
        <w:rPr>
          <w:rFonts w:hint="eastAsia" w:ascii="宋体" w:hAnsi="宋体" w:cs="宋体"/>
          <w:color w:val="auto"/>
          <w:sz w:val="22"/>
          <w:szCs w:val="22"/>
          <w:highlight w:val="none"/>
          <w:lang w:val="en-US" w:eastAsia="zh-CN"/>
        </w:rPr>
        <w:t>干部</w:t>
      </w:r>
      <w:r>
        <w:rPr>
          <w:rFonts w:hint="eastAsia" w:ascii="宋体" w:hAnsi="宋体" w:cs="宋体"/>
          <w:color w:val="auto"/>
          <w:sz w:val="22"/>
          <w:szCs w:val="22"/>
          <w:highlight w:val="none"/>
        </w:rPr>
        <w:t>组成，由市政工程服务中心负责组织考核工作。</w:t>
      </w:r>
    </w:p>
    <w:p w14:paraId="5CFFEC48">
      <w:pPr>
        <w:spacing w:line="360" w:lineRule="auto"/>
        <w:ind w:firstLine="442"/>
        <w:rPr>
          <w:rFonts w:ascii="宋体" w:hAnsi="宋体" w:cs="宋体"/>
          <w:b/>
          <w:bCs/>
          <w:color w:val="auto"/>
          <w:sz w:val="22"/>
          <w:szCs w:val="22"/>
          <w:highlight w:val="none"/>
        </w:rPr>
      </w:pPr>
      <w:r>
        <w:rPr>
          <w:rFonts w:hint="eastAsia" w:ascii="宋体" w:hAnsi="宋体" w:cs="宋体"/>
          <w:b/>
          <w:bCs/>
          <w:color w:val="auto"/>
          <w:sz w:val="22"/>
          <w:szCs w:val="22"/>
          <w:highlight w:val="none"/>
        </w:rPr>
        <w:t>五、考核范围及对象</w:t>
      </w:r>
    </w:p>
    <w:p w14:paraId="4DCF6DA4">
      <w:pPr>
        <w:spacing w:line="360" w:lineRule="auto"/>
        <w:ind w:firstLine="440"/>
        <w:rPr>
          <w:rFonts w:ascii="宋体" w:hAnsi="宋体" w:cs="宋体"/>
          <w:bCs/>
          <w:color w:val="auto"/>
          <w:sz w:val="22"/>
          <w:szCs w:val="22"/>
          <w:highlight w:val="none"/>
        </w:rPr>
      </w:pPr>
      <w:r>
        <w:rPr>
          <w:rFonts w:hint="eastAsia" w:ascii="宋体" w:hAnsi="宋体" w:cs="宋体"/>
          <w:bCs/>
          <w:color w:val="auto"/>
          <w:sz w:val="22"/>
          <w:szCs w:val="22"/>
          <w:highlight w:val="none"/>
        </w:rPr>
        <w:t>（一）考核范围：</w:t>
      </w:r>
      <w:r>
        <w:rPr>
          <w:rFonts w:hint="eastAsia" w:ascii="宋体" w:hAnsi="宋体" w:cs="宋体"/>
          <w:bCs/>
          <w:color w:val="auto"/>
          <w:sz w:val="22"/>
          <w:szCs w:val="22"/>
          <w:highlight w:val="none"/>
          <w:lang w:eastAsia="zh-CN"/>
        </w:rPr>
        <w:t>防城港市住房和城乡建设局</w:t>
      </w:r>
      <w:r>
        <w:rPr>
          <w:rFonts w:hint="eastAsia" w:ascii="宋体" w:hAnsi="宋体" w:cs="宋体"/>
          <w:bCs/>
          <w:color w:val="auto"/>
          <w:sz w:val="22"/>
          <w:szCs w:val="22"/>
          <w:highlight w:val="none"/>
        </w:rPr>
        <w:t>负责管理的市政道路、桥梁、排水管渠、排水泵站、附属设施等（具体设施详见附件1、2）。</w:t>
      </w:r>
    </w:p>
    <w:p w14:paraId="5EAFB78C">
      <w:pPr>
        <w:spacing w:line="360" w:lineRule="auto"/>
        <w:ind w:firstLine="440"/>
        <w:rPr>
          <w:rFonts w:ascii="宋体" w:hAnsi="宋体" w:cs="宋体"/>
          <w:color w:val="auto"/>
          <w:sz w:val="22"/>
          <w:szCs w:val="22"/>
          <w:highlight w:val="none"/>
        </w:rPr>
      </w:pPr>
      <w:r>
        <w:rPr>
          <w:rFonts w:hint="eastAsia" w:ascii="宋体" w:hAnsi="宋体" w:cs="宋体"/>
          <w:bCs/>
          <w:color w:val="auto"/>
          <w:sz w:val="22"/>
          <w:szCs w:val="22"/>
          <w:highlight w:val="none"/>
        </w:rPr>
        <w:t>（二）考核对象：经政府采购依法确定的</w:t>
      </w:r>
      <w:r>
        <w:rPr>
          <w:rFonts w:hint="eastAsia" w:ascii="宋体" w:hAnsi="宋体" w:cs="宋体"/>
          <w:color w:val="auto"/>
          <w:sz w:val="22"/>
          <w:szCs w:val="22"/>
          <w:highlight w:val="none"/>
        </w:rPr>
        <w:t>市本级市政设施日常维修养护项目施工企业。</w:t>
      </w:r>
    </w:p>
    <w:p w14:paraId="162CB3D6">
      <w:pPr>
        <w:spacing w:line="360" w:lineRule="auto"/>
        <w:ind w:firstLine="442"/>
        <w:rPr>
          <w:rFonts w:ascii="宋体" w:hAnsi="宋体" w:cs="宋体"/>
          <w:b/>
          <w:bCs/>
          <w:color w:val="auto"/>
          <w:sz w:val="22"/>
          <w:szCs w:val="22"/>
          <w:highlight w:val="none"/>
        </w:rPr>
      </w:pPr>
      <w:r>
        <w:rPr>
          <w:rFonts w:hint="eastAsia" w:ascii="宋体" w:hAnsi="宋体" w:cs="宋体"/>
          <w:b/>
          <w:bCs/>
          <w:color w:val="auto"/>
          <w:sz w:val="22"/>
          <w:szCs w:val="22"/>
          <w:highlight w:val="none"/>
        </w:rPr>
        <w:t>六、一般规定</w:t>
      </w:r>
    </w:p>
    <w:p w14:paraId="4C7A951B">
      <w:pPr>
        <w:spacing w:line="360" w:lineRule="auto"/>
        <w:ind w:firstLine="440"/>
        <w:rPr>
          <w:rFonts w:ascii="宋体" w:hAnsi="宋体" w:cs="宋体"/>
          <w:bCs/>
          <w:color w:val="auto"/>
          <w:sz w:val="22"/>
          <w:szCs w:val="22"/>
          <w:highlight w:val="none"/>
        </w:rPr>
      </w:pPr>
      <w:r>
        <w:rPr>
          <w:rFonts w:hint="eastAsia" w:ascii="宋体" w:hAnsi="宋体" w:cs="宋体"/>
          <w:bCs/>
          <w:color w:val="auto"/>
          <w:sz w:val="22"/>
          <w:szCs w:val="22"/>
          <w:highlight w:val="none"/>
        </w:rPr>
        <w:t>（一）</w:t>
      </w:r>
      <w:r>
        <w:rPr>
          <w:rFonts w:hint="eastAsia" w:ascii="宋体" w:hAnsi="宋体" w:cs="宋体"/>
          <w:color w:val="auto"/>
          <w:sz w:val="22"/>
          <w:szCs w:val="22"/>
          <w:highlight w:val="none"/>
        </w:rPr>
        <w:t>防城港市市本级市政设施日常维修养护项目通过政府采购</w:t>
      </w:r>
      <w:r>
        <w:rPr>
          <w:rFonts w:hint="eastAsia" w:ascii="宋体" w:hAnsi="宋体" w:cs="宋体"/>
          <w:bCs/>
          <w:color w:val="auto"/>
          <w:sz w:val="22"/>
          <w:szCs w:val="22"/>
          <w:highlight w:val="none"/>
        </w:rPr>
        <w:t>。</w:t>
      </w:r>
    </w:p>
    <w:p w14:paraId="24A302EA">
      <w:pPr>
        <w:spacing w:line="360" w:lineRule="auto"/>
        <w:ind w:firstLine="440"/>
        <w:rPr>
          <w:rFonts w:ascii="宋体" w:hAnsi="宋体" w:cs="宋体"/>
          <w:bCs/>
          <w:color w:val="auto"/>
          <w:sz w:val="22"/>
          <w:szCs w:val="22"/>
          <w:highlight w:val="none"/>
        </w:rPr>
      </w:pPr>
      <w:r>
        <w:rPr>
          <w:rFonts w:hint="eastAsia" w:ascii="宋体" w:hAnsi="宋体" w:cs="宋体"/>
          <w:color w:val="auto"/>
          <w:sz w:val="22"/>
          <w:szCs w:val="22"/>
          <w:highlight w:val="none"/>
        </w:rPr>
        <w:t>（二）施工企业须具备独立法人资格及市政公用工程施工总承包贰级（及以上）资质，</w:t>
      </w:r>
      <w:r>
        <w:rPr>
          <w:rFonts w:hint="eastAsia" w:ascii="宋体" w:hAnsi="宋体" w:cs="宋体"/>
          <w:color w:val="auto"/>
          <w:spacing w:val="-6"/>
          <w:sz w:val="22"/>
          <w:szCs w:val="22"/>
          <w:highlight w:val="none"/>
        </w:rPr>
        <w:t>具有相关资质证书、安全生产许可证；符合</w:t>
      </w:r>
      <w:r>
        <w:rPr>
          <w:rFonts w:hint="eastAsia" w:ascii="宋体" w:hAnsi="宋体" w:cs="宋体"/>
          <w:color w:val="auto"/>
          <w:sz w:val="22"/>
          <w:szCs w:val="22"/>
          <w:highlight w:val="none"/>
        </w:rPr>
        <w:t>防城港市</w:t>
      </w:r>
      <w:r>
        <w:rPr>
          <w:rFonts w:hint="eastAsia" w:ascii="宋体" w:hAnsi="宋体" w:cs="宋体"/>
          <w:color w:val="auto"/>
          <w:spacing w:val="-6"/>
          <w:sz w:val="22"/>
          <w:szCs w:val="22"/>
          <w:highlight w:val="none"/>
        </w:rPr>
        <w:t>政府购买服务关于承接主体的其他资格条件要求。</w:t>
      </w:r>
      <w:r>
        <w:rPr>
          <w:rFonts w:hint="eastAsia" w:ascii="宋体" w:hAnsi="宋体" w:cs="宋体"/>
          <w:bCs/>
          <w:color w:val="auto"/>
          <w:sz w:val="22"/>
          <w:szCs w:val="22"/>
          <w:highlight w:val="none"/>
        </w:rPr>
        <w:t>服务期限内须在防城港市设有固定经营场所及施工材料堆放场所，</w:t>
      </w:r>
      <w:r>
        <w:rPr>
          <w:rFonts w:hint="eastAsia" w:ascii="宋体" w:hAnsi="宋体" w:cs="宋体"/>
          <w:color w:val="auto"/>
          <w:sz w:val="22"/>
          <w:szCs w:val="22"/>
          <w:highlight w:val="none"/>
        </w:rPr>
        <w:t>须自有巡查、养护车辆和专业设备。</w:t>
      </w:r>
    </w:p>
    <w:p w14:paraId="150D291A">
      <w:pPr>
        <w:spacing w:line="360" w:lineRule="auto"/>
        <w:ind w:firstLine="440"/>
        <w:rPr>
          <w:rFonts w:ascii="宋体" w:hAnsi="宋体" w:cs="宋体"/>
          <w:bCs/>
          <w:color w:val="auto"/>
          <w:sz w:val="22"/>
          <w:szCs w:val="22"/>
          <w:highlight w:val="none"/>
        </w:rPr>
      </w:pPr>
      <w:r>
        <w:rPr>
          <w:rFonts w:hint="eastAsia" w:ascii="宋体" w:hAnsi="宋体" w:cs="宋体"/>
          <w:bCs/>
          <w:color w:val="auto"/>
          <w:sz w:val="22"/>
          <w:szCs w:val="22"/>
          <w:highlight w:val="none"/>
        </w:rPr>
        <w:t>（三）新接收设施</w:t>
      </w:r>
    </w:p>
    <w:p w14:paraId="01911058">
      <w:pPr>
        <w:spacing w:line="360" w:lineRule="auto"/>
        <w:ind w:firstLine="440"/>
        <w:rPr>
          <w:rFonts w:ascii="宋体" w:hAnsi="宋体" w:cs="宋体"/>
          <w:color w:val="auto"/>
          <w:sz w:val="22"/>
          <w:szCs w:val="22"/>
          <w:highlight w:val="none"/>
        </w:rPr>
      </w:pPr>
      <w:r>
        <w:rPr>
          <w:rFonts w:hint="eastAsia" w:ascii="宋体" w:hAnsi="宋体" w:cs="宋体"/>
          <w:color w:val="auto"/>
          <w:sz w:val="22"/>
          <w:szCs w:val="22"/>
          <w:highlight w:val="none"/>
        </w:rPr>
        <w:t>对于新接收的道路、排水和桥梁等设施，无条件纳入维修养护范围，中标浮动率及合同价格将不作调整。</w:t>
      </w:r>
    </w:p>
    <w:p w14:paraId="204C1145">
      <w:pPr>
        <w:spacing w:line="360" w:lineRule="auto"/>
        <w:ind w:firstLine="442"/>
        <w:rPr>
          <w:rFonts w:ascii="宋体" w:hAnsi="宋体" w:cs="宋体"/>
          <w:b/>
          <w:bCs/>
          <w:color w:val="auto"/>
          <w:sz w:val="22"/>
          <w:szCs w:val="22"/>
          <w:highlight w:val="none"/>
        </w:rPr>
      </w:pPr>
      <w:r>
        <w:rPr>
          <w:rFonts w:hint="eastAsia" w:ascii="宋体" w:hAnsi="宋体" w:cs="宋体"/>
          <w:b/>
          <w:bCs/>
          <w:color w:val="auto"/>
          <w:sz w:val="22"/>
          <w:szCs w:val="22"/>
          <w:highlight w:val="none"/>
        </w:rPr>
        <w:t>七、维护标准和要求</w:t>
      </w:r>
    </w:p>
    <w:p w14:paraId="3B4A8081">
      <w:pPr>
        <w:spacing w:line="360" w:lineRule="auto"/>
        <w:ind w:firstLine="440"/>
        <w:rPr>
          <w:rFonts w:ascii="宋体" w:hAnsi="宋体" w:cs="宋体"/>
          <w:color w:val="auto"/>
          <w:sz w:val="22"/>
          <w:szCs w:val="22"/>
          <w:highlight w:val="none"/>
        </w:rPr>
      </w:pPr>
      <w:r>
        <w:rPr>
          <w:rFonts w:hint="eastAsia" w:ascii="宋体" w:hAnsi="宋体" w:cs="宋体"/>
          <w:color w:val="auto"/>
          <w:sz w:val="22"/>
          <w:szCs w:val="22"/>
          <w:highlight w:val="none"/>
        </w:rPr>
        <w:t>1、维护标准：市政设施维修、养护、管理应达到“五无”(无隐患、无坑洞、无渍水、无缺损、无堵塞)，“三好”(养护维修质量好、路面平整顺畅好、管网排水功能好)为标准，具体标准详见附件3。</w:t>
      </w:r>
    </w:p>
    <w:p w14:paraId="25690F88">
      <w:pPr>
        <w:spacing w:line="360" w:lineRule="auto"/>
        <w:ind w:firstLine="440"/>
        <w:jc w:val="left"/>
        <w:rPr>
          <w:rFonts w:ascii="宋体" w:hAnsi="宋体" w:cs="宋体"/>
          <w:color w:val="auto"/>
          <w:sz w:val="22"/>
          <w:szCs w:val="22"/>
          <w:highlight w:val="none"/>
        </w:rPr>
      </w:pPr>
      <w:r>
        <w:rPr>
          <w:rFonts w:hint="eastAsia" w:ascii="宋体" w:hAnsi="宋体" w:cs="宋体"/>
          <w:color w:val="auto"/>
          <w:sz w:val="22"/>
          <w:szCs w:val="22"/>
          <w:highlight w:val="none"/>
        </w:rPr>
        <w:t>2、维护质量要求：达到《城镇道路养护技术规范</w:t>
      </w:r>
      <w:r>
        <w:rPr>
          <w:color w:val="auto"/>
          <w:highlight w:val="none"/>
        </w:rPr>
        <w:t>》</w:t>
      </w:r>
      <w:r>
        <w:rPr>
          <w:rFonts w:hint="eastAsia" w:ascii="宋体" w:hAnsi="宋体" w:cs="宋体"/>
          <w:color w:val="auto"/>
          <w:sz w:val="22"/>
          <w:szCs w:val="22"/>
          <w:highlight w:val="none"/>
        </w:rPr>
        <w:t>、</w:t>
      </w:r>
      <w:r>
        <w:rPr>
          <w:color w:val="auto"/>
          <w:highlight w:val="none"/>
        </w:rPr>
        <w:t>《</w:t>
      </w:r>
      <w:r>
        <w:rPr>
          <w:rFonts w:hint="eastAsia" w:ascii="宋体" w:hAnsi="宋体" w:cs="宋体"/>
          <w:color w:val="auto"/>
          <w:sz w:val="22"/>
          <w:szCs w:val="22"/>
          <w:highlight w:val="none"/>
        </w:rPr>
        <w:t>城镇排水管渠与泵站维护技术规程》、</w:t>
      </w:r>
      <w:r>
        <w:rPr>
          <w:color w:val="auto"/>
          <w:highlight w:val="none"/>
        </w:rPr>
        <w:t>《</w:t>
      </w:r>
      <w:r>
        <w:rPr>
          <w:rFonts w:hint="eastAsia" w:ascii="宋体" w:hAnsi="宋体" w:cs="宋体"/>
          <w:color w:val="auto"/>
          <w:sz w:val="22"/>
          <w:szCs w:val="22"/>
          <w:highlight w:val="none"/>
        </w:rPr>
        <w:t>城市桥梁养护技术</w:t>
      </w:r>
      <w:r>
        <w:rPr>
          <w:rFonts w:hint="eastAsia" w:ascii="宋体" w:hAnsi="宋体" w:cs="宋体"/>
          <w:color w:val="auto"/>
          <w:sz w:val="22"/>
          <w:szCs w:val="22"/>
          <w:highlight w:val="none"/>
          <w:lang w:val="en-US" w:eastAsia="zh-CN"/>
        </w:rPr>
        <w:t>标准</w:t>
      </w:r>
      <w:r>
        <w:rPr>
          <w:rFonts w:hint="eastAsia" w:ascii="宋体" w:hAnsi="宋体" w:cs="宋体"/>
          <w:color w:val="auto"/>
          <w:sz w:val="22"/>
          <w:szCs w:val="22"/>
          <w:highlight w:val="none"/>
        </w:rPr>
        <w:t>》及其它现行的国家施工验收规范和质量评定标准。</w:t>
      </w:r>
    </w:p>
    <w:p w14:paraId="72714FD4">
      <w:pPr>
        <w:spacing w:line="360" w:lineRule="auto"/>
        <w:ind w:firstLine="552"/>
        <w:rPr>
          <w:rFonts w:ascii="宋体" w:hAnsi="宋体" w:cs="宋体"/>
          <w:b/>
          <w:bCs/>
          <w:color w:val="auto"/>
          <w:sz w:val="22"/>
          <w:szCs w:val="22"/>
          <w:highlight w:val="none"/>
        </w:rPr>
      </w:pPr>
      <w:r>
        <w:rPr>
          <w:rFonts w:hint="eastAsia" w:ascii="宋体" w:hAnsi="宋体" w:cs="宋体"/>
          <w:b/>
          <w:bCs/>
          <w:color w:val="auto"/>
          <w:sz w:val="22"/>
          <w:szCs w:val="22"/>
          <w:highlight w:val="none"/>
        </w:rPr>
        <w:t>八、考核内容</w:t>
      </w:r>
    </w:p>
    <w:p w14:paraId="2F9C5530">
      <w:pPr>
        <w:spacing w:line="360" w:lineRule="auto"/>
        <w:ind w:firstLine="440"/>
        <w:rPr>
          <w:rFonts w:ascii="宋体" w:hAnsi="宋体" w:cs="宋体"/>
          <w:color w:val="auto"/>
          <w:sz w:val="22"/>
          <w:szCs w:val="22"/>
          <w:highlight w:val="none"/>
        </w:rPr>
      </w:pPr>
      <w:r>
        <w:rPr>
          <w:rFonts w:hint="eastAsia" w:ascii="宋体" w:hAnsi="宋体" w:cs="宋体"/>
          <w:color w:val="auto"/>
          <w:sz w:val="22"/>
          <w:szCs w:val="22"/>
          <w:highlight w:val="none"/>
        </w:rPr>
        <w:t>（1）社会责任：认真履行社会、工作职能，妥善处理各类事件、问题。</w:t>
      </w:r>
    </w:p>
    <w:p w14:paraId="1C4A502C">
      <w:pPr>
        <w:spacing w:line="360" w:lineRule="auto"/>
        <w:ind w:firstLine="440"/>
        <w:rPr>
          <w:rFonts w:ascii="宋体" w:hAnsi="宋体" w:cs="宋体"/>
          <w:color w:val="auto"/>
          <w:sz w:val="22"/>
          <w:szCs w:val="22"/>
          <w:highlight w:val="none"/>
        </w:rPr>
      </w:pPr>
      <w:r>
        <w:rPr>
          <w:rFonts w:hint="eastAsia" w:ascii="宋体" w:hAnsi="宋体" w:cs="宋体"/>
          <w:color w:val="auto"/>
          <w:sz w:val="22"/>
          <w:szCs w:val="22"/>
          <w:highlight w:val="none"/>
        </w:rPr>
        <w:t>（2）日常巡查：确保市政设施按规定巡查到位，巡查工作每次有记载，内容准确，应做到项目、位置、数量准确无误，发现问题要及时上报，并有记录，处理完毕后，记录处理结果。</w:t>
      </w:r>
    </w:p>
    <w:p w14:paraId="5A785D7E">
      <w:pPr>
        <w:spacing w:line="360" w:lineRule="auto"/>
        <w:ind w:firstLine="440"/>
        <w:rPr>
          <w:rFonts w:ascii="宋体" w:hAnsi="宋体" w:cs="宋体"/>
          <w:color w:val="auto"/>
          <w:sz w:val="22"/>
          <w:szCs w:val="22"/>
          <w:highlight w:val="none"/>
        </w:rPr>
      </w:pPr>
      <w:r>
        <w:rPr>
          <w:rFonts w:hint="eastAsia" w:ascii="宋体" w:hAnsi="宋体" w:cs="宋体"/>
          <w:color w:val="auto"/>
          <w:sz w:val="22"/>
          <w:szCs w:val="22"/>
          <w:highlight w:val="none"/>
        </w:rPr>
        <w:t>（3）安全文明施工：在实施设施维修养护工程中，严格执行相关规定，做到安全文明施工，无相关责任事件（故）。</w:t>
      </w:r>
    </w:p>
    <w:p w14:paraId="12E6109A">
      <w:pPr>
        <w:spacing w:line="360" w:lineRule="auto"/>
        <w:ind w:firstLine="440"/>
        <w:jc w:val="left"/>
        <w:rPr>
          <w:rFonts w:ascii="宋体" w:hAnsi="宋体" w:cs="宋体"/>
          <w:b/>
          <w:color w:val="auto"/>
          <w:sz w:val="22"/>
          <w:szCs w:val="22"/>
          <w:highlight w:val="none"/>
        </w:rPr>
      </w:pPr>
      <w:r>
        <w:rPr>
          <w:rFonts w:hint="eastAsia" w:ascii="宋体" w:hAnsi="宋体" w:cs="宋体"/>
          <w:color w:val="auto"/>
          <w:sz w:val="22"/>
          <w:szCs w:val="22"/>
          <w:highlight w:val="none"/>
        </w:rPr>
        <w:t>（4）日常维护及时率和维护项目质量：对影响设施安全运行的问题及时有效维护；维护项目外观、实测实量和技术档案应达到维修养护技术规范相关标准。</w:t>
      </w:r>
    </w:p>
    <w:p w14:paraId="18D1E058">
      <w:pPr>
        <w:spacing w:line="360" w:lineRule="auto"/>
        <w:ind w:firstLine="442"/>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九、施工企业考核方式和标准</w:t>
      </w:r>
    </w:p>
    <w:p w14:paraId="5D1073A4">
      <w:pPr>
        <w:numPr>
          <w:ilvl w:val="0"/>
          <w:numId w:val="5"/>
        </w:numPr>
        <w:spacing w:line="360" w:lineRule="auto"/>
        <w:ind w:left="-20" w:firstLine="440"/>
        <w:rPr>
          <w:rFonts w:ascii="宋体" w:hAnsi="宋体" w:cs="宋体"/>
          <w:color w:val="auto"/>
          <w:sz w:val="22"/>
          <w:szCs w:val="22"/>
          <w:highlight w:val="none"/>
        </w:rPr>
      </w:pPr>
      <w:r>
        <w:rPr>
          <w:rFonts w:hint="eastAsia" w:ascii="宋体" w:hAnsi="宋体" w:cs="宋体"/>
          <w:color w:val="auto"/>
          <w:sz w:val="22"/>
          <w:szCs w:val="22"/>
          <w:highlight w:val="none"/>
        </w:rPr>
        <w:t>日常抽查考核：对施工企业违规行为进行当场通报并限期整改，整改不力即作出经济处罚或扣除相应分值。</w:t>
      </w:r>
    </w:p>
    <w:p w14:paraId="3450D9ED">
      <w:pPr>
        <w:numPr>
          <w:ilvl w:val="0"/>
          <w:numId w:val="5"/>
        </w:numPr>
        <w:spacing w:line="360" w:lineRule="auto"/>
        <w:ind w:left="-20" w:firstLine="440"/>
        <w:rPr>
          <w:color w:val="auto"/>
          <w:highlight w:val="none"/>
        </w:rPr>
      </w:pPr>
      <w:r>
        <w:rPr>
          <w:rFonts w:hint="eastAsia" w:ascii="宋体" w:hAnsi="宋体" w:cs="宋体"/>
          <w:color w:val="auto"/>
          <w:sz w:val="22"/>
          <w:szCs w:val="22"/>
          <w:highlight w:val="none"/>
        </w:rPr>
        <w:t>周期考核：每两个月对施工企业的设施维护情况进行集中评分，市政设施（道路、排水和桥梁等）（扣分标准详见附件</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w:t>
      </w:r>
    </w:p>
    <w:p w14:paraId="19F976FB">
      <w:pPr>
        <w:spacing w:line="360" w:lineRule="auto"/>
        <w:ind w:firstLine="440"/>
        <w:rPr>
          <w:rFonts w:ascii="宋体" w:hAnsi="宋体" w:cs="宋体"/>
          <w:color w:val="auto"/>
          <w:sz w:val="22"/>
          <w:szCs w:val="22"/>
          <w:highlight w:val="none"/>
        </w:rPr>
      </w:pPr>
      <w:r>
        <w:rPr>
          <w:rFonts w:hint="eastAsia" w:ascii="宋体" w:hAnsi="宋体" w:cs="宋体"/>
          <w:color w:val="auto"/>
          <w:sz w:val="22"/>
          <w:szCs w:val="22"/>
          <w:highlight w:val="none"/>
        </w:rPr>
        <w:t>每期考核总分为100分：</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0分以上（含</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 xml:space="preserve">0分）为合格； </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0分以下为不合格。合同期内</w:t>
      </w:r>
      <w:r>
        <w:rPr>
          <w:rFonts w:hint="eastAsia" w:ascii="宋体" w:hAnsi="宋体" w:cs="宋体"/>
          <w:color w:val="auto"/>
          <w:sz w:val="22"/>
          <w:szCs w:val="22"/>
          <w:highlight w:val="none"/>
          <w:lang w:val="en-US" w:eastAsia="zh-CN"/>
        </w:rPr>
        <w:t>出现1次</w:t>
      </w:r>
      <w:r>
        <w:rPr>
          <w:rFonts w:hint="eastAsia" w:ascii="宋体" w:hAnsi="宋体" w:cs="宋体"/>
          <w:color w:val="auto"/>
          <w:sz w:val="22"/>
          <w:szCs w:val="22"/>
          <w:highlight w:val="none"/>
        </w:rPr>
        <w:t>考核结果为不合格等级，有权依法解除合同。</w:t>
      </w:r>
    </w:p>
    <w:p w14:paraId="43537FBE">
      <w:pPr>
        <w:spacing w:line="360" w:lineRule="auto"/>
        <w:ind w:firstLine="433"/>
        <w:rPr>
          <w:rFonts w:ascii="宋体" w:hAnsi="宋体" w:cs="宋体"/>
          <w:b/>
          <w:bCs/>
          <w:color w:val="auto"/>
          <w:sz w:val="22"/>
          <w:szCs w:val="22"/>
          <w:highlight w:val="none"/>
        </w:rPr>
      </w:pPr>
      <w:r>
        <w:rPr>
          <w:rFonts w:hint="eastAsia" w:ascii="宋体" w:hAnsi="宋体" w:cs="宋体"/>
          <w:b/>
          <w:bCs/>
          <w:color w:val="auto"/>
          <w:sz w:val="22"/>
          <w:szCs w:val="22"/>
          <w:highlight w:val="none"/>
        </w:rPr>
        <w:t>十、考核结果运用</w:t>
      </w:r>
    </w:p>
    <w:p w14:paraId="21E7B28A">
      <w:pPr>
        <w:spacing w:line="360" w:lineRule="auto"/>
        <w:ind w:firstLine="440"/>
        <w:rPr>
          <w:rFonts w:ascii="宋体" w:hAnsi="宋体" w:cs="宋体"/>
          <w:color w:val="auto"/>
          <w:sz w:val="22"/>
          <w:szCs w:val="22"/>
          <w:highlight w:val="none"/>
        </w:rPr>
      </w:pPr>
      <w:r>
        <w:rPr>
          <w:rFonts w:hint="eastAsia" w:ascii="宋体" w:hAnsi="宋体" w:cs="宋体"/>
          <w:color w:val="auto"/>
          <w:sz w:val="22"/>
          <w:szCs w:val="22"/>
          <w:highlight w:val="none"/>
        </w:rPr>
        <w:t>（一）市政工程服务中心组织市政设施的考核工作，作为政府购买服务费用计算和支付的依据，并通报施工企业。</w:t>
      </w:r>
    </w:p>
    <w:p w14:paraId="08725AFF">
      <w:pPr>
        <w:spacing w:line="360" w:lineRule="auto"/>
        <w:ind w:firstLine="440"/>
        <w:rPr>
          <w:rFonts w:ascii="宋体" w:hAnsi="宋体" w:cs="宋体"/>
          <w:color w:val="auto"/>
          <w:sz w:val="22"/>
          <w:szCs w:val="22"/>
          <w:highlight w:val="none"/>
        </w:rPr>
      </w:pPr>
      <w:r>
        <w:rPr>
          <w:rFonts w:hint="eastAsia" w:ascii="宋体" w:hAnsi="宋体" w:cs="宋体"/>
          <w:color w:val="auto"/>
          <w:sz w:val="22"/>
          <w:szCs w:val="22"/>
          <w:highlight w:val="none"/>
        </w:rPr>
        <w:t>（二）对于考核出现的问题由市政工程服务中心出具业务联系单给日常维护施工企业，督促其及时进行整改。</w:t>
      </w:r>
    </w:p>
    <w:p w14:paraId="448FDD1B">
      <w:pPr>
        <w:spacing w:line="360" w:lineRule="auto"/>
        <w:ind w:firstLine="440"/>
        <w:rPr>
          <w:rFonts w:ascii="宋体" w:hAnsi="宋体" w:cs="宋体"/>
          <w:color w:val="auto"/>
          <w:sz w:val="22"/>
          <w:szCs w:val="22"/>
          <w:highlight w:val="none"/>
        </w:rPr>
      </w:pPr>
      <w:r>
        <w:rPr>
          <w:rFonts w:hint="eastAsia" w:ascii="宋体" w:hAnsi="宋体" w:cs="宋体"/>
          <w:color w:val="auto"/>
          <w:sz w:val="22"/>
          <w:szCs w:val="22"/>
          <w:highlight w:val="none"/>
        </w:rPr>
        <w:t>（三）日常考核经济处罚金额在维护经费核拨中扣除，并通告日常维护施工企业原因。</w:t>
      </w:r>
    </w:p>
    <w:p w14:paraId="30970FD7">
      <w:pPr>
        <w:spacing w:line="360" w:lineRule="auto"/>
        <w:ind w:firstLine="440"/>
        <w:rPr>
          <w:rFonts w:hint="eastAsia" w:ascii="宋体" w:hAnsi="宋体" w:cs="宋体"/>
          <w:color w:val="auto"/>
          <w:sz w:val="22"/>
          <w:szCs w:val="22"/>
          <w:highlight w:val="none"/>
        </w:rPr>
      </w:pPr>
      <w:r>
        <w:rPr>
          <w:rFonts w:hint="eastAsia" w:ascii="宋体" w:hAnsi="宋体" w:cs="宋体"/>
          <w:color w:val="auto"/>
          <w:sz w:val="22"/>
          <w:szCs w:val="22"/>
          <w:highlight w:val="none"/>
        </w:rPr>
        <w:t>（四）每期考核分数高于90分(含90分)不作处罚，低于90分，每扣1分处罚</w:t>
      </w:r>
      <w:r>
        <w:rPr>
          <w:rFonts w:hint="eastAsia" w:ascii="宋体" w:hAnsi="宋体" w:cs="宋体"/>
          <w:color w:val="auto"/>
          <w:sz w:val="22"/>
          <w:szCs w:val="22"/>
          <w:highlight w:val="none"/>
          <w:lang w:eastAsia="zh-CN"/>
        </w:rPr>
        <w:t>当期</w:t>
      </w:r>
      <w:r>
        <w:rPr>
          <w:rFonts w:hint="eastAsia" w:ascii="宋体" w:hAnsi="宋体" w:cs="宋体"/>
          <w:color w:val="auto"/>
          <w:sz w:val="22"/>
          <w:szCs w:val="22"/>
          <w:highlight w:val="none"/>
          <w:lang w:val="en-US" w:eastAsia="zh-CN"/>
        </w:rPr>
        <w:t>结算价的1%</w:t>
      </w:r>
      <w:r>
        <w:rPr>
          <w:rFonts w:hint="eastAsia" w:ascii="宋体" w:hAnsi="宋体" w:cs="宋体"/>
          <w:color w:val="auto"/>
          <w:sz w:val="22"/>
          <w:szCs w:val="22"/>
          <w:highlight w:val="none"/>
        </w:rPr>
        <w:t>，低于80分每扣1分处罚</w:t>
      </w:r>
      <w:r>
        <w:rPr>
          <w:rFonts w:hint="eastAsia" w:ascii="宋体" w:hAnsi="宋体" w:cs="宋体"/>
          <w:color w:val="auto"/>
          <w:sz w:val="22"/>
          <w:szCs w:val="22"/>
          <w:highlight w:val="none"/>
          <w:lang w:eastAsia="zh-CN"/>
        </w:rPr>
        <w:t>当期</w:t>
      </w:r>
      <w:r>
        <w:rPr>
          <w:rFonts w:hint="eastAsia" w:ascii="宋体" w:hAnsi="宋体" w:cs="宋体"/>
          <w:color w:val="auto"/>
          <w:sz w:val="22"/>
          <w:szCs w:val="22"/>
          <w:highlight w:val="none"/>
          <w:lang w:val="en-US" w:eastAsia="zh-CN"/>
        </w:rPr>
        <w:t>结算价的1.5%</w:t>
      </w:r>
      <w:r>
        <w:rPr>
          <w:rFonts w:hint="eastAsia" w:ascii="宋体" w:hAnsi="宋体" w:cs="宋体"/>
          <w:color w:val="auto"/>
          <w:sz w:val="22"/>
          <w:szCs w:val="22"/>
          <w:highlight w:val="none"/>
        </w:rPr>
        <w:t>，低于70分每扣1分处罚</w:t>
      </w:r>
      <w:r>
        <w:rPr>
          <w:rFonts w:hint="eastAsia" w:ascii="宋体" w:hAnsi="宋体" w:cs="宋体"/>
          <w:color w:val="auto"/>
          <w:sz w:val="22"/>
          <w:szCs w:val="22"/>
          <w:highlight w:val="none"/>
          <w:lang w:eastAsia="zh-CN"/>
        </w:rPr>
        <w:t>当期</w:t>
      </w:r>
      <w:r>
        <w:rPr>
          <w:rFonts w:hint="eastAsia" w:ascii="宋体" w:hAnsi="宋体" w:cs="宋体"/>
          <w:color w:val="auto"/>
          <w:sz w:val="22"/>
          <w:szCs w:val="22"/>
          <w:highlight w:val="none"/>
          <w:lang w:val="en-US" w:eastAsia="zh-CN"/>
        </w:rPr>
        <w:t>结算价的2%</w:t>
      </w:r>
      <w:r>
        <w:rPr>
          <w:rFonts w:hint="eastAsia" w:ascii="宋体" w:hAnsi="宋体" w:cs="宋体"/>
          <w:color w:val="auto"/>
          <w:sz w:val="22"/>
          <w:szCs w:val="22"/>
          <w:highlight w:val="none"/>
        </w:rPr>
        <w:t>，处罚费用在下次送审结算之中核减，低于60分</w:t>
      </w:r>
      <w:r>
        <w:rPr>
          <w:rFonts w:hint="eastAsia" w:ascii="宋体" w:hAnsi="宋体" w:cs="宋体"/>
          <w:color w:val="auto"/>
          <w:sz w:val="22"/>
          <w:szCs w:val="22"/>
          <w:highlight w:val="none"/>
          <w:lang w:eastAsia="zh-CN"/>
        </w:rPr>
        <w:t>每扣</w:t>
      </w:r>
      <w:r>
        <w:rPr>
          <w:rFonts w:hint="eastAsia" w:ascii="宋体" w:hAnsi="宋体" w:cs="宋体"/>
          <w:color w:val="auto"/>
          <w:sz w:val="22"/>
          <w:szCs w:val="22"/>
          <w:highlight w:val="none"/>
          <w:lang w:val="en-US" w:eastAsia="zh-CN"/>
        </w:rPr>
        <w:t>1分</w:t>
      </w:r>
      <w:r>
        <w:rPr>
          <w:rFonts w:hint="eastAsia" w:ascii="宋体" w:hAnsi="宋体" w:cs="宋体"/>
          <w:color w:val="auto"/>
          <w:sz w:val="22"/>
          <w:szCs w:val="22"/>
          <w:highlight w:val="none"/>
          <w:lang w:eastAsia="zh-CN"/>
        </w:rPr>
        <w:t>处罚当期</w:t>
      </w:r>
      <w:r>
        <w:rPr>
          <w:rFonts w:hint="eastAsia" w:ascii="宋体" w:hAnsi="宋体" w:cs="宋体"/>
          <w:color w:val="auto"/>
          <w:sz w:val="22"/>
          <w:szCs w:val="22"/>
          <w:highlight w:val="none"/>
          <w:lang w:val="en-US" w:eastAsia="zh-CN"/>
        </w:rPr>
        <w:t>结算价的2.5%同时</w:t>
      </w:r>
      <w:r>
        <w:rPr>
          <w:rFonts w:hint="eastAsia" w:ascii="宋体" w:hAnsi="宋体" w:cs="宋体"/>
          <w:color w:val="auto"/>
          <w:sz w:val="22"/>
          <w:szCs w:val="22"/>
          <w:highlight w:val="none"/>
          <w:lang w:eastAsia="zh-CN"/>
        </w:rPr>
        <w:t>采购人</w:t>
      </w:r>
      <w:r>
        <w:rPr>
          <w:rFonts w:hint="eastAsia" w:ascii="宋体" w:hAnsi="宋体" w:cs="宋体"/>
          <w:color w:val="auto"/>
          <w:sz w:val="22"/>
          <w:szCs w:val="22"/>
          <w:highlight w:val="none"/>
        </w:rPr>
        <w:t>有权依法解除合同。</w:t>
      </w:r>
    </w:p>
    <w:p w14:paraId="5D70D179">
      <w:pPr>
        <w:spacing w:line="360" w:lineRule="auto"/>
        <w:ind w:firstLine="440"/>
        <w:rPr>
          <w:rFonts w:hint="eastAsia" w:ascii="宋体" w:hAnsi="宋体" w:cs="宋体"/>
          <w:color w:val="auto"/>
          <w:sz w:val="22"/>
          <w:szCs w:val="22"/>
          <w:highlight w:val="none"/>
        </w:rPr>
      </w:pPr>
      <w:r>
        <w:rPr>
          <w:rFonts w:hint="eastAsia" w:ascii="宋体" w:hAnsi="宋体" w:cs="宋体"/>
          <w:color w:val="auto"/>
          <w:sz w:val="22"/>
          <w:szCs w:val="22"/>
          <w:highlight w:val="none"/>
        </w:rPr>
        <w:t>（五）合同期内</w:t>
      </w:r>
      <w:r>
        <w:rPr>
          <w:rFonts w:hint="eastAsia" w:ascii="宋体" w:hAnsi="宋体" w:cs="宋体"/>
          <w:color w:val="auto"/>
          <w:sz w:val="22"/>
          <w:szCs w:val="22"/>
          <w:highlight w:val="none"/>
          <w:lang w:val="en-US" w:eastAsia="zh-CN"/>
        </w:rPr>
        <w:t>出现1次</w:t>
      </w:r>
      <w:r>
        <w:rPr>
          <w:rFonts w:hint="eastAsia" w:ascii="宋体" w:hAnsi="宋体" w:cs="宋体"/>
          <w:color w:val="auto"/>
          <w:sz w:val="22"/>
          <w:szCs w:val="22"/>
          <w:highlight w:val="none"/>
        </w:rPr>
        <w:t>考核结果为不合格等级，</w:t>
      </w:r>
      <w:r>
        <w:rPr>
          <w:rFonts w:hint="eastAsia" w:ascii="宋体" w:hAnsi="宋体" w:cs="宋体"/>
          <w:color w:val="auto"/>
          <w:sz w:val="22"/>
          <w:szCs w:val="22"/>
          <w:highlight w:val="none"/>
          <w:lang w:eastAsia="zh-CN"/>
        </w:rPr>
        <w:t>采购人</w:t>
      </w:r>
      <w:r>
        <w:rPr>
          <w:rFonts w:hint="eastAsia" w:ascii="宋体" w:hAnsi="宋体" w:cs="宋体"/>
          <w:color w:val="auto"/>
          <w:sz w:val="22"/>
          <w:szCs w:val="22"/>
          <w:highlight w:val="none"/>
        </w:rPr>
        <w:t>有权即时终止合同，并将剩余合同内容临时委托给具备相同资质的施工企业实施，并重新组织招投标。</w:t>
      </w:r>
    </w:p>
    <w:p w14:paraId="49A778C2">
      <w:pPr>
        <w:tabs>
          <w:tab w:val="left" w:pos="420"/>
        </w:tabs>
        <w:spacing w:line="360" w:lineRule="auto"/>
        <w:ind w:firstLine="442"/>
        <w:rPr>
          <w:rFonts w:ascii="宋体" w:hAnsi="宋体" w:cs="宋体"/>
          <w:b/>
          <w:bCs/>
          <w:color w:val="auto"/>
          <w:sz w:val="22"/>
          <w:szCs w:val="22"/>
          <w:highlight w:val="none"/>
        </w:rPr>
      </w:pPr>
      <w:r>
        <w:rPr>
          <w:rFonts w:hint="eastAsia" w:ascii="宋体" w:hAnsi="宋体" w:cs="宋体"/>
          <w:b/>
          <w:bCs/>
          <w:color w:val="auto"/>
          <w:sz w:val="22"/>
          <w:szCs w:val="22"/>
          <w:highlight w:val="none"/>
        </w:rPr>
        <w:t>十一、资金使用</w:t>
      </w:r>
    </w:p>
    <w:p w14:paraId="31812D1B">
      <w:pPr>
        <w:tabs>
          <w:tab w:val="left" w:pos="420"/>
        </w:tabs>
        <w:spacing w:line="360" w:lineRule="auto"/>
        <w:ind w:firstLine="440"/>
        <w:rPr>
          <w:rFonts w:ascii="宋体" w:hAnsi="宋体" w:cs="宋体"/>
          <w:color w:val="auto"/>
          <w:sz w:val="22"/>
          <w:szCs w:val="22"/>
          <w:highlight w:val="none"/>
        </w:rPr>
      </w:pPr>
      <w:r>
        <w:rPr>
          <w:rFonts w:hint="eastAsia" w:ascii="宋体" w:hAnsi="宋体" w:cs="宋体"/>
          <w:color w:val="auto"/>
          <w:sz w:val="22"/>
          <w:szCs w:val="22"/>
          <w:highlight w:val="none"/>
        </w:rPr>
        <w:t>（一）维护经费每两个月</w:t>
      </w:r>
      <w:r>
        <w:rPr>
          <w:rFonts w:hint="eastAsia" w:ascii="宋体" w:hAnsi="宋体" w:cs="宋体"/>
          <w:color w:val="auto"/>
          <w:sz w:val="22"/>
          <w:szCs w:val="22"/>
          <w:highlight w:val="none"/>
          <w:lang w:val="en-US" w:eastAsia="zh-CN"/>
        </w:rPr>
        <w:t>申请</w:t>
      </w:r>
      <w:r>
        <w:rPr>
          <w:rFonts w:hint="eastAsia" w:ascii="宋体" w:hAnsi="宋体" w:cs="宋体"/>
          <w:color w:val="auto"/>
          <w:sz w:val="22"/>
          <w:szCs w:val="22"/>
          <w:highlight w:val="none"/>
        </w:rPr>
        <w:t>一次。</w:t>
      </w:r>
    </w:p>
    <w:p w14:paraId="33D144A9">
      <w:pPr>
        <w:spacing w:line="360" w:lineRule="auto"/>
        <w:ind w:firstLine="440"/>
        <w:jc w:val="left"/>
        <w:rPr>
          <w:rFonts w:ascii="宋体" w:hAnsi="宋体" w:cs="宋体"/>
          <w:color w:val="auto"/>
          <w:sz w:val="22"/>
          <w:szCs w:val="22"/>
          <w:highlight w:val="none"/>
        </w:rPr>
      </w:pPr>
      <w:r>
        <w:rPr>
          <w:rFonts w:hint="eastAsia" w:ascii="宋体" w:hAnsi="宋体" w:cs="宋体"/>
          <w:color w:val="auto"/>
          <w:sz w:val="22"/>
          <w:szCs w:val="22"/>
          <w:highlight w:val="none"/>
        </w:rPr>
        <w:t>（二）施工企业应在合同确定的设施维护项目及运行管理职责内合理使用维护经费。</w:t>
      </w:r>
    </w:p>
    <w:p w14:paraId="6ECB541C">
      <w:pPr>
        <w:spacing w:line="320" w:lineRule="exact"/>
        <w:ind w:firstLine="420"/>
        <w:jc w:val="left"/>
        <w:rPr>
          <w:rFonts w:ascii="宋体" w:hAnsi="宋体" w:cs="宋体"/>
          <w:color w:val="auto"/>
          <w:szCs w:val="21"/>
          <w:highlight w:val="none"/>
        </w:rPr>
      </w:pPr>
    </w:p>
    <w:p w14:paraId="47BB17BD">
      <w:pPr>
        <w:tabs>
          <w:tab w:val="left" w:pos="420"/>
        </w:tabs>
        <w:spacing w:line="320" w:lineRule="exact"/>
        <w:ind w:firstLine="420"/>
        <w:rPr>
          <w:rFonts w:ascii="宋体" w:hAnsi="宋体" w:cs="宋体"/>
          <w:color w:val="auto"/>
          <w:szCs w:val="21"/>
          <w:highlight w:val="none"/>
        </w:rPr>
      </w:pPr>
    </w:p>
    <w:p w14:paraId="18AD1D7F">
      <w:pPr>
        <w:tabs>
          <w:tab w:val="left" w:pos="420"/>
        </w:tabs>
        <w:spacing w:line="320" w:lineRule="exact"/>
        <w:ind w:firstLine="420"/>
        <w:rPr>
          <w:rFonts w:ascii="宋体" w:hAnsi="宋体" w:cs="宋体"/>
          <w:bCs/>
          <w:color w:val="auto"/>
          <w:spacing w:val="-10"/>
          <w:szCs w:val="21"/>
          <w:highlight w:val="none"/>
        </w:rPr>
      </w:pPr>
      <w:r>
        <w:rPr>
          <w:rFonts w:hint="eastAsia" w:ascii="宋体" w:hAnsi="宋体" w:cs="宋体"/>
          <w:color w:val="auto"/>
          <w:szCs w:val="21"/>
          <w:highlight w:val="none"/>
        </w:rPr>
        <w:t>附件：1、</w:t>
      </w:r>
      <w:r>
        <w:rPr>
          <w:rFonts w:hint="eastAsia" w:ascii="宋体" w:hAnsi="宋体" w:cs="宋体"/>
          <w:bCs/>
          <w:color w:val="auto"/>
          <w:spacing w:val="-10"/>
          <w:szCs w:val="21"/>
          <w:highlight w:val="none"/>
        </w:rPr>
        <w:t>市本级市政道路、桥梁、排水泵站等市政设施统计表</w:t>
      </w:r>
    </w:p>
    <w:p w14:paraId="12C875F6">
      <w:pPr>
        <w:spacing w:line="320" w:lineRule="exact"/>
        <w:ind w:firstLine="1022"/>
        <w:rPr>
          <w:rFonts w:ascii="宋体" w:hAnsi="宋体" w:cs="宋体"/>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市政设施日常维修养护管理标准</w:t>
      </w:r>
    </w:p>
    <w:p w14:paraId="1657714E">
      <w:pPr>
        <w:spacing w:line="320" w:lineRule="exact"/>
        <w:ind w:firstLine="1022"/>
        <w:rPr>
          <w:rFonts w:ascii="宋体" w:hAnsi="宋体" w:cs="宋体"/>
          <w:color w:val="auto"/>
          <w:szCs w:val="21"/>
          <w:highlight w:val="none"/>
        </w:rPr>
      </w:pPr>
      <w:r>
        <w:rPr>
          <w:rFonts w:hint="eastAsia" w:ascii="宋体" w:hAnsi="宋体" w:cs="宋体"/>
          <w:color w:val="auto"/>
          <w:szCs w:val="21"/>
          <w:highlight w:val="none"/>
        </w:rPr>
        <w:t>3、市政设施日常维修养护项目考核方式及标准</w:t>
      </w:r>
    </w:p>
    <w:p w14:paraId="22F775FC">
      <w:pPr>
        <w:pStyle w:val="222"/>
        <w:jc w:val="center"/>
        <w:rPr>
          <w:rFonts w:hint="eastAsia"/>
          <w:b/>
          <w:color w:val="auto"/>
          <w:sz w:val="28"/>
          <w:szCs w:val="28"/>
          <w:highlight w:val="none"/>
        </w:rPr>
      </w:pPr>
    </w:p>
    <w:p w14:paraId="4BEB0B3F">
      <w:pPr>
        <w:pStyle w:val="222"/>
        <w:jc w:val="center"/>
        <w:rPr>
          <w:rFonts w:hint="eastAsia"/>
          <w:b/>
          <w:color w:val="auto"/>
          <w:sz w:val="28"/>
          <w:szCs w:val="28"/>
          <w:highlight w:val="none"/>
        </w:rPr>
      </w:pPr>
    </w:p>
    <w:p w14:paraId="789FB371">
      <w:pPr>
        <w:pStyle w:val="222"/>
        <w:jc w:val="center"/>
        <w:rPr>
          <w:rFonts w:hint="eastAsia"/>
          <w:b/>
          <w:color w:val="auto"/>
          <w:sz w:val="28"/>
          <w:szCs w:val="28"/>
          <w:highlight w:val="none"/>
        </w:rPr>
      </w:pPr>
    </w:p>
    <w:p w14:paraId="0A1197A8">
      <w:pPr>
        <w:pStyle w:val="222"/>
        <w:jc w:val="center"/>
        <w:rPr>
          <w:rFonts w:hint="eastAsia"/>
          <w:b/>
          <w:color w:val="auto"/>
          <w:sz w:val="28"/>
          <w:szCs w:val="28"/>
          <w:highlight w:val="none"/>
        </w:rPr>
      </w:pPr>
    </w:p>
    <w:p w14:paraId="72DA8CC3">
      <w:pPr>
        <w:pStyle w:val="222"/>
        <w:jc w:val="center"/>
        <w:rPr>
          <w:rFonts w:hint="eastAsia"/>
          <w:b/>
          <w:color w:val="auto"/>
          <w:sz w:val="28"/>
          <w:szCs w:val="28"/>
          <w:highlight w:val="none"/>
        </w:rPr>
      </w:pPr>
    </w:p>
    <w:p w14:paraId="28DA74BE">
      <w:pPr>
        <w:pStyle w:val="222"/>
        <w:jc w:val="center"/>
        <w:rPr>
          <w:rFonts w:hint="eastAsia"/>
          <w:b/>
          <w:color w:val="auto"/>
          <w:sz w:val="28"/>
          <w:szCs w:val="28"/>
          <w:highlight w:val="none"/>
        </w:rPr>
      </w:pPr>
    </w:p>
    <w:p w14:paraId="7CC156E2">
      <w:pPr>
        <w:pStyle w:val="222"/>
        <w:jc w:val="center"/>
        <w:rPr>
          <w:rFonts w:hint="eastAsia"/>
          <w:b/>
          <w:color w:val="auto"/>
          <w:sz w:val="28"/>
          <w:szCs w:val="28"/>
          <w:highlight w:val="none"/>
        </w:rPr>
      </w:pPr>
    </w:p>
    <w:p w14:paraId="31B75214">
      <w:pPr>
        <w:pStyle w:val="222"/>
        <w:jc w:val="center"/>
        <w:rPr>
          <w:rFonts w:hint="eastAsia"/>
          <w:b/>
          <w:color w:val="auto"/>
          <w:sz w:val="28"/>
          <w:szCs w:val="28"/>
          <w:highlight w:val="none"/>
        </w:rPr>
      </w:pPr>
    </w:p>
    <w:p w14:paraId="7359ED2E">
      <w:pPr>
        <w:pStyle w:val="222"/>
        <w:jc w:val="center"/>
        <w:rPr>
          <w:rFonts w:hint="eastAsia"/>
          <w:b/>
          <w:color w:val="auto"/>
          <w:sz w:val="28"/>
          <w:szCs w:val="28"/>
          <w:highlight w:val="none"/>
        </w:rPr>
      </w:pPr>
    </w:p>
    <w:p w14:paraId="5C5C2DC8">
      <w:pPr>
        <w:pStyle w:val="222"/>
        <w:jc w:val="center"/>
        <w:rPr>
          <w:rFonts w:hint="eastAsia"/>
          <w:b/>
          <w:color w:val="auto"/>
          <w:sz w:val="28"/>
          <w:szCs w:val="28"/>
          <w:highlight w:val="none"/>
        </w:rPr>
      </w:pPr>
    </w:p>
    <w:p w14:paraId="2A966867">
      <w:pPr>
        <w:pStyle w:val="222"/>
        <w:jc w:val="center"/>
        <w:rPr>
          <w:rFonts w:hint="eastAsia"/>
          <w:b/>
          <w:color w:val="auto"/>
          <w:sz w:val="28"/>
          <w:szCs w:val="28"/>
          <w:highlight w:val="none"/>
        </w:rPr>
      </w:pPr>
    </w:p>
    <w:p w14:paraId="55232B66">
      <w:pPr>
        <w:pStyle w:val="222"/>
        <w:jc w:val="center"/>
        <w:rPr>
          <w:rFonts w:hint="eastAsia"/>
          <w:b/>
          <w:color w:val="auto"/>
          <w:sz w:val="28"/>
          <w:szCs w:val="28"/>
          <w:highlight w:val="none"/>
        </w:rPr>
      </w:pPr>
    </w:p>
    <w:p w14:paraId="61596753">
      <w:pPr>
        <w:pStyle w:val="222"/>
        <w:jc w:val="center"/>
        <w:rPr>
          <w:rFonts w:hint="eastAsia"/>
          <w:b/>
          <w:color w:val="auto"/>
          <w:sz w:val="28"/>
          <w:szCs w:val="28"/>
          <w:highlight w:val="none"/>
        </w:rPr>
      </w:pPr>
    </w:p>
    <w:p w14:paraId="5C154B9C">
      <w:pPr>
        <w:pStyle w:val="222"/>
        <w:jc w:val="center"/>
        <w:rPr>
          <w:rFonts w:hint="eastAsia"/>
          <w:b/>
          <w:color w:val="auto"/>
          <w:sz w:val="28"/>
          <w:szCs w:val="28"/>
          <w:highlight w:val="none"/>
        </w:rPr>
      </w:pPr>
    </w:p>
    <w:p w14:paraId="06DA7F46">
      <w:pPr>
        <w:pStyle w:val="222"/>
        <w:jc w:val="center"/>
        <w:rPr>
          <w:rFonts w:hint="eastAsia"/>
          <w:b/>
          <w:color w:val="auto"/>
          <w:sz w:val="28"/>
          <w:szCs w:val="28"/>
          <w:highlight w:val="none"/>
        </w:rPr>
      </w:pPr>
    </w:p>
    <w:p w14:paraId="5F2CD41F">
      <w:pPr>
        <w:pStyle w:val="222"/>
        <w:jc w:val="both"/>
        <w:rPr>
          <w:rFonts w:hint="eastAsia"/>
          <w:b/>
          <w:color w:val="auto"/>
          <w:sz w:val="28"/>
          <w:szCs w:val="28"/>
          <w:highlight w:val="none"/>
        </w:rPr>
      </w:pPr>
    </w:p>
    <w:p w14:paraId="690A3E94">
      <w:pPr>
        <w:spacing w:line="340" w:lineRule="exact"/>
        <w:rPr>
          <w:rFonts w:ascii="宋体" w:hAnsi="宋体" w:eastAsia="宋体" w:cs="宋体"/>
          <w:b/>
          <w:color w:val="auto"/>
          <w:sz w:val="24"/>
          <w:highlight w:val="none"/>
          <w:lang w:val="en-US" w:eastAsia="zh-CN"/>
        </w:rPr>
      </w:pPr>
      <w:r>
        <w:rPr>
          <w:rFonts w:hint="eastAsia" w:ascii="宋体" w:hAnsi="宋体" w:cs="宋体"/>
          <w:b/>
          <w:color w:val="auto"/>
          <w:sz w:val="24"/>
          <w:highlight w:val="none"/>
        </w:rPr>
        <w:t>附件1：防城港市市本级市政道路、桥梁、排水泵站等市政设施统计表</w:t>
      </w:r>
      <w:r>
        <w:rPr>
          <w:rFonts w:hint="eastAsia" w:ascii="宋体" w:hAnsi="宋体" w:cs="宋体"/>
          <w:b/>
          <w:color w:val="auto"/>
          <w:sz w:val="24"/>
          <w:highlight w:val="none"/>
          <w:lang w:val="en-US" w:eastAsia="zh-CN"/>
        </w:rPr>
        <w:t xml:space="preserve">  </w:t>
      </w:r>
    </w:p>
    <w:p w14:paraId="675DD975">
      <w:pPr>
        <w:spacing w:line="340" w:lineRule="exact"/>
        <w:ind w:firstLine="723"/>
        <w:jc w:val="center"/>
        <w:rPr>
          <w:rFonts w:hint="eastAsia" w:ascii="宋体" w:hAnsi="宋体" w:cs="Arial Unicode MS"/>
          <w:b/>
          <w:color w:val="auto"/>
          <w:sz w:val="24"/>
          <w:highlight w:val="none"/>
          <w:lang w:bidi="ar"/>
        </w:rPr>
      </w:pPr>
    </w:p>
    <w:p w14:paraId="491F4AB9">
      <w:pPr>
        <w:spacing w:line="340" w:lineRule="exact"/>
        <w:ind w:firstLine="723"/>
        <w:jc w:val="center"/>
        <w:rPr>
          <w:rFonts w:ascii="宋体" w:hAnsi="宋体"/>
          <w:color w:val="auto"/>
          <w:sz w:val="24"/>
          <w:highlight w:val="none"/>
        </w:rPr>
      </w:pPr>
      <w:r>
        <w:rPr>
          <w:rFonts w:hint="eastAsia" w:ascii="宋体" w:hAnsi="宋体" w:cs="Arial Unicode MS"/>
          <w:b/>
          <w:color w:val="auto"/>
          <w:sz w:val="24"/>
          <w:highlight w:val="none"/>
          <w:lang w:bidi="ar"/>
        </w:rPr>
        <w:t>1.防城港市</w:t>
      </w:r>
      <w:r>
        <w:rPr>
          <w:rFonts w:hint="eastAsia" w:ascii="宋体" w:hAnsi="宋体" w:cs="Arial Unicode MS"/>
          <w:b/>
          <w:bCs/>
          <w:color w:val="auto"/>
          <w:sz w:val="24"/>
          <w:highlight w:val="none"/>
        </w:rPr>
        <w:t>市本级管辖道路一览表</w:t>
      </w:r>
    </w:p>
    <w:tbl>
      <w:tblPr>
        <w:tblStyle w:val="267"/>
        <w:tblW w:w="9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2307"/>
        <w:gridCol w:w="1870"/>
        <w:gridCol w:w="1870"/>
        <w:gridCol w:w="1870"/>
      </w:tblGrid>
      <w:tr w14:paraId="2754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noWrap w:val="0"/>
            <w:vAlign w:val="center"/>
          </w:tcPr>
          <w:p w14:paraId="2E440CBE">
            <w:pPr>
              <w:keepNext w:val="0"/>
              <w:keepLines w:val="0"/>
              <w:widowControl/>
              <w:suppressLineNumbers w:val="0"/>
              <w:jc w:val="center"/>
              <w:rPr>
                <w:rFonts w:ascii="Times New Roman" w:hAnsi="Times New Roman" w:eastAsia="宋体" w:cs="Times New Roman"/>
                <w:b/>
                <w:bCs/>
                <w:i w:val="0"/>
                <w:iCs w:val="0"/>
                <w:color w:val="auto"/>
                <w:sz w:val="24"/>
                <w:szCs w:val="24"/>
                <w:highlight w:val="none"/>
                <w:u w:val="none"/>
                <w:lang w:val="en-US" w:eastAsia="zh-CN" w:bidi="ar-SA"/>
              </w:rPr>
            </w:pPr>
            <w:r>
              <w:rPr>
                <w:rFonts w:ascii="Times New Roman" w:hAnsi="Times New Roman" w:eastAsia="宋体" w:cs="Times New Roman"/>
                <w:b/>
                <w:bCs/>
                <w:i w:val="0"/>
                <w:iCs w:val="0"/>
                <w:color w:val="auto"/>
                <w:sz w:val="24"/>
                <w:szCs w:val="24"/>
                <w:highlight w:val="none"/>
                <w:u w:val="none"/>
                <w:lang w:val="en-US" w:eastAsia="zh-CN" w:bidi="ar"/>
              </w:rPr>
              <w:t>序号</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4EE29608">
            <w:pPr>
              <w:keepNext w:val="0"/>
              <w:keepLines w:val="0"/>
              <w:widowControl/>
              <w:suppressLineNumbers w:val="0"/>
              <w:jc w:val="center"/>
              <w:rPr>
                <w:rFonts w:ascii="Times New Roman" w:hAnsi="Times New Roman" w:eastAsia="宋体" w:cs="Times New Roman"/>
                <w:b/>
                <w:bCs/>
                <w:i w:val="0"/>
                <w:iCs w:val="0"/>
                <w:color w:val="auto"/>
                <w:sz w:val="24"/>
                <w:szCs w:val="24"/>
                <w:highlight w:val="none"/>
                <w:u w:val="none"/>
                <w:lang w:val="en-US" w:eastAsia="zh-CN" w:bidi="ar-SA"/>
              </w:rPr>
            </w:pPr>
            <w:r>
              <w:rPr>
                <w:rFonts w:ascii="Times New Roman" w:hAnsi="Times New Roman" w:eastAsia="宋体" w:cs="Times New Roman"/>
                <w:b/>
                <w:bCs/>
                <w:i w:val="0"/>
                <w:iCs w:val="0"/>
                <w:color w:val="auto"/>
                <w:sz w:val="24"/>
                <w:szCs w:val="24"/>
                <w:highlight w:val="none"/>
                <w:u w:val="none"/>
                <w:lang w:val="en-US" w:eastAsia="zh-CN" w:bidi="ar"/>
              </w:rPr>
              <w:t>道路名称</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49ADA49D">
            <w:pPr>
              <w:keepNext w:val="0"/>
              <w:keepLines w:val="0"/>
              <w:widowControl/>
              <w:suppressLineNumbers w:val="0"/>
              <w:jc w:val="center"/>
              <w:rPr>
                <w:rFonts w:ascii="Times New Roman" w:hAnsi="Times New Roman" w:eastAsia="宋体" w:cs="Times New Roman"/>
                <w:b/>
                <w:bCs/>
                <w:i w:val="0"/>
                <w:iCs w:val="0"/>
                <w:color w:val="auto"/>
                <w:sz w:val="24"/>
                <w:szCs w:val="24"/>
                <w:highlight w:val="none"/>
                <w:u w:val="none"/>
                <w:lang w:val="en-US" w:eastAsia="zh-CN" w:bidi="ar-SA"/>
              </w:rPr>
            </w:pPr>
            <w:r>
              <w:rPr>
                <w:rFonts w:ascii="Times New Roman" w:hAnsi="Times New Roman" w:eastAsia="宋体" w:cs="Times New Roman"/>
                <w:b/>
                <w:bCs/>
                <w:i w:val="0"/>
                <w:iCs w:val="0"/>
                <w:color w:val="auto"/>
                <w:sz w:val="24"/>
                <w:szCs w:val="24"/>
                <w:highlight w:val="none"/>
                <w:u w:val="none"/>
                <w:lang w:val="en-US" w:eastAsia="zh-CN" w:bidi="ar"/>
              </w:rPr>
              <w:t>长度(m)</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1D38DA41">
            <w:pPr>
              <w:keepNext w:val="0"/>
              <w:keepLines w:val="0"/>
              <w:widowControl/>
              <w:suppressLineNumbers w:val="0"/>
              <w:jc w:val="center"/>
              <w:rPr>
                <w:rFonts w:ascii="Times New Roman" w:hAnsi="Times New Roman" w:eastAsia="宋体" w:cs="Times New Roman"/>
                <w:b/>
                <w:bCs/>
                <w:i w:val="0"/>
                <w:iCs w:val="0"/>
                <w:color w:val="auto"/>
                <w:sz w:val="24"/>
                <w:szCs w:val="24"/>
                <w:highlight w:val="none"/>
                <w:u w:val="none"/>
                <w:lang w:val="en-US" w:eastAsia="zh-CN" w:bidi="ar-SA"/>
              </w:rPr>
            </w:pPr>
            <w:r>
              <w:rPr>
                <w:rFonts w:ascii="Times New Roman" w:hAnsi="Times New Roman" w:eastAsia="宋体" w:cs="Times New Roman"/>
                <w:b/>
                <w:bCs/>
                <w:i w:val="0"/>
                <w:iCs w:val="0"/>
                <w:color w:val="auto"/>
                <w:sz w:val="24"/>
                <w:szCs w:val="24"/>
                <w:highlight w:val="none"/>
                <w:u w:val="none"/>
                <w:lang w:val="en-US" w:eastAsia="zh-CN" w:bidi="ar"/>
              </w:rPr>
              <w:t>宽度(m)</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6D7C9885">
            <w:pPr>
              <w:keepNext w:val="0"/>
              <w:keepLines w:val="0"/>
              <w:widowControl/>
              <w:suppressLineNumbers w:val="0"/>
              <w:jc w:val="center"/>
              <w:rPr>
                <w:rFonts w:ascii="Times New Roman" w:hAnsi="Times New Roman" w:eastAsia="宋体" w:cs="Times New Roman"/>
                <w:b/>
                <w:bCs/>
                <w:i w:val="0"/>
                <w:iCs w:val="0"/>
                <w:color w:val="auto"/>
                <w:sz w:val="24"/>
                <w:szCs w:val="24"/>
                <w:highlight w:val="none"/>
                <w:u w:val="none"/>
                <w:lang w:val="en-US" w:eastAsia="zh-CN" w:bidi="ar-SA"/>
              </w:rPr>
            </w:pPr>
            <w:r>
              <w:rPr>
                <w:rStyle w:val="280"/>
                <w:rFonts w:ascii="Times New Roman" w:hAnsi="Times New Roman" w:cs="Times New Roman"/>
                <w:b/>
                <w:bCs/>
                <w:color w:val="auto"/>
                <w:sz w:val="24"/>
                <w:szCs w:val="24"/>
                <w:highlight w:val="none"/>
                <w:lang w:val="en-US" w:eastAsia="zh-CN" w:bidi="ar"/>
              </w:rPr>
              <w:t>面积(㎡</w:t>
            </w:r>
            <w:r>
              <w:rPr>
                <w:rStyle w:val="381"/>
                <w:rFonts w:ascii="Times New Roman" w:hAnsi="Times New Roman" w:cs="Times New Roman"/>
                <w:b/>
                <w:bCs/>
                <w:color w:val="auto"/>
                <w:sz w:val="24"/>
                <w:szCs w:val="24"/>
                <w:highlight w:val="none"/>
                <w:lang w:val="en-US" w:eastAsia="zh-CN" w:bidi="ar"/>
              </w:rPr>
              <w:t>)</w:t>
            </w:r>
          </w:p>
        </w:tc>
      </w:tr>
      <w:tr w14:paraId="1878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noWrap w:val="0"/>
            <w:vAlign w:val="center"/>
          </w:tcPr>
          <w:p w14:paraId="12F4D892">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1</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314B221B">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北部湾大道</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3C63CC98">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14490</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1658DE06">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100</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37D86682">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1449000</w:t>
            </w:r>
          </w:p>
        </w:tc>
      </w:tr>
      <w:tr w14:paraId="1023A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noWrap w:val="0"/>
            <w:vAlign w:val="center"/>
          </w:tcPr>
          <w:p w14:paraId="768A5BFD">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52475D76">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独墩路</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1ED89AE0">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1395</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1CB7193B">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20</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43DD5BB1">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27900</w:t>
            </w:r>
          </w:p>
        </w:tc>
      </w:tr>
      <w:tr w14:paraId="4ED05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noWrap w:val="0"/>
            <w:vAlign w:val="center"/>
          </w:tcPr>
          <w:p w14:paraId="1EF2976A">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3</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2BAE23A6">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长泰路</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24BA67BE">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1577</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72F0E208">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20</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0B38A7F5">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31540</w:t>
            </w:r>
          </w:p>
        </w:tc>
      </w:tr>
      <w:tr w14:paraId="4ADA3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noWrap w:val="0"/>
            <w:vAlign w:val="center"/>
          </w:tcPr>
          <w:p w14:paraId="1FF82ECA">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4</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5A9D8D37">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祥云街</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6A067A69">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334</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6DC84415">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20</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259A73F8">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6680</w:t>
            </w:r>
          </w:p>
        </w:tc>
      </w:tr>
      <w:tr w14:paraId="5719E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noWrap w:val="0"/>
            <w:vAlign w:val="center"/>
          </w:tcPr>
          <w:p w14:paraId="2630B2C9">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5</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3DC8A4B0">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红树林街</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04F06C43">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1728</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70DB25F7">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18</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1E5AE22A">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31104</w:t>
            </w:r>
          </w:p>
        </w:tc>
      </w:tr>
      <w:tr w14:paraId="64C3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noWrap w:val="0"/>
            <w:vAlign w:val="center"/>
          </w:tcPr>
          <w:p w14:paraId="27C71504">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6</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18830220">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浦鱼岭街</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0EDE6662">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271</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6C9BBF72">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12</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41C8764D">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3252</w:t>
            </w:r>
          </w:p>
        </w:tc>
      </w:tr>
      <w:tr w14:paraId="5DC66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noWrap w:val="0"/>
            <w:vAlign w:val="center"/>
          </w:tcPr>
          <w:p w14:paraId="410D4D89">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7</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56B493F0">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西湾大道</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03087D6B">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3225</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2F42922A">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50</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6231B704">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161250</w:t>
            </w:r>
          </w:p>
        </w:tc>
      </w:tr>
      <w:tr w14:paraId="3C38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noWrap w:val="0"/>
            <w:vAlign w:val="center"/>
          </w:tcPr>
          <w:p w14:paraId="3AB7EBE5">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8</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5FA34C28">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迎宾</w:t>
            </w:r>
            <w:r>
              <w:rPr>
                <w:rFonts w:hint="eastAsia" w:cs="Times New Roman"/>
                <w:b/>
                <w:bCs/>
                <w:i w:val="0"/>
                <w:iCs w:val="0"/>
                <w:color w:val="auto"/>
                <w:sz w:val="24"/>
                <w:szCs w:val="24"/>
                <w:highlight w:val="none"/>
                <w:u w:val="none"/>
                <w:lang w:val="en-US" w:eastAsia="zh-CN" w:bidi="ar"/>
              </w:rPr>
              <w:t>街</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256A9086">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2300</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358F16BF">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42</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523D5B42">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96600</w:t>
            </w:r>
          </w:p>
        </w:tc>
      </w:tr>
      <w:tr w14:paraId="7B3F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noWrap w:val="0"/>
            <w:vAlign w:val="center"/>
          </w:tcPr>
          <w:p w14:paraId="035A9D25">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9</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76A80E8C">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和谐街</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7E7102BE">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1800</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0C5EABB7">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20</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5D1BB7EF">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36000</w:t>
            </w:r>
          </w:p>
        </w:tc>
      </w:tr>
      <w:tr w14:paraId="68A2C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noWrap w:val="0"/>
            <w:vAlign w:val="center"/>
          </w:tcPr>
          <w:p w14:paraId="5C010B90">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10</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0C95DC35">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平安街</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3BB1F07B">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683</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4863D062">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24</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4354774A">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16392</w:t>
            </w:r>
          </w:p>
        </w:tc>
      </w:tr>
      <w:tr w14:paraId="7C68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noWrap w:val="0"/>
            <w:vAlign w:val="center"/>
          </w:tcPr>
          <w:p w14:paraId="5CE80C08">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11</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393DFE75">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仁和街</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659EB577">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846</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08660AAB">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24</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0297DF2F">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20304</w:t>
            </w:r>
          </w:p>
        </w:tc>
      </w:tr>
      <w:tr w14:paraId="7B2EB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noWrap w:val="0"/>
            <w:vAlign w:val="center"/>
          </w:tcPr>
          <w:p w14:paraId="33F38E89">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12</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4D7BD2CC">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灵秀街</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151563B8">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1600</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1F43C3A6">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40</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6C6D4245">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64000</w:t>
            </w:r>
          </w:p>
        </w:tc>
      </w:tr>
      <w:tr w14:paraId="5BF1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noWrap w:val="0"/>
            <w:vAlign w:val="center"/>
          </w:tcPr>
          <w:p w14:paraId="0C4E1BB2">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13</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2DE05217">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港湾街</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2BC89224">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1662</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222DCFAF">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24</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7DDB13DA">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39888</w:t>
            </w:r>
          </w:p>
        </w:tc>
      </w:tr>
      <w:tr w14:paraId="2F92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noWrap w:val="0"/>
            <w:vAlign w:val="center"/>
          </w:tcPr>
          <w:p w14:paraId="09397CB4">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14</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39B35ABF">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玉桂大道</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73C69A42">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3224</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6738E3D1">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39</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23A0C009">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125736</w:t>
            </w:r>
          </w:p>
        </w:tc>
      </w:tr>
      <w:tr w14:paraId="3FC71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noWrap w:val="0"/>
            <w:vAlign w:val="center"/>
          </w:tcPr>
          <w:p w14:paraId="019086A2">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15</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05AFCAA5">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港安街</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289AB2C3">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238</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35E681B2">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24</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785F885F">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5712</w:t>
            </w:r>
          </w:p>
        </w:tc>
      </w:tr>
      <w:tr w14:paraId="69D6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noWrap w:val="0"/>
            <w:vAlign w:val="center"/>
          </w:tcPr>
          <w:p w14:paraId="43E638F3">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16</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1543955A">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江山大道</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2456A4E7">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5328</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409D4A56">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80</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0914BB09">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426240</w:t>
            </w:r>
          </w:p>
        </w:tc>
      </w:tr>
      <w:tr w14:paraId="215B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noWrap w:val="0"/>
            <w:vAlign w:val="center"/>
          </w:tcPr>
          <w:p w14:paraId="1DD74B87">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17</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1E2C6205">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民乐街</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731831E6">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2350</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41EB6729">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40</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57FBC32F">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94000</w:t>
            </w:r>
          </w:p>
        </w:tc>
      </w:tr>
      <w:tr w14:paraId="34513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noWrap w:val="0"/>
            <w:vAlign w:val="center"/>
          </w:tcPr>
          <w:p w14:paraId="2A867436">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18</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1C92AFD0">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豪丫路</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6E6D9DBF">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1170</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0F2107CA">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25</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1C9716AD">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29250</w:t>
            </w:r>
          </w:p>
        </w:tc>
      </w:tr>
      <w:tr w14:paraId="49E87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noWrap w:val="0"/>
            <w:vAlign w:val="center"/>
          </w:tcPr>
          <w:p w14:paraId="5B858B53">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19</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0F0AA961">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田口街</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2A73B168">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1421</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646D4B4A">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55</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7922FED3">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78155</w:t>
            </w:r>
          </w:p>
        </w:tc>
      </w:tr>
      <w:tr w14:paraId="6EF6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noWrap w:val="0"/>
            <w:vAlign w:val="center"/>
          </w:tcPr>
          <w:p w14:paraId="19C7F0F1">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20</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69B419DF">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红头坝街</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082F1F81">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2350</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413EB962">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40</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4100E84A">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94000</w:t>
            </w:r>
          </w:p>
        </w:tc>
      </w:tr>
      <w:tr w14:paraId="5B05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noWrap w:val="0"/>
            <w:vAlign w:val="center"/>
          </w:tcPr>
          <w:p w14:paraId="1B11BDAE">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21</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4C4DCF77">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民安街</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265B0AAC">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1787</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0E11428D">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40</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4706C46B">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71480</w:t>
            </w:r>
          </w:p>
        </w:tc>
      </w:tr>
      <w:tr w14:paraId="24A1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noWrap w:val="0"/>
            <w:vAlign w:val="center"/>
          </w:tcPr>
          <w:p w14:paraId="3CA4B63A">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22</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08820049">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文昌大道</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3632BD2E">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3060</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79972606">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50</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24063823">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153000</w:t>
            </w:r>
          </w:p>
        </w:tc>
      </w:tr>
      <w:tr w14:paraId="008DA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noWrap w:val="0"/>
            <w:vAlign w:val="center"/>
          </w:tcPr>
          <w:p w14:paraId="459168F5">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23</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3F37E989">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北站南路</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7F3C06DC">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968</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752B3665">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40</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271F5E3A">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38720</w:t>
            </w:r>
          </w:p>
        </w:tc>
      </w:tr>
      <w:tr w14:paraId="7E29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noWrap w:val="0"/>
            <w:vAlign w:val="center"/>
          </w:tcPr>
          <w:p w14:paraId="33ADAEB6">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24</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0DDD7B0B">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北站西路</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03F63ACE">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650</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5E4B4D49">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25</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7E0C0884">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16250</w:t>
            </w:r>
          </w:p>
        </w:tc>
      </w:tr>
      <w:tr w14:paraId="4698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noWrap w:val="0"/>
            <w:vAlign w:val="center"/>
          </w:tcPr>
          <w:p w14:paraId="6D24F220">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25</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0B2FD2CE">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北站南路西延长线</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7CEE2A07">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943</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5D6C54B5">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25</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0B96A0DD">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23575</w:t>
            </w:r>
          </w:p>
        </w:tc>
      </w:tr>
      <w:tr w14:paraId="22D0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noWrap w:val="0"/>
            <w:vAlign w:val="center"/>
          </w:tcPr>
          <w:p w14:paraId="658B00DE">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26</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27D6BB1A">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龙琴路</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297563F8">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744</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14C8222F">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24</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6EAE5D91">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17856</w:t>
            </w:r>
          </w:p>
        </w:tc>
      </w:tr>
      <w:tr w14:paraId="09351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noWrap w:val="0"/>
            <w:vAlign w:val="center"/>
          </w:tcPr>
          <w:p w14:paraId="50ECFF9B">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27</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5418E1BE">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hint="eastAsia" w:cs="Times New Roman"/>
                <w:b/>
                <w:bCs/>
                <w:i w:val="0"/>
                <w:iCs w:val="0"/>
                <w:color w:val="auto"/>
                <w:sz w:val="24"/>
                <w:szCs w:val="24"/>
                <w:highlight w:val="none"/>
                <w:u w:val="none"/>
                <w:lang w:val="en-US" w:eastAsia="zh-CN" w:bidi="ar"/>
              </w:rPr>
              <w:t>大坡路</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612B0415">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600</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22CD7B27">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40</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43E99978">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24000</w:t>
            </w:r>
          </w:p>
        </w:tc>
      </w:tr>
      <w:tr w14:paraId="1507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noWrap w:val="0"/>
            <w:vAlign w:val="center"/>
          </w:tcPr>
          <w:p w14:paraId="26562BB1">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28</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718A7C86">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将军山路</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1997048C">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2645</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7E02BB70">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40</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3D710E90">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105800</w:t>
            </w:r>
          </w:p>
        </w:tc>
      </w:tr>
      <w:tr w14:paraId="67D0E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noWrap w:val="0"/>
            <w:vAlign w:val="center"/>
          </w:tcPr>
          <w:p w14:paraId="5E5BC850">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29</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494D54D2">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缪屋路</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7DEC041D">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600</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50250C8C">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25</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23E50B8A">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15000</w:t>
            </w:r>
          </w:p>
        </w:tc>
      </w:tr>
      <w:tr w14:paraId="7EB3F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noWrap w:val="0"/>
            <w:vAlign w:val="center"/>
          </w:tcPr>
          <w:p w14:paraId="4425A481">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30</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6ABB209E">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万鹤路</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38C87BC6">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796</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2796F5AB">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24</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41088124">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19104</w:t>
            </w:r>
          </w:p>
        </w:tc>
      </w:tr>
      <w:tr w14:paraId="07A8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noWrap w:val="0"/>
            <w:vAlign w:val="center"/>
          </w:tcPr>
          <w:p w14:paraId="09C78973">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31</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23701660">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茶山路</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548A50F8">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1465</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5B351D36">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40</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03BE7FF4">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58600</w:t>
            </w:r>
          </w:p>
        </w:tc>
      </w:tr>
      <w:tr w14:paraId="13359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noWrap w:val="0"/>
            <w:vAlign w:val="center"/>
          </w:tcPr>
          <w:p w14:paraId="285408B4">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32</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03EEE393">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永福路</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69535585">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1730</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7145ADDA">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40</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24160B94">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69200</w:t>
            </w:r>
          </w:p>
        </w:tc>
      </w:tr>
      <w:tr w14:paraId="6BE4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noWrap w:val="0"/>
            <w:vAlign w:val="center"/>
          </w:tcPr>
          <w:p w14:paraId="4CFE65E8">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33</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4807D601">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伏波路</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5C766B47">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1560</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6FF7DBDC">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24</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00A9632C">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37440</w:t>
            </w:r>
          </w:p>
        </w:tc>
      </w:tr>
      <w:tr w14:paraId="5710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noWrap w:val="0"/>
            <w:vAlign w:val="center"/>
          </w:tcPr>
          <w:p w14:paraId="5D64CB99">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34</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41B0B7D5">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金花茶大道</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2175A77E">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5460</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3A52A5B6">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80</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43C22869">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436800</w:t>
            </w:r>
          </w:p>
        </w:tc>
      </w:tr>
      <w:tr w14:paraId="7E9F3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noWrap w:val="0"/>
            <w:vAlign w:val="center"/>
          </w:tcPr>
          <w:p w14:paraId="0D6F4416">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35</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2C796042">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万山路</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00E79B81">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843</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0C3B3F5D">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24</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616B7A9A">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20232</w:t>
            </w:r>
          </w:p>
        </w:tc>
      </w:tr>
      <w:tr w14:paraId="2801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noWrap w:val="0"/>
            <w:vAlign w:val="center"/>
          </w:tcPr>
          <w:p w14:paraId="697BAC85">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36</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1A0C02DA">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三都路</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38A26DFB">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796</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4D978881">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20</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721F10A0">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15920</w:t>
            </w:r>
          </w:p>
        </w:tc>
      </w:tr>
      <w:tr w14:paraId="1BF6D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noWrap w:val="0"/>
            <w:vAlign w:val="center"/>
          </w:tcPr>
          <w:p w14:paraId="4F22B703">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37</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347D9B50">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马正开路</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2A13B85D">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934</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6CC8C318">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40</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341D65A5">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37360</w:t>
            </w:r>
          </w:p>
        </w:tc>
      </w:tr>
      <w:tr w14:paraId="133D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noWrap w:val="0"/>
            <w:vAlign w:val="center"/>
          </w:tcPr>
          <w:p w14:paraId="745DD6C4">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38</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39530D0C">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京琴路</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0E48D0F7">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1259</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447CB713">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24</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11124AE0">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30216</w:t>
            </w:r>
          </w:p>
        </w:tc>
      </w:tr>
      <w:tr w14:paraId="34BA8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noWrap w:val="0"/>
            <w:vAlign w:val="center"/>
          </w:tcPr>
          <w:p w14:paraId="07F7E0FA">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39</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57819ED4">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瑶绣路</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27E607EF">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1118</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7C491736">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20-24</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3A653F3E">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26832</w:t>
            </w:r>
          </w:p>
        </w:tc>
      </w:tr>
      <w:tr w14:paraId="75FF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noWrap w:val="0"/>
            <w:vAlign w:val="center"/>
          </w:tcPr>
          <w:p w14:paraId="3D71C1E2">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40</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102A440C">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金和街</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5579563C">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867</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670F3752">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20</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4344F05A">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17340</w:t>
            </w:r>
          </w:p>
        </w:tc>
      </w:tr>
      <w:tr w14:paraId="1A453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noWrap w:val="0"/>
            <w:vAlign w:val="center"/>
          </w:tcPr>
          <w:p w14:paraId="65D88291">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41</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7B4C7FC6">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金环街</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078FE0B4">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1793</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5C26E2D3">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20</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6D69E302">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35860</w:t>
            </w:r>
          </w:p>
        </w:tc>
      </w:tr>
      <w:tr w14:paraId="26DA4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noWrap w:val="0"/>
            <w:vAlign w:val="center"/>
          </w:tcPr>
          <w:p w14:paraId="4E9E3EF4">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42</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5A591B76">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冲孔路</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634BC800">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1100</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367B04C4">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40</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57AE9050">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44000</w:t>
            </w:r>
          </w:p>
        </w:tc>
      </w:tr>
      <w:tr w14:paraId="3636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noWrap w:val="0"/>
            <w:vAlign w:val="center"/>
          </w:tcPr>
          <w:p w14:paraId="2F335314">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43</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00DEC3DD">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冲孔路北段</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1A93A5D2">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674</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4C33D1AB">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40</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74998763">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26960</w:t>
            </w:r>
          </w:p>
        </w:tc>
      </w:tr>
      <w:tr w14:paraId="3FFB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noWrap w:val="0"/>
            <w:vAlign w:val="center"/>
          </w:tcPr>
          <w:p w14:paraId="42761B91">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44</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56155D24">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界排街</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52CB3E92">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367</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43433393">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24</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52DD80FD">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8808</w:t>
            </w:r>
          </w:p>
        </w:tc>
      </w:tr>
      <w:tr w14:paraId="16CF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noWrap w:val="0"/>
            <w:vAlign w:val="center"/>
          </w:tcPr>
          <w:p w14:paraId="282928B3">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45</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15F9C0B0">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西湾环海大道</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3BC45199">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9430</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6D9410E9">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15-33</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62695BDE">
            <w:pPr>
              <w:keepNext w:val="0"/>
              <w:keepLines w:val="0"/>
              <w:widowControl/>
              <w:suppressLineNumbers w:val="0"/>
              <w:jc w:val="center"/>
              <w:rPr>
                <w:rFonts w:ascii="Times New Roman" w:hAnsi="Times New Roman" w:eastAsia="宋体" w:cs="Times New Roman"/>
                <w:b/>
                <w:bCs/>
                <w:color w:val="auto"/>
                <w:sz w:val="13"/>
                <w:szCs w:val="16"/>
                <w:highlight w:val="none"/>
                <w:vertAlign w:val="baseline"/>
              </w:rPr>
            </w:pPr>
            <w:r>
              <w:rPr>
                <w:rFonts w:ascii="Times New Roman" w:hAnsi="Times New Roman" w:eastAsia="宋体" w:cs="Times New Roman"/>
                <w:b/>
                <w:bCs/>
                <w:i w:val="0"/>
                <w:iCs w:val="0"/>
                <w:color w:val="auto"/>
                <w:sz w:val="24"/>
                <w:szCs w:val="24"/>
                <w:highlight w:val="none"/>
                <w:u w:val="none"/>
                <w:lang w:val="en-US" w:eastAsia="zh-CN" w:bidi="ar"/>
              </w:rPr>
              <w:t>224250</w:t>
            </w:r>
          </w:p>
        </w:tc>
      </w:tr>
      <w:tr w14:paraId="0C52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noWrap w:val="0"/>
            <w:vAlign w:val="top"/>
          </w:tcPr>
          <w:p w14:paraId="346FC14E">
            <w:pPr>
              <w:pStyle w:val="39"/>
              <w:widowControl w:val="0"/>
              <w:numPr>
                <w:ilvl w:val="0"/>
                <w:numId w:val="0"/>
              </w:numPr>
              <w:jc w:val="center"/>
              <w:rPr>
                <w:rFonts w:ascii="Times New Roman" w:hAnsi="Times New Roman" w:eastAsia="宋体" w:cs="Times New Roman"/>
                <w:b/>
                <w:bCs/>
                <w:color w:val="auto"/>
                <w:highlight w:val="none"/>
                <w:vertAlign w:val="baseline"/>
                <w:lang w:val="en-US" w:eastAsia="zh-CN"/>
              </w:rPr>
            </w:pPr>
            <w:r>
              <w:rPr>
                <w:rFonts w:ascii="Times New Roman" w:hAnsi="Times New Roman" w:cs="Times New Roman"/>
                <w:b/>
                <w:bCs/>
                <w:color w:val="auto"/>
                <w:highlight w:val="none"/>
                <w:vertAlign w:val="baseline"/>
                <w:lang w:val="en-US" w:eastAsia="zh-CN"/>
              </w:rPr>
              <w:t>合计</w:t>
            </w:r>
          </w:p>
        </w:tc>
        <w:tc>
          <w:tcPr>
            <w:tcW w:w="2307" w:type="dxa"/>
            <w:tcBorders>
              <w:top w:val="single" w:color="auto" w:sz="4" w:space="0"/>
              <w:left w:val="single" w:color="auto" w:sz="4" w:space="0"/>
              <w:bottom w:val="single" w:color="auto" w:sz="4" w:space="0"/>
              <w:right w:val="single" w:color="auto" w:sz="4" w:space="0"/>
            </w:tcBorders>
            <w:noWrap w:val="0"/>
            <w:vAlign w:val="top"/>
          </w:tcPr>
          <w:p w14:paraId="6CAC1E89">
            <w:pPr>
              <w:pStyle w:val="39"/>
              <w:widowControl w:val="0"/>
              <w:numPr>
                <w:ilvl w:val="0"/>
                <w:numId w:val="0"/>
              </w:numPr>
              <w:jc w:val="center"/>
              <w:rPr>
                <w:rFonts w:ascii="Times New Roman" w:hAnsi="Times New Roman" w:cs="Times New Roman"/>
                <w:b/>
                <w:bCs/>
                <w:color w:val="auto"/>
                <w:highlight w:val="none"/>
                <w:vertAlign w:val="baseline"/>
              </w:rPr>
            </w:pPr>
          </w:p>
        </w:tc>
        <w:tc>
          <w:tcPr>
            <w:tcW w:w="1870" w:type="dxa"/>
            <w:tcBorders>
              <w:top w:val="single" w:color="auto" w:sz="4" w:space="0"/>
              <w:left w:val="single" w:color="auto" w:sz="4" w:space="0"/>
              <w:bottom w:val="single" w:color="auto" w:sz="4" w:space="0"/>
              <w:right w:val="single" w:color="auto" w:sz="4" w:space="0"/>
            </w:tcBorders>
            <w:noWrap w:val="0"/>
            <w:vAlign w:val="top"/>
          </w:tcPr>
          <w:p w14:paraId="045C0AAE">
            <w:pPr>
              <w:pStyle w:val="39"/>
              <w:widowControl w:val="0"/>
              <w:numPr>
                <w:ilvl w:val="0"/>
                <w:numId w:val="0"/>
              </w:numPr>
              <w:jc w:val="center"/>
              <w:rPr>
                <w:rFonts w:ascii="Times New Roman" w:hAnsi="Times New Roman" w:eastAsia="宋体" w:cs="Times New Roman"/>
                <w:b/>
                <w:bCs/>
                <w:color w:val="auto"/>
                <w:highlight w:val="none"/>
                <w:vertAlign w:val="baseline"/>
                <w:lang w:val="en-US" w:eastAsia="zh-CN"/>
              </w:rPr>
            </w:pPr>
            <w:r>
              <w:rPr>
                <w:rFonts w:hint="eastAsia" w:ascii="宋体" w:hAnsi="宋体" w:cs="宋体"/>
                <w:b w:val="0"/>
                <w:bCs w:val="0"/>
                <w:color w:val="auto"/>
                <w:kern w:val="2"/>
                <w:sz w:val="24"/>
                <w:szCs w:val="24"/>
                <w:highlight w:val="none"/>
                <w:lang w:val="en-US" w:eastAsia="zh-CN" w:bidi="ar-SA"/>
              </w:rPr>
              <w:t>90181</w:t>
            </w:r>
          </w:p>
        </w:tc>
        <w:tc>
          <w:tcPr>
            <w:tcW w:w="1870" w:type="dxa"/>
            <w:tcBorders>
              <w:top w:val="single" w:color="auto" w:sz="4" w:space="0"/>
              <w:left w:val="single" w:color="auto" w:sz="4" w:space="0"/>
              <w:bottom w:val="single" w:color="auto" w:sz="4" w:space="0"/>
              <w:right w:val="single" w:color="auto" w:sz="4" w:space="0"/>
            </w:tcBorders>
            <w:noWrap w:val="0"/>
            <w:vAlign w:val="top"/>
          </w:tcPr>
          <w:p w14:paraId="57C33C96">
            <w:pPr>
              <w:pStyle w:val="39"/>
              <w:widowControl w:val="0"/>
              <w:numPr>
                <w:ilvl w:val="0"/>
                <w:numId w:val="0"/>
              </w:numPr>
              <w:jc w:val="center"/>
              <w:rPr>
                <w:rFonts w:ascii="Times New Roman" w:hAnsi="Times New Roman" w:cs="Times New Roman"/>
                <w:b/>
                <w:bCs/>
                <w:color w:val="auto"/>
                <w:highlight w:val="none"/>
                <w:vertAlign w:val="baseline"/>
              </w:rPr>
            </w:pPr>
          </w:p>
        </w:tc>
        <w:tc>
          <w:tcPr>
            <w:tcW w:w="1870" w:type="dxa"/>
            <w:tcBorders>
              <w:top w:val="single" w:color="auto" w:sz="4" w:space="0"/>
              <w:left w:val="single" w:color="auto" w:sz="4" w:space="0"/>
              <w:bottom w:val="single" w:color="auto" w:sz="4" w:space="0"/>
              <w:right w:val="single" w:color="auto" w:sz="4" w:space="0"/>
            </w:tcBorders>
            <w:noWrap w:val="0"/>
            <w:vAlign w:val="top"/>
          </w:tcPr>
          <w:p w14:paraId="2A57DE08">
            <w:pPr>
              <w:pStyle w:val="39"/>
              <w:widowControl w:val="0"/>
              <w:numPr>
                <w:ilvl w:val="0"/>
                <w:numId w:val="0"/>
              </w:numPr>
              <w:jc w:val="center"/>
              <w:rPr>
                <w:rFonts w:ascii="Times New Roman" w:hAnsi="Times New Roman" w:eastAsia="宋体" w:cs="Times New Roman"/>
                <w:b/>
                <w:bCs/>
                <w:color w:val="auto"/>
                <w:highlight w:val="none"/>
                <w:vertAlign w:val="baseline"/>
                <w:lang w:val="en-US" w:eastAsia="zh-CN"/>
              </w:rPr>
            </w:pPr>
            <w:r>
              <w:rPr>
                <w:rFonts w:hint="eastAsia" w:ascii="宋体" w:hAnsi="宋体" w:cs="宋体"/>
                <w:b w:val="0"/>
                <w:bCs w:val="0"/>
                <w:color w:val="auto"/>
                <w:kern w:val="0"/>
                <w:highlight w:val="none"/>
                <w:lang w:val="en-US" w:eastAsia="zh-CN" w:bidi="ar"/>
              </w:rPr>
              <w:t>4411606</w:t>
            </w:r>
          </w:p>
        </w:tc>
      </w:tr>
    </w:tbl>
    <w:p w14:paraId="5F4874FD">
      <w:pPr>
        <w:spacing w:before="240" w:after="60" w:line="340" w:lineRule="exact"/>
        <w:jc w:val="center"/>
        <w:outlineLvl w:val="0"/>
        <w:rPr>
          <w:rFonts w:ascii="宋体" w:hAnsi="宋体" w:cs="Arial Unicode MS"/>
          <w:b/>
          <w:bCs/>
          <w:color w:val="auto"/>
          <w:sz w:val="24"/>
          <w:highlight w:val="none"/>
          <w:lang w:bidi="ar"/>
        </w:rPr>
      </w:pPr>
      <w:r>
        <w:rPr>
          <w:rFonts w:hint="eastAsia" w:ascii="宋体" w:hAnsi="宋体" w:cs="Arial Unicode MS"/>
          <w:b/>
          <w:bCs/>
          <w:color w:val="auto"/>
          <w:sz w:val="24"/>
          <w:highlight w:val="none"/>
          <w:lang w:bidi="ar"/>
        </w:rPr>
        <w:t>2.防城港市市本级管辖市政桥梁一览表</w:t>
      </w:r>
    </w:p>
    <w:tbl>
      <w:tblPr>
        <w:tblStyle w:val="30"/>
        <w:tblW w:w="92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2314"/>
        <w:gridCol w:w="1212"/>
        <w:gridCol w:w="1434"/>
        <w:gridCol w:w="1803"/>
        <w:gridCol w:w="1803"/>
      </w:tblGrid>
      <w:tr w14:paraId="1F4C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0"/>
            <w:vAlign w:val="center"/>
          </w:tcPr>
          <w:p w14:paraId="338C5A79">
            <w:pPr>
              <w:widowControl/>
              <w:spacing w:line="340" w:lineRule="exact"/>
              <w:jc w:val="center"/>
              <w:rPr>
                <w:rFonts w:ascii="宋体" w:hAnsi="宋体" w:cs="宋体"/>
                <w:b/>
                <w:color w:val="auto"/>
                <w:szCs w:val="21"/>
                <w:highlight w:val="none"/>
                <w:lang w:bidi="ar"/>
              </w:rPr>
            </w:pPr>
            <w:r>
              <w:rPr>
                <w:rFonts w:hint="eastAsia" w:ascii="宋体" w:hAnsi="宋体" w:cs="宋体"/>
                <w:b/>
                <w:color w:val="auto"/>
                <w:szCs w:val="21"/>
                <w:highlight w:val="none"/>
                <w:lang w:bidi="ar"/>
              </w:rPr>
              <w:t>序号</w:t>
            </w:r>
          </w:p>
        </w:tc>
        <w:tc>
          <w:tcPr>
            <w:tcW w:w="2314" w:type="dxa"/>
            <w:tcBorders>
              <w:top w:val="single" w:color="auto" w:sz="4" w:space="0"/>
              <w:left w:val="single" w:color="auto" w:sz="4" w:space="0"/>
              <w:bottom w:val="single" w:color="auto" w:sz="4" w:space="0"/>
              <w:right w:val="single" w:color="auto" w:sz="4" w:space="0"/>
            </w:tcBorders>
            <w:noWrap w:val="0"/>
            <w:vAlign w:val="center"/>
          </w:tcPr>
          <w:p w14:paraId="3018361D">
            <w:pPr>
              <w:widowControl/>
              <w:spacing w:line="340" w:lineRule="exact"/>
              <w:jc w:val="center"/>
              <w:rPr>
                <w:rFonts w:ascii="宋体" w:hAnsi="宋体" w:cs="宋体"/>
                <w:b/>
                <w:color w:val="auto"/>
                <w:szCs w:val="21"/>
                <w:highlight w:val="none"/>
              </w:rPr>
            </w:pPr>
            <w:r>
              <w:rPr>
                <w:rFonts w:hint="eastAsia" w:ascii="宋体" w:hAnsi="宋体" w:cs="宋体"/>
                <w:b/>
                <w:color w:val="auto"/>
                <w:szCs w:val="21"/>
                <w:highlight w:val="none"/>
                <w:lang w:bidi="ar"/>
              </w:rPr>
              <w:t>桥梁名称</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4B52FC89">
            <w:pPr>
              <w:widowControl/>
              <w:spacing w:line="340" w:lineRule="exact"/>
              <w:jc w:val="center"/>
              <w:rPr>
                <w:rFonts w:ascii="宋体" w:hAnsi="宋体" w:cs="宋体"/>
                <w:color w:val="auto"/>
                <w:szCs w:val="21"/>
                <w:highlight w:val="none"/>
              </w:rPr>
            </w:pPr>
            <w:r>
              <w:rPr>
                <w:rFonts w:hint="eastAsia" w:ascii="宋体" w:hAnsi="宋体" w:cs="宋体"/>
                <w:b/>
                <w:color w:val="auto"/>
                <w:szCs w:val="21"/>
                <w:highlight w:val="none"/>
                <w:lang w:bidi="ar"/>
              </w:rPr>
              <w:t>长度</w:t>
            </w:r>
            <w:r>
              <w:rPr>
                <w:rFonts w:ascii="宋体" w:hAnsi="宋体" w:cs="宋体"/>
                <w:b/>
                <w:color w:val="auto"/>
                <w:szCs w:val="21"/>
                <w:highlight w:val="none"/>
                <w:lang w:bidi="ar"/>
              </w:rPr>
              <w:t>(m)</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5B6960B1">
            <w:pPr>
              <w:widowControl/>
              <w:spacing w:line="340" w:lineRule="exact"/>
              <w:jc w:val="center"/>
              <w:rPr>
                <w:rFonts w:ascii="宋体" w:hAnsi="宋体" w:cs="宋体"/>
                <w:color w:val="auto"/>
                <w:szCs w:val="21"/>
                <w:highlight w:val="none"/>
              </w:rPr>
            </w:pPr>
            <w:r>
              <w:rPr>
                <w:rFonts w:hint="eastAsia" w:ascii="宋体" w:hAnsi="宋体" w:cs="宋体"/>
                <w:b/>
                <w:color w:val="auto"/>
                <w:szCs w:val="21"/>
                <w:highlight w:val="none"/>
                <w:lang w:bidi="ar"/>
              </w:rPr>
              <w:t>宽度</w:t>
            </w:r>
            <w:r>
              <w:rPr>
                <w:rFonts w:ascii="宋体" w:hAnsi="宋体" w:cs="宋体"/>
                <w:b/>
                <w:color w:val="auto"/>
                <w:szCs w:val="21"/>
                <w:highlight w:val="none"/>
                <w:lang w:bidi="ar"/>
              </w:rPr>
              <w:t>(m)</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5F97C924">
            <w:pPr>
              <w:widowControl/>
              <w:spacing w:line="340" w:lineRule="exact"/>
              <w:jc w:val="center"/>
              <w:rPr>
                <w:rFonts w:ascii="宋体" w:hAnsi="宋体" w:cs="宋体"/>
                <w:color w:val="auto"/>
                <w:szCs w:val="21"/>
                <w:highlight w:val="none"/>
              </w:rPr>
            </w:pPr>
            <w:r>
              <w:rPr>
                <w:rFonts w:hint="eastAsia" w:ascii="宋体" w:hAnsi="宋体" w:cs="宋体"/>
                <w:b/>
                <w:color w:val="auto"/>
                <w:szCs w:val="21"/>
                <w:highlight w:val="none"/>
                <w:lang w:bidi="ar"/>
              </w:rPr>
              <w:t>面积</w:t>
            </w:r>
            <w:r>
              <w:rPr>
                <w:rFonts w:ascii="宋体" w:hAnsi="宋体" w:cs="宋体"/>
                <w:b/>
                <w:color w:val="auto"/>
                <w:szCs w:val="21"/>
                <w:highlight w:val="none"/>
                <w:lang w:bidi="ar"/>
              </w:rPr>
              <w:t>(㎡)</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77CDAF32">
            <w:pPr>
              <w:widowControl/>
              <w:spacing w:line="340" w:lineRule="exact"/>
              <w:jc w:val="center"/>
              <w:rPr>
                <w:rFonts w:ascii="宋体" w:hAnsi="宋体" w:cs="宋体"/>
                <w:b/>
                <w:color w:val="auto"/>
                <w:szCs w:val="21"/>
                <w:highlight w:val="none"/>
                <w:lang w:bidi="ar"/>
              </w:rPr>
            </w:pPr>
            <w:r>
              <w:rPr>
                <w:rFonts w:hint="eastAsia" w:ascii="宋体" w:hAnsi="宋体" w:cs="宋体"/>
                <w:b/>
                <w:color w:val="auto"/>
                <w:szCs w:val="21"/>
                <w:highlight w:val="none"/>
                <w:lang w:bidi="ar"/>
              </w:rPr>
              <w:t>备注</w:t>
            </w:r>
          </w:p>
        </w:tc>
      </w:tr>
      <w:tr w14:paraId="5E5E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0"/>
            <w:vAlign w:val="center"/>
          </w:tcPr>
          <w:p w14:paraId="3671C98B">
            <w:pPr>
              <w:widowControl/>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1</w:t>
            </w:r>
          </w:p>
        </w:tc>
        <w:tc>
          <w:tcPr>
            <w:tcW w:w="2314" w:type="dxa"/>
            <w:tcBorders>
              <w:top w:val="single" w:color="auto" w:sz="4" w:space="0"/>
              <w:left w:val="single" w:color="auto" w:sz="4" w:space="0"/>
              <w:bottom w:val="single" w:color="auto" w:sz="4" w:space="0"/>
              <w:right w:val="single" w:color="auto" w:sz="4" w:space="0"/>
            </w:tcBorders>
            <w:noWrap w:val="0"/>
            <w:vAlign w:val="center"/>
          </w:tcPr>
          <w:p w14:paraId="43A928E5">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lang w:bidi="ar"/>
              </w:rPr>
              <w:t>针鱼岭大桥</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3809E5D5">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lang w:bidi="ar"/>
              </w:rPr>
              <w:t>824.5</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40D8EE21">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lang w:bidi="ar"/>
              </w:rPr>
              <w:t>36</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2B564EDB">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lang w:bidi="ar"/>
              </w:rPr>
              <w:t>29682</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31195E33">
            <w:pPr>
              <w:widowControl/>
              <w:spacing w:line="340" w:lineRule="exact"/>
              <w:jc w:val="center"/>
              <w:rPr>
                <w:rFonts w:ascii="宋体" w:hAnsi="宋体" w:cs="宋体"/>
                <w:color w:val="auto"/>
                <w:szCs w:val="21"/>
                <w:highlight w:val="none"/>
                <w:lang w:bidi="ar"/>
              </w:rPr>
            </w:pPr>
          </w:p>
        </w:tc>
      </w:tr>
      <w:tr w14:paraId="04696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0"/>
            <w:vAlign w:val="center"/>
          </w:tcPr>
          <w:p w14:paraId="6453AE70">
            <w:pPr>
              <w:widowControl/>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2</w:t>
            </w:r>
          </w:p>
        </w:tc>
        <w:tc>
          <w:tcPr>
            <w:tcW w:w="2314" w:type="dxa"/>
            <w:tcBorders>
              <w:top w:val="single" w:color="auto" w:sz="4" w:space="0"/>
              <w:left w:val="single" w:color="auto" w:sz="4" w:space="0"/>
              <w:bottom w:val="single" w:color="auto" w:sz="4" w:space="0"/>
              <w:right w:val="single" w:color="auto" w:sz="4" w:space="0"/>
            </w:tcBorders>
            <w:noWrap w:val="0"/>
            <w:vAlign w:val="center"/>
          </w:tcPr>
          <w:p w14:paraId="7A85FED9">
            <w:pPr>
              <w:widowControl/>
              <w:spacing w:line="34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大王江大桥</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68230ED2">
            <w:pPr>
              <w:widowControl/>
              <w:spacing w:line="34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176</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72D80A0E">
            <w:pPr>
              <w:widowControl/>
              <w:spacing w:line="34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33</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50DBFA3D">
            <w:pPr>
              <w:widowControl/>
              <w:spacing w:line="34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5808</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75ACAE28">
            <w:pPr>
              <w:widowControl/>
              <w:spacing w:line="340" w:lineRule="exact"/>
              <w:jc w:val="center"/>
              <w:rPr>
                <w:rFonts w:ascii="宋体" w:hAnsi="宋体" w:cs="宋体"/>
                <w:color w:val="auto"/>
                <w:szCs w:val="21"/>
                <w:highlight w:val="none"/>
                <w:lang w:bidi="ar"/>
              </w:rPr>
            </w:pPr>
          </w:p>
        </w:tc>
      </w:tr>
      <w:tr w14:paraId="2CF2B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0"/>
            <w:vAlign w:val="center"/>
          </w:tcPr>
          <w:p w14:paraId="44521505">
            <w:pPr>
              <w:widowControl/>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3</w:t>
            </w:r>
          </w:p>
        </w:tc>
        <w:tc>
          <w:tcPr>
            <w:tcW w:w="2314" w:type="dxa"/>
            <w:tcBorders>
              <w:top w:val="single" w:color="auto" w:sz="4" w:space="0"/>
              <w:left w:val="single" w:color="auto" w:sz="4" w:space="0"/>
              <w:bottom w:val="single" w:color="auto" w:sz="4" w:space="0"/>
              <w:right w:val="single" w:color="auto" w:sz="4" w:space="0"/>
            </w:tcBorders>
            <w:noWrap w:val="0"/>
            <w:vAlign w:val="center"/>
          </w:tcPr>
          <w:p w14:paraId="0779E241">
            <w:pPr>
              <w:widowControl/>
              <w:spacing w:line="34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江坜河大桥</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1E5882BF">
            <w:pPr>
              <w:widowControl/>
              <w:spacing w:line="34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185</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384C027E">
            <w:pPr>
              <w:widowControl/>
              <w:spacing w:line="34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33</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2A1B71B8">
            <w:pPr>
              <w:widowControl/>
              <w:spacing w:line="34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6105</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08745B8B">
            <w:pPr>
              <w:widowControl/>
              <w:spacing w:line="340" w:lineRule="exact"/>
              <w:jc w:val="center"/>
              <w:rPr>
                <w:rFonts w:ascii="宋体" w:hAnsi="宋体" w:cs="宋体"/>
                <w:color w:val="auto"/>
                <w:szCs w:val="21"/>
                <w:highlight w:val="none"/>
                <w:lang w:bidi="ar"/>
              </w:rPr>
            </w:pPr>
          </w:p>
        </w:tc>
      </w:tr>
      <w:tr w14:paraId="1FEEE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0"/>
            <w:vAlign w:val="center"/>
          </w:tcPr>
          <w:p w14:paraId="55BFF5CE">
            <w:pPr>
              <w:widowControl/>
              <w:spacing w:line="340" w:lineRule="exact"/>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4</w:t>
            </w:r>
          </w:p>
        </w:tc>
        <w:tc>
          <w:tcPr>
            <w:tcW w:w="2314" w:type="dxa"/>
            <w:tcBorders>
              <w:top w:val="single" w:color="auto" w:sz="4" w:space="0"/>
              <w:left w:val="single" w:color="auto" w:sz="4" w:space="0"/>
              <w:bottom w:val="single" w:color="auto" w:sz="4" w:space="0"/>
              <w:right w:val="single" w:color="auto" w:sz="4" w:space="0"/>
            </w:tcBorders>
            <w:noWrap w:val="0"/>
            <w:vAlign w:val="center"/>
          </w:tcPr>
          <w:p w14:paraId="51C81636">
            <w:pPr>
              <w:widowControl/>
              <w:spacing w:line="34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江坜河中桥</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6D84E877">
            <w:pPr>
              <w:widowControl/>
              <w:spacing w:line="34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40</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4140409E">
            <w:pPr>
              <w:widowControl/>
              <w:spacing w:line="34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33</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416D6FC5">
            <w:pPr>
              <w:widowControl/>
              <w:spacing w:line="34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1320</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26A3B03C">
            <w:pPr>
              <w:widowControl/>
              <w:spacing w:line="340" w:lineRule="exact"/>
              <w:jc w:val="center"/>
              <w:rPr>
                <w:rFonts w:ascii="宋体" w:hAnsi="宋体" w:cs="宋体"/>
                <w:color w:val="auto"/>
                <w:szCs w:val="21"/>
                <w:highlight w:val="none"/>
                <w:lang w:bidi="ar"/>
              </w:rPr>
            </w:pPr>
          </w:p>
        </w:tc>
      </w:tr>
      <w:tr w14:paraId="22825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0"/>
            <w:vAlign w:val="center"/>
          </w:tcPr>
          <w:p w14:paraId="07B9F475">
            <w:pPr>
              <w:widowControl/>
              <w:spacing w:line="340" w:lineRule="exact"/>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5</w:t>
            </w:r>
          </w:p>
        </w:tc>
        <w:tc>
          <w:tcPr>
            <w:tcW w:w="2314" w:type="dxa"/>
            <w:tcBorders>
              <w:top w:val="single" w:color="auto" w:sz="4" w:space="0"/>
              <w:left w:val="single" w:color="auto" w:sz="4" w:space="0"/>
              <w:bottom w:val="single" w:color="auto" w:sz="4" w:space="0"/>
              <w:right w:val="single" w:color="auto" w:sz="4" w:space="0"/>
            </w:tcBorders>
            <w:noWrap w:val="0"/>
            <w:vAlign w:val="center"/>
          </w:tcPr>
          <w:p w14:paraId="037A7251">
            <w:pPr>
              <w:widowControl/>
              <w:spacing w:line="34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兴港大道立交桥</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3F6F258A">
            <w:pPr>
              <w:widowControl/>
              <w:spacing w:line="34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296</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24FEBE05">
            <w:pPr>
              <w:widowControl/>
              <w:spacing w:line="34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9~12</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1A232F10">
            <w:pPr>
              <w:widowControl/>
              <w:spacing w:line="34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 xml:space="preserve">3084 </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0AD18246">
            <w:pPr>
              <w:widowControl/>
              <w:spacing w:line="340" w:lineRule="exact"/>
              <w:jc w:val="center"/>
              <w:rPr>
                <w:rFonts w:ascii="宋体" w:hAnsi="宋体" w:cs="宋体"/>
                <w:color w:val="auto"/>
                <w:szCs w:val="21"/>
                <w:highlight w:val="none"/>
                <w:lang w:bidi="ar"/>
              </w:rPr>
            </w:pPr>
          </w:p>
        </w:tc>
      </w:tr>
      <w:tr w14:paraId="38E6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0"/>
            <w:vAlign w:val="center"/>
          </w:tcPr>
          <w:p w14:paraId="191FEDE0">
            <w:pPr>
              <w:widowControl/>
              <w:spacing w:line="340" w:lineRule="exact"/>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6</w:t>
            </w:r>
          </w:p>
        </w:tc>
        <w:tc>
          <w:tcPr>
            <w:tcW w:w="2314" w:type="dxa"/>
            <w:tcBorders>
              <w:top w:val="single" w:color="auto" w:sz="4" w:space="0"/>
              <w:left w:val="single" w:color="auto" w:sz="4" w:space="0"/>
              <w:bottom w:val="single" w:color="auto" w:sz="4" w:space="0"/>
              <w:right w:val="single" w:color="auto" w:sz="4" w:space="0"/>
            </w:tcBorders>
            <w:noWrap w:val="0"/>
            <w:vAlign w:val="center"/>
          </w:tcPr>
          <w:p w14:paraId="3209B8BE">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lang w:bidi="ar"/>
              </w:rPr>
              <w:t>玉罗岭铁道桥</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294417C5">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lang w:bidi="ar"/>
              </w:rPr>
              <w:t>80</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51B1AB6E">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64</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17831B1A">
            <w:pPr>
              <w:widowControl/>
              <w:spacing w:line="340" w:lineRule="exact"/>
              <w:jc w:val="center"/>
              <w:rPr>
                <w:rFonts w:ascii="宋体" w:hAnsi="宋体" w:cs="宋体"/>
                <w:color w:val="auto"/>
                <w:szCs w:val="21"/>
                <w:highlight w:val="none"/>
              </w:rPr>
            </w:pPr>
            <w:r>
              <w:rPr>
                <w:rFonts w:hint="eastAsia" w:ascii="宋体" w:hAnsi="宋体" w:cs="宋体"/>
                <w:color w:val="auto"/>
                <w:szCs w:val="21"/>
                <w:highlight w:val="none"/>
                <w:lang w:bidi="ar"/>
              </w:rPr>
              <w:t>5120</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43E08346">
            <w:pPr>
              <w:widowControl/>
              <w:spacing w:line="340" w:lineRule="exact"/>
              <w:jc w:val="center"/>
              <w:rPr>
                <w:rFonts w:ascii="宋体" w:hAnsi="宋体" w:cs="宋体"/>
                <w:color w:val="auto"/>
                <w:szCs w:val="21"/>
                <w:highlight w:val="none"/>
                <w:lang w:bidi="ar"/>
              </w:rPr>
            </w:pPr>
          </w:p>
        </w:tc>
      </w:tr>
      <w:tr w14:paraId="1837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0"/>
            <w:vAlign w:val="center"/>
          </w:tcPr>
          <w:p w14:paraId="13CAE129">
            <w:pPr>
              <w:widowControl/>
              <w:spacing w:line="340" w:lineRule="exact"/>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7</w:t>
            </w:r>
          </w:p>
        </w:tc>
        <w:tc>
          <w:tcPr>
            <w:tcW w:w="2314" w:type="dxa"/>
            <w:tcBorders>
              <w:top w:val="single" w:color="auto" w:sz="4" w:space="0"/>
              <w:left w:val="single" w:color="auto" w:sz="4" w:space="0"/>
              <w:bottom w:val="single" w:color="auto" w:sz="4" w:space="0"/>
              <w:right w:val="single" w:color="auto" w:sz="4" w:space="0"/>
            </w:tcBorders>
            <w:noWrap w:val="0"/>
            <w:vAlign w:val="center"/>
          </w:tcPr>
          <w:p w14:paraId="3E60C762">
            <w:pPr>
              <w:widowControl/>
              <w:spacing w:line="340" w:lineRule="exact"/>
              <w:jc w:val="center"/>
              <w:rPr>
                <w:rFonts w:ascii="宋体" w:hAnsi="宋体" w:cs="宋体"/>
                <w:color w:val="auto"/>
                <w:sz w:val="21"/>
                <w:szCs w:val="21"/>
                <w:highlight w:val="none"/>
                <w:lang w:val="en-US" w:eastAsia="zh-CN" w:bidi="ar"/>
              </w:rPr>
            </w:pPr>
            <w:r>
              <w:rPr>
                <w:rFonts w:hint="eastAsia" w:ascii="宋体" w:hAnsi="宋体" w:cs="宋体"/>
                <w:color w:val="auto"/>
                <w:szCs w:val="21"/>
                <w:highlight w:val="none"/>
                <w:lang w:eastAsia="zh-CN" w:bidi="ar"/>
              </w:rPr>
              <w:t>彩虹天桥（</w:t>
            </w:r>
            <w:r>
              <w:rPr>
                <w:rFonts w:hint="eastAsia" w:ascii="宋体" w:hAnsi="宋体" w:cs="宋体"/>
                <w:color w:val="auto"/>
                <w:szCs w:val="21"/>
                <w:highlight w:val="none"/>
                <w:lang w:val="en-US" w:eastAsia="zh-CN" w:bidi="ar"/>
              </w:rPr>
              <w:t>1号天桥</w:t>
            </w:r>
            <w:r>
              <w:rPr>
                <w:rFonts w:hint="eastAsia" w:ascii="宋体" w:hAnsi="宋体" w:cs="宋体"/>
                <w:color w:val="auto"/>
                <w:szCs w:val="21"/>
                <w:highlight w:val="none"/>
                <w:lang w:eastAsia="zh-CN" w:bidi="ar"/>
              </w:rPr>
              <w:t>）</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27B4F5F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1"/>
                <w:szCs w:val="21"/>
                <w:highlight w:val="none"/>
                <w:lang w:val="en-US" w:eastAsia="zh-CN" w:bidi="ar"/>
              </w:rPr>
            </w:pPr>
            <w:r>
              <w:rPr>
                <w:rFonts w:hint="eastAsia" w:ascii="宋体" w:hAnsi="宋体" w:cs="宋体"/>
                <w:color w:val="auto"/>
                <w:highlight w:val="none"/>
                <w:lang w:val="en-US" w:eastAsia="zh-CN"/>
              </w:rPr>
              <w:t>78.5</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7CF52C39">
            <w:pPr>
              <w:widowControl/>
              <w:spacing w:line="340" w:lineRule="exact"/>
              <w:jc w:val="center"/>
              <w:rPr>
                <w:rFonts w:ascii="宋体" w:hAnsi="宋体" w:cs="宋体"/>
                <w:color w:val="auto"/>
                <w:sz w:val="21"/>
                <w:szCs w:val="21"/>
                <w:highlight w:val="none"/>
                <w:lang w:val="en-US" w:eastAsia="zh-CN" w:bidi="ar-SA"/>
              </w:rPr>
            </w:pPr>
            <w:r>
              <w:rPr>
                <w:rFonts w:hint="eastAsia" w:ascii="宋体" w:hAnsi="宋体" w:cs="宋体"/>
                <w:color w:val="auto"/>
                <w:szCs w:val="21"/>
                <w:highlight w:val="none"/>
                <w:lang w:bidi="ar"/>
              </w:rPr>
              <w:t>4.5</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56BDFE6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1"/>
                <w:szCs w:val="21"/>
                <w:highlight w:val="none"/>
                <w:lang w:val="en-US" w:eastAsia="zh-CN" w:bidi="ar"/>
              </w:rPr>
            </w:pPr>
            <w:r>
              <w:rPr>
                <w:rFonts w:hint="eastAsia" w:ascii="宋体" w:hAnsi="宋体" w:cs="宋体"/>
                <w:color w:val="auto"/>
                <w:kern w:val="2"/>
                <w:sz w:val="21"/>
                <w:szCs w:val="24"/>
                <w:highlight w:val="none"/>
                <w:lang w:val="en-US" w:eastAsia="zh-CN" w:bidi="ar-SA"/>
              </w:rPr>
              <w:t>353.25</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132A20DD">
            <w:pPr>
              <w:widowControl/>
              <w:spacing w:line="340" w:lineRule="exact"/>
              <w:jc w:val="center"/>
              <w:rPr>
                <w:rFonts w:ascii="宋体" w:hAnsi="宋体" w:cs="宋体"/>
                <w:color w:val="auto"/>
                <w:szCs w:val="21"/>
                <w:highlight w:val="none"/>
                <w:lang w:bidi="ar"/>
              </w:rPr>
            </w:pPr>
          </w:p>
        </w:tc>
      </w:tr>
      <w:tr w14:paraId="60066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0"/>
            <w:vAlign w:val="center"/>
          </w:tcPr>
          <w:p w14:paraId="2FFFE460">
            <w:pPr>
              <w:widowControl/>
              <w:spacing w:line="340" w:lineRule="exact"/>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8</w:t>
            </w:r>
          </w:p>
        </w:tc>
        <w:tc>
          <w:tcPr>
            <w:tcW w:w="2314" w:type="dxa"/>
            <w:tcBorders>
              <w:top w:val="single" w:color="auto" w:sz="4" w:space="0"/>
              <w:left w:val="single" w:color="auto" w:sz="4" w:space="0"/>
              <w:bottom w:val="single" w:color="auto" w:sz="4" w:space="0"/>
              <w:right w:val="single" w:color="auto" w:sz="4" w:space="0"/>
            </w:tcBorders>
            <w:noWrap w:val="0"/>
            <w:vAlign w:val="center"/>
          </w:tcPr>
          <w:p w14:paraId="3193280C">
            <w:pPr>
              <w:widowControl/>
              <w:spacing w:line="340" w:lineRule="exact"/>
              <w:jc w:val="both"/>
              <w:rPr>
                <w:rFonts w:hint="eastAsia" w:ascii="宋体" w:hAnsi="宋体" w:eastAsia="宋体" w:cs="宋体"/>
                <w:color w:val="auto"/>
                <w:sz w:val="21"/>
                <w:szCs w:val="21"/>
                <w:highlight w:val="none"/>
                <w:lang w:val="en-US" w:eastAsia="zh-CN" w:bidi="ar"/>
              </w:rPr>
            </w:pPr>
            <w:r>
              <w:rPr>
                <w:rFonts w:hint="eastAsia" w:ascii="宋体" w:hAnsi="宋体" w:cs="宋体"/>
                <w:color w:val="auto"/>
                <w:szCs w:val="21"/>
                <w:highlight w:val="none"/>
                <w:lang w:eastAsia="zh-CN" w:bidi="ar"/>
              </w:rPr>
              <w:t>腾飞天桥（</w:t>
            </w:r>
            <w:r>
              <w:rPr>
                <w:rFonts w:hint="eastAsia" w:ascii="宋体" w:hAnsi="宋体" w:cs="宋体"/>
                <w:color w:val="auto"/>
                <w:szCs w:val="21"/>
                <w:highlight w:val="none"/>
                <w:lang w:val="en-US" w:eastAsia="zh-CN" w:bidi="ar"/>
              </w:rPr>
              <w:t>2号天桥</w:t>
            </w:r>
            <w:r>
              <w:rPr>
                <w:rFonts w:hint="eastAsia" w:ascii="宋体" w:hAnsi="宋体" w:cs="宋体"/>
                <w:color w:val="auto"/>
                <w:szCs w:val="21"/>
                <w:highlight w:val="none"/>
                <w:lang w:eastAsia="zh-CN" w:bidi="ar"/>
              </w:rPr>
              <w:t>）</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593D4CF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1"/>
                <w:szCs w:val="21"/>
                <w:highlight w:val="none"/>
                <w:lang w:val="en-US" w:eastAsia="zh-CN" w:bidi="ar"/>
              </w:rPr>
            </w:pPr>
            <w:r>
              <w:rPr>
                <w:rFonts w:hint="eastAsia" w:ascii="宋体" w:hAnsi="宋体" w:cs="宋体"/>
                <w:color w:val="auto"/>
                <w:highlight w:val="none"/>
                <w:lang w:val="en-US" w:eastAsia="zh-CN"/>
              </w:rPr>
              <w:t>79.6</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736C0C96">
            <w:pPr>
              <w:widowControl/>
              <w:spacing w:line="340" w:lineRule="exact"/>
              <w:jc w:val="center"/>
              <w:rPr>
                <w:rFonts w:ascii="宋体" w:hAnsi="宋体" w:cs="宋体"/>
                <w:color w:val="auto"/>
                <w:sz w:val="21"/>
                <w:szCs w:val="21"/>
                <w:highlight w:val="none"/>
                <w:lang w:val="en-US" w:eastAsia="zh-CN" w:bidi="ar-SA"/>
              </w:rPr>
            </w:pPr>
            <w:r>
              <w:rPr>
                <w:rFonts w:hint="eastAsia" w:ascii="宋体" w:hAnsi="宋体" w:cs="宋体"/>
                <w:color w:val="auto"/>
                <w:szCs w:val="21"/>
                <w:highlight w:val="none"/>
                <w:lang w:bidi="ar"/>
              </w:rPr>
              <w:t>4.5</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5ADD609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1"/>
                <w:szCs w:val="21"/>
                <w:highlight w:val="none"/>
                <w:lang w:val="en-US" w:eastAsia="zh-CN" w:bidi="ar"/>
              </w:rPr>
            </w:pPr>
            <w:r>
              <w:rPr>
                <w:rFonts w:hint="eastAsia" w:ascii="宋体" w:hAnsi="宋体" w:cs="宋体"/>
                <w:color w:val="auto"/>
                <w:kern w:val="2"/>
                <w:sz w:val="21"/>
                <w:szCs w:val="24"/>
                <w:highlight w:val="none"/>
                <w:lang w:val="en-US" w:eastAsia="zh-CN" w:bidi="ar-SA"/>
              </w:rPr>
              <w:t>358.2</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566AC72F">
            <w:pPr>
              <w:widowControl/>
              <w:spacing w:line="340" w:lineRule="exact"/>
              <w:jc w:val="center"/>
              <w:rPr>
                <w:rFonts w:ascii="宋体" w:hAnsi="宋体" w:cs="宋体"/>
                <w:color w:val="auto"/>
                <w:szCs w:val="21"/>
                <w:highlight w:val="none"/>
                <w:lang w:bidi="ar"/>
              </w:rPr>
            </w:pPr>
          </w:p>
        </w:tc>
      </w:tr>
      <w:tr w14:paraId="2E54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0"/>
            <w:vAlign w:val="center"/>
          </w:tcPr>
          <w:p w14:paraId="06DB0B3A">
            <w:pPr>
              <w:widowControl/>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9</w:t>
            </w:r>
          </w:p>
        </w:tc>
        <w:tc>
          <w:tcPr>
            <w:tcW w:w="2314" w:type="dxa"/>
            <w:tcBorders>
              <w:top w:val="single" w:color="auto" w:sz="4" w:space="0"/>
              <w:left w:val="single" w:color="auto" w:sz="4" w:space="0"/>
              <w:bottom w:val="single" w:color="auto" w:sz="4" w:space="0"/>
              <w:right w:val="single" w:color="auto" w:sz="4" w:space="0"/>
            </w:tcBorders>
            <w:noWrap w:val="0"/>
            <w:vAlign w:val="center"/>
          </w:tcPr>
          <w:p w14:paraId="09846BBE">
            <w:pPr>
              <w:widowControl/>
              <w:spacing w:line="340" w:lineRule="exact"/>
              <w:jc w:val="center"/>
              <w:rPr>
                <w:rFonts w:ascii="宋体" w:hAnsi="宋体" w:cs="宋体"/>
                <w:color w:val="auto"/>
                <w:sz w:val="21"/>
                <w:szCs w:val="21"/>
                <w:highlight w:val="none"/>
                <w:lang w:val="en-US" w:eastAsia="zh-CN" w:bidi="ar"/>
              </w:rPr>
            </w:pPr>
            <w:r>
              <w:rPr>
                <w:rFonts w:hint="eastAsia" w:ascii="宋体" w:hAnsi="宋体" w:cs="宋体"/>
                <w:color w:val="auto"/>
                <w:szCs w:val="21"/>
                <w:highlight w:val="none"/>
                <w:lang w:eastAsia="zh-CN" w:bidi="ar"/>
              </w:rPr>
              <w:t>兴港天桥（</w:t>
            </w:r>
            <w:r>
              <w:rPr>
                <w:rFonts w:hint="eastAsia" w:ascii="宋体" w:hAnsi="宋体" w:cs="宋体"/>
                <w:color w:val="auto"/>
                <w:szCs w:val="21"/>
                <w:highlight w:val="none"/>
                <w:lang w:val="en-US" w:eastAsia="zh-CN" w:bidi="ar"/>
              </w:rPr>
              <w:t>3号天桥</w:t>
            </w:r>
            <w:r>
              <w:rPr>
                <w:rFonts w:hint="eastAsia" w:ascii="宋体" w:hAnsi="宋体" w:cs="宋体"/>
                <w:color w:val="auto"/>
                <w:szCs w:val="21"/>
                <w:highlight w:val="none"/>
                <w:lang w:eastAsia="zh-CN" w:bidi="ar"/>
              </w:rPr>
              <w:t>）</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5F36CE8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1"/>
                <w:szCs w:val="21"/>
                <w:highlight w:val="none"/>
                <w:lang w:val="en-US" w:eastAsia="zh-CN" w:bidi="ar"/>
              </w:rPr>
            </w:pPr>
            <w:r>
              <w:rPr>
                <w:rFonts w:hint="eastAsia" w:ascii="宋体" w:hAnsi="宋体" w:cs="宋体"/>
                <w:color w:val="auto"/>
                <w:highlight w:val="none"/>
                <w:lang w:val="en-US" w:eastAsia="zh-CN"/>
              </w:rPr>
              <w:t>80.1</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5AF06EFD">
            <w:pPr>
              <w:widowControl/>
              <w:spacing w:line="340" w:lineRule="exact"/>
              <w:jc w:val="center"/>
              <w:rPr>
                <w:rFonts w:ascii="宋体" w:hAnsi="宋体" w:cs="宋体"/>
                <w:color w:val="auto"/>
                <w:sz w:val="21"/>
                <w:szCs w:val="21"/>
                <w:highlight w:val="none"/>
                <w:lang w:val="en-US" w:eastAsia="zh-CN" w:bidi="ar-SA"/>
              </w:rPr>
            </w:pPr>
            <w:r>
              <w:rPr>
                <w:rFonts w:hint="eastAsia" w:ascii="宋体" w:hAnsi="宋体" w:cs="宋体"/>
                <w:color w:val="auto"/>
                <w:szCs w:val="21"/>
                <w:highlight w:val="none"/>
                <w:lang w:bidi="ar"/>
              </w:rPr>
              <w:t>4.5</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36899C9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1"/>
                <w:szCs w:val="21"/>
                <w:highlight w:val="none"/>
                <w:lang w:val="en-US" w:eastAsia="zh-CN" w:bidi="ar"/>
              </w:rPr>
            </w:pPr>
            <w:r>
              <w:rPr>
                <w:rFonts w:hint="eastAsia" w:ascii="宋体" w:hAnsi="宋体" w:cs="宋体"/>
                <w:color w:val="auto"/>
                <w:kern w:val="2"/>
                <w:sz w:val="21"/>
                <w:szCs w:val="24"/>
                <w:highlight w:val="none"/>
                <w:lang w:val="en-US" w:eastAsia="zh-CN" w:bidi="ar-SA"/>
              </w:rPr>
              <w:t>360.45</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3B1D3FD4">
            <w:pPr>
              <w:widowControl/>
              <w:spacing w:line="340" w:lineRule="exact"/>
              <w:jc w:val="center"/>
              <w:rPr>
                <w:rFonts w:ascii="宋体" w:hAnsi="宋体" w:cs="宋体"/>
                <w:color w:val="auto"/>
                <w:szCs w:val="21"/>
                <w:highlight w:val="none"/>
                <w:lang w:bidi="ar"/>
              </w:rPr>
            </w:pPr>
          </w:p>
        </w:tc>
      </w:tr>
      <w:tr w14:paraId="2B312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0"/>
            <w:vAlign w:val="center"/>
          </w:tcPr>
          <w:p w14:paraId="6CB6B2BC">
            <w:pPr>
              <w:widowControl/>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小计</w:t>
            </w:r>
          </w:p>
        </w:tc>
        <w:tc>
          <w:tcPr>
            <w:tcW w:w="2314" w:type="dxa"/>
            <w:tcBorders>
              <w:top w:val="single" w:color="auto" w:sz="4" w:space="0"/>
              <w:left w:val="single" w:color="auto" w:sz="4" w:space="0"/>
              <w:bottom w:val="single" w:color="auto" w:sz="4" w:space="0"/>
              <w:right w:val="single" w:color="auto" w:sz="4" w:space="0"/>
            </w:tcBorders>
            <w:noWrap w:val="0"/>
            <w:vAlign w:val="center"/>
          </w:tcPr>
          <w:p w14:paraId="54597E07">
            <w:pPr>
              <w:widowControl/>
              <w:spacing w:line="340" w:lineRule="exact"/>
              <w:jc w:val="center"/>
              <w:rPr>
                <w:rFonts w:hint="eastAsia" w:ascii="宋体" w:hAnsi="宋体" w:cs="宋体"/>
                <w:color w:val="auto"/>
                <w:szCs w:val="21"/>
                <w:highlight w:val="none"/>
                <w:lang w:bidi="ar"/>
              </w:rPr>
            </w:pPr>
            <w:r>
              <w:rPr>
                <w:rFonts w:hint="eastAsia" w:ascii="宋体" w:hAnsi="宋体" w:cs="宋体"/>
                <w:color w:val="auto"/>
                <w:szCs w:val="21"/>
                <w:highlight w:val="none"/>
                <w:lang w:val="en-US" w:eastAsia="zh-CN" w:bidi="ar"/>
              </w:rPr>
              <w:t>9</w:t>
            </w:r>
            <w:r>
              <w:rPr>
                <w:rFonts w:hint="eastAsia" w:ascii="宋体" w:hAnsi="宋体" w:cs="宋体"/>
                <w:color w:val="auto"/>
                <w:szCs w:val="21"/>
                <w:highlight w:val="none"/>
                <w:lang w:bidi="ar"/>
              </w:rPr>
              <w:t>座桥梁</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37D7FF1F">
            <w:pPr>
              <w:widowControl/>
              <w:spacing w:line="340" w:lineRule="exact"/>
              <w:jc w:val="center"/>
              <w:rPr>
                <w:rFonts w:ascii="宋体" w:hAnsi="宋体" w:cs="宋体"/>
                <w:color w:val="auto"/>
                <w:szCs w:val="21"/>
                <w:highlight w:val="none"/>
                <w:lang w:bidi="ar"/>
              </w:rPr>
            </w:pPr>
            <w:r>
              <w:rPr>
                <w:rFonts w:hint="eastAsia" w:ascii="宋体" w:hAnsi="宋体" w:cs="宋体"/>
                <w:color w:val="auto"/>
                <w:szCs w:val="21"/>
                <w:highlight w:val="none"/>
                <w:lang w:val="en-US" w:eastAsia="zh-CN" w:bidi="ar"/>
              </w:rPr>
              <w:t>1839.7</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67601F6F">
            <w:pPr>
              <w:spacing w:line="340" w:lineRule="exact"/>
              <w:jc w:val="center"/>
              <w:rPr>
                <w:rFonts w:ascii="宋体" w:hAnsi="宋体" w:cs="宋体"/>
                <w:color w:val="auto"/>
                <w:szCs w:val="21"/>
                <w:highlight w:val="none"/>
              </w:rPr>
            </w:pPr>
          </w:p>
        </w:tc>
        <w:tc>
          <w:tcPr>
            <w:tcW w:w="1803" w:type="dxa"/>
            <w:tcBorders>
              <w:top w:val="single" w:color="auto" w:sz="4" w:space="0"/>
              <w:left w:val="single" w:color="auto" w:sz="4" w:space="0"/>
              <w:bottom w:val="single" w:color="auto" w:sz="4" w:space="0"/>
              <w:right w:val="single" w:color="auto" w:sz="4" w:space="0"/>
            </w:tcBorders>
            <w:noWrap w:val="0"/>
            <w:vAlign w:val="center"/>
          </w:tcPr>
          <w:p w14:paraId="62DD054C">
            <w:pPr>
              <w:widowControl/>
              <w:spacing w:line="340" w:lineRule="exact"/>
              <w:jc w:val="center"/>
              <w:rPr>
                <w:rFonts w:hint="default" w:ascii="宋体" w:hAnsi="宋体" w:eastAsia="宋体" w:cs="宋体"/>
                <w:color w:val="auto"/>
                <w:szCs w:val="21"/>
                <w:highlight w:val="none"/>
                <w:lang w:val="en-US" w:eastAsia="zh-CN" w:bidi="ar"/>
              </w:rPr>
            </w:pPr>
            <w:r>
              <w:rPr>
                <w:rFonts w:hint="eastAsia" w:ascii="宋体" w:hAnsi="宋体" w:cs="宋体"/>
                <w:color w:val="auto"/>
                <w:szCs w:val="21"/>
                <w:highlight w:val="none"/>
                <w:lang w:val="en-US" w:eastAsia="zh-CN" w:bidi="ar"/>
              </w:rPr>
              <w:t>52190.9</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434862C0">
            <w:pPr>
              <w:widowControl/>
              <w:spacing w:line="340" w:lineRule="exact"/>
              <w:jc w:val="center"/>
              <w:rPr>
                <w:rFonts w:ascii="宋体" w:hAnsi="宋体" w:cs="宋体"/>
                <w:color w:val="auto"/>
                <w:szCs w:val="21"/>
                <w:highlight w:val="none"/>
                <w:lang w:bidi="ar"/>
              </w:rPr>
            </w:pPr>
          </w:p>
        </w:tc>
      </w:tr>
    </w:tbl>
    <w:p w14:paraId="6B6CAD2E">
      <w:pPr>
        <w:spacing w:line="340" w:lineRule="exact"/>
        <w:jc w:val="center"/>
        <w:rPr>
          <w:rFonts w:hint="eastAsia" w:ascii="宋体" w:hAnsi="宋体" w:cs="Arial Unicode MS"/>
          <w:color w:val="auto"/>
          <w:sz w:val="24"/>
          <w:highlight w:val="none"/>
          <w:lang w:bidi="ar"/>
        </w:rPr>
      </w:pPr>
    </w:p>
    <w:p w14:paraId="42FFF1B3">
      <w:pPr>
        <w:spacing w:line="340" w:lineRule="exact"/>
        <w:jc w:val="center"/>
        <w:rPr>
          <w:rFonts w:ascii="宋体" w:hAnsi="宋体" w:cs="Arial Unicode MS"/>
          <w:color w:val="auto"/>
          <w:sz w:val="24"/>
          <w:highlight w:val="none"/>
          <w:lang w:bidi="ar"/>
        </w:rPr>
      </w:pPr>
    </w:p>
    <w:p w14:paraId="09DB390B">
      <w:pPr>
        <w:spacing w:line="340" w:lineRule="exact"/>
        <w:jc w:val="center"/>
        <w:rPr>
          <w:rFonts w:ascii="宋体" w:hAnsi="宋体"/>
          <w:color w:val="auto"/>
          <w:szCs w:val="21"/>
          <w:highlight w:val="none"/>
        </w:rPr>
      </w:pPr>
      <w:r>
        <w:rPr>
          <w:rFonts w:hint="eastAsia" w:ascii="宋体" w:hAnsi="宋体" w:cs="Arial Unicode MS"/>
          <w:b/>
          <w:color w:val="auto"/>
          <w:sz w:val="24"/>
          <w:highlight w:val="none"/>
          <w:lang w:bidi="ar"/>
        </w:rPr>
        <w:t>3.防城港市市本级管辖排水泵站一览表</w:t>
      </w:r>
    </w:p>
    <w:tbl>
      <w:tblPr>
        <w:tblStyle w:val="30"/>
        <w:tblW w:w="92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
        <w:gridCol w:w="1442"/>
        <w:gridCol w:w="4143"/>
        <w:gridCol w:w="3105"/>
      </w:tblGrid>
      <w:tr w14:paraId="603BC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Borders>
              <w:top w:val="single" w:color="auto" w:sz="4" w:space="0"/>
              <w:left w:val="single" w:color="auto" w:sz="4" w:space="0"/>
              <w:bottom w:val="single" w:color="auto" w:sz="4" w:space="0"/>
              <w:right w:val="single" w:color="auto" w:sz="4" w:space="0"/>
            </w:tcBorders>
            <w:noWrap w:val="0"/>
            <w:vAlign w:val="center"/>
          </w:tcPr>
          <w:p w14:paraId="1867CA51">
            <w:pPr>
              <w:widowControl/>
              <w:spacing w:line="340" w:lineRule="exact"/>
              <w:jc w:val="center"/>
              <w:rPr>
                <w:rFonts w:ascii="宋体" w:hAnsi="宋体" w:cs="宋体"/>
                <w:b/>
                <w:color w:val="auto"/>
                <w:szCs w:val="21"/>
                <w:highlight w:val="none"/>
                <w:lang w:bidi="ar"/>
              </w:rPr>
            </w:pPr>
            <w:r>
              <w:rPr>
                <w:rFonts w:hint="eastAsia" w:ascii="宋体" w:hAnsi="宋体" w:cs="宋体"/>
                <w:b/>
                <w:color w:val="auto"/>
                <w:szCs w:val="21"/>
                <w:highlight w:val="none"/>
                <w:lang w:bidi="ar"/>
              </w:rPr>
              <w:t>序号</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6CB23015">
            <w:pPr>
              <w:widowControl/>
              <w:spacing w:line="340" w:lineRule="exact"/>
              <w:jc w:val="center"/>
              <w:rPr>
                <w:rFonts w:ascii="宋体" w:hAnsi="宋体" w:cs="宋体"/>
                <w:b/>
                <w:color w:val="auto"/>
                <w:szCs w:val="21"/>
                <w:highlight w:val="none"/>
              </w:rPr>
            </w:pPr>
            <w:r>
              <w:rPr>
                <w:rFonts w:hint="eastAsia" w:ascii="宋体" w:hAnsi="宋体" w:cs="宋体"/>
                <w:b/>
                <w:color w:val="auto"/>
                <w:szCs w:val="21"/>
                <w:highlight w:val="none"/>
                <w:lang w:bidi="ar"/>
              </w:rPr>
              <w:t>名称</w:t>
            </w:r>
          </w:p>
        </w:tc>
        <w:tc>
          <w:tcPr>
            <w:tcW w:w="4143" w:type="dxa"/>
            <w:tcBorders>
              <w:top w:val="single" w:color="auto" w:sz="4" w:space="0"/>
              <w:left w:val="single" w:color="auto" w:sz="4" w:space="0"/>
              <w:bottom w:val="single" w:color="auto" w:sz="4" w:space="0"/>
              <w:right w:val="single" w:color="auto" w:sz="4" w:space="0"/>
            </w:tcBorders>
            <w:noWrap w:val="0"/>
            <w:vAlign w:val="center"/>
          </w:tcPr>
          <w:p w14:paraId="14E58AA7">
            <w:pPr>
              <w:widowControl/>
              <w:spacing w:line="340" w:lineRule="exact"/>
              <w:jc w:val="center"/>
              <w:rPr>
                <w:rFonts w:ascii="宋体" w:hAnsi="宋体" w:cs="宋体"/>
                <w:color w:val="auto"/>
                <w:szCs w:val="21"/>
                <w:highlight w:val="none"/>
              </w:rPr>
            </w:pPr>
            <w:r>
              <w:rPr>
                <w:rFonts w:hint="eastAsia" w:ascii="宋体" w:hAnsi="宋体" w:cs="宋体"/>
                <w:b/>
                <w:color w:val="auto"/>
                <w:szCs w:val="21"/>
                <w:highlight w:val="none"/>
                <w:lang w:bidi="ar"/>
              </w:rPr>
              <w:t>参数</w:t>
            </w:r>
          </w:p>
        </w:tc>
        <w:tc>
          <w:tcPr>
            <w:tcW w:w="3105" w:type="dxa"/>
            <w:tcBorders>
              <w:top w:val="single" w:color="auto" w:sz="4" w:space="0"/>
              <w:left w:val="single" w:color="auto" w:sz="4" w:space="0"/>
              <w:bottom w:val="single" w:color="auto" w:sz="4" w:space="0"/>
              <w:right w:val="single" w:color="auto" w:sz="4" w:space="0"/>
            </w:tcBorders>
            <w:noWrap w:val="0"/>
            <w:vAlign w:val="center"/>
          </w:tcPr>
          <w:p w14:paraId="11C7174D">
            <w:pPr>
              <w:widowControl/>
              <w:spacing w:line="340" w:lineRule="exact"/>
              <w:jc w:val="center"/>
              <w:rPr>
                <w:rFonts w:ascii="宋体" w:hAnsi="宋体" w:cs="宋体"/>
                <w:b/>
                <w:color w:val="auto"/>
                <w:szCs w:val="21"/>
                <w:highlight w:val="none"/>
                <w:lang w:bidi="ar"/>
              </w:rPr>
            </w:pPr>
            <w:r>
              <w:rPr>
                <w:rFonts w:hint="eastAsia" w:ascii="宋体" w:hAnsi="宋体" w:cs="宋体"/>
                <w:b/>
                <w:color w:val="auto"/>
                <w:szCs w:val="21"/>
                <w:highlight w:val="none"/>
                <w:lang w:bidi="ar"/>
              </w:rPr>
              <w:t>备注</w:t>
            </w:r>
          </w:p>
        </w:tc>
      </w:tr>
      <w:tr w14:paraId="18FD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Borders>
              <w:top w:val="single" w:color="auto" w:sz="4" w:space="0"/>
              <w:left w:val="single" w:color="auto" w:sz="4" w:space="0"/>
              <w:bottom w:val="single" w:color="auto" w:sz="4" w:space="0"/>
              <w:right w:val="single" w:color="auto" w:sz="4" w:space="0"/>
            </w:tcBorders>
            <w:noWrap w:val="0"/>
            <w:vAlign w:val="center"/>
          </w:tcPr>
          <w:p w14:paraId="3FB2AF98">
            <w:pPr>
              <w:widowControl/>
              <w:spacing w:line="340" w:lineRule="exact"/>
              <w:jc w:val="center"/>
              <w:rPr>
                <w:rFonts w:ascii="宋体" w:hAnsi="宋体" w:cs="宋体"/>
                <w:b/>
                <w:color w:val="auto"/>
                <w:szCs w:val="21"/>
                <w:highlight w:val="none"/>
              </w:rPr>
            </w:pPr>
            <w:r>
              <w:rPr>
                <w:rFonts w:hint="eastAsia" w:ascii="宋体" w:hAnsi="宋体" w:cs="宋体"/>
                <w:b/>
                <w:bCs/>
                <w:color w:val="auto"/>
                <w:szCs w:val="21"/>
                <w:highlight w:val="none"/>
                <w:lang w:bidi="ar"/>
              </w:rPr>
              <w:t>1</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18470678">
            <w:pPr>
              <w:widowControl/>
              <w:spacing w:line="340" w:lineRule="exact"/>
              <w:jc w:val="center"/>
              <w:rPr>
                <w:rFonts w:ascii="宋体" w:hAnsi="宋体" w:cs="宋体"/>
                <w:b/>
                <w:color w:val="auto"/>
                <w:szCs w:val="21"/>
                <w:highlight w:val="none"/>
              </w:rPr>
            </w:pPr>
            <w:r>
              <w:rPr>
                <w:rFonts w:hint="eastAsia" w:ascii="宋体" w:hAnsi="宋体" w:cs="宋体"/>
                <w:color w:val="auto"/>
                <w:szCs w:val="21"/>
                <w:highlight w:val="none"/>
                <w:lang w:bidi="ar"/>
              </w:rPr>
              <w:t>文昌大道排水泵站</w:t>
            </w:r>
          </w:p>
        </w:tc>
        <w:tc>
          <w:tcPr>
            <w:tcW w:w="4143" w:type="dxa"/>
            <w:tcBorders>
              <w:top w:val="single" w:color="auto" w:sz="4" w:space="0"/>
              <w:left w:val="single" w:color="auto" w:sz="4" w:space="0"/>
              <w:bottom w:val="single" w:color="auto" w:sz="4" w:space="0"/>
              <w:right w:val="single" w:color="auto" w:sz="4" w:space="0"/>
            </w:tcBorders>
            <w:noWrap w:val="0"/>
            <w:vAlign w:val="center"/>
          </w:tcPr>
          <w:p w14:paraId="1BDA997D">
            <w:pPr>
              <w:widowControl/>
              <w:spacing w:line="340" w:lineRule="exact"/>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三台水泵</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bidi="ar"/>
              </w:rPr>
              <w:t>型号，350WQ14291</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bidi="ar"/>
              </w:rPr>
              <w:t>参数Q=1050~1800</w:t>
            </w:r>
            <w:r>
              <w:rPr>
                <w:color w:val="auto"/>
                <w:highlight w:val="none"/>
              </w:rPr>
              <w:t>m³</w:t>
            </w:r>
            <w:r>
              <w:rPr>
                <w:rFonts w:hint="eastAsia" w:ascii="宋体" w:hAnsi="宋体" w:cs="宋体"/>
                <w:color w:val="auto"/>
                <w:szCs w:val="21"/>
                <w:highlight w:val="none"/>
                <w:lang w:bidi="ar"/>
              </w:rPr>
              <w:t>/h</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bidi="ar"/>
              </w:rPr>
              <w:t>H=10~13m</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bidi="ar"/>
              </w:rPr>
              <w:t>P=55kW。通</w:t>
            </w:r>
          </w:p>
          <w:p w14:paraId="31F93578">
            <w:pPr>
              <w:widowControl/>
              <w:spacing w:line="340" w:lineRule="exact"/>
              <w:jc w:val="both"/>
              <w:rPr>
                <w:rFonts w:ascii="宋体" w:hAnsi="宋体" w:cs="宋体"/>
                <w:b/>
                <w:color w:val="auto"/>
                <w:szCs w:val="21"/>
                <w:highlight w:val="none"/>
              </w:rPr>
            </w:pPr>
            <w:r>
              <w:rPr>
                <w:rFonts w:hint="eastAsia" w:ascii="宋体" w:hAnsi="宋体" w:cs="宋体"/>
                <w:color w:val="auto"/>
                <w:szCs w:val="21"/>
                <w:highlight w:val="none"/>
                <w:lang w:bidi="ar"/>
              </w:rPr>
              <w:t>过最大颗粒物直径为80mm。</w:t>
            </w:r>
          </w:p>
        </w:tc>
        <w:tc>
          <w:tcPr>
            <w:tcW w:w="3105" w:type="dxa"/>
            <w:tcBorders>
              <w:top w:val="single" w:color="auto" w:sz="4" w:space="0"/>
              <w:left w:val="single" w:color="auto" w:sz="4" w:space="0"/>
              <w:bottom w:val="single" w:color="auto" w:sz="4" w:space="0"/>
              <w:right w:val="single" w:color="auto" w:sz="4" w:space="0"/>
            </w:tcBorders>
            <w:noWrap w:val="0"/>
            <w:vAlign w:val="center"/>
          </w:tcPr>
          <w:p w14:paraId="241ED864">
            <w:pPr>
              <w:widowControl/>
              <w:spacing w:line="340" w:lineRule="exact"/>
              <w:jc w:val="center"/>
              <w:rPr>
                <w:rFonts w:ascii="宋体" w:hAnsi="宋体" w:cs="宋体"/>
                <w:b/>
                <w:color w:val="auto"/>
                <w:szCs w:val="21"/>
                <w:highlight w:val="none"/>
                <w:lang w:bidi="ar"/>
              </w:rPr>
            </w:pPr>
            <w:r>
              <w:rPr>
                <w:rFonts w:hint="eastAsia" w:ascii="宋体" w:hAnsi="宋体" w:cs="宋体"/>
                <w:color w:val="auto"/>
                <w:szCs w:val="21"/>
                <w:highlight w:val="none"/>
                <w:lang w:bidi="ar"/>
              </w:rPr>
              <w:t>无人值守</w:t>
            </w:r>
          </w:p>
        </w:tc>
      </w:tr>
    </w:tbl>
    <w:p w14:paraId="7D787B02">
      <w:pPr>
        <w:spacing w:line="340" w:lineRule="exact"/>
        <w:rPr>
          <w:rFonts w:ascii="宋体" w:hAnsi="宋体"/>
          <w:color w:val="auto"/>
          <w:szCs w:val="21"/>
          <w:highlight w:val="none"/>
        </w:rPr>
        <w:sectPr>
          <w:footerReference r:id="rId4" w:type="default"/>
          <w:pgSz w:w="11911" w:h="16838"/>
          <w:pgMar w:top="1440" w:right="1417" w:bottom="1440" w:left="1417" w:header="856" w:footer="890" w:gutter="0"/>
          <w:pgBorders>
            <w:top w:val="none" w:sz="0" w:space="0"/>
            <w:left w:val="none" w:sz="0" w:space="0"/>
            <w:bottom w:val="none" w:sz="0" w:space="0"/>
            <w:right w:val="none" w:sz="0" w:space="0"/>
          </w:pgBorders>
          <w:cols w:space="1701" w:num="1"/>
        </w:sectPr>
      </w:pPr>
    </w:p>
    <w:p w14:paraId="5B8DE404">
      <w:pPr>
        <w:spacing w:line="34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附件2：防城港市市政设施日常维修养护管理标准</w:t>
      </w:r>
    </w:p>
    <w:p w14:paraId="6165CA10">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 xml:space="preserve"> </w:t>
      </w:r>
    </w:p>
    <w:p w14:paraId="30AEBDE4">
      <w:pPr>
        <w:spacing w:line="340" w:lineRule="exact"/>
        <w:ind w:firstLine="422"/>
        <w:rPr>
          <w:rFonts w:ascii="宋体" w:hAnsi="宋体" w:cs="宋体"/>
          <w:b/>
          <w:bCs/>
          <w:color w:val="auto"/>
          <w:szCs w:val="21"/>
          <w:highlight w:val="none"/>
        </w:rPr>
      </w:pPr>
      <w:r>
        <w:rPr>
          <w:rFonts w:hint="eastAsia" w:ascii="宋体" w:hAnsi="宋体" w:cs="宋体"/>
          <w:b/>
          <w:bCs/>
          <w:color w:val="auto"/>
          <w:szCs w:val="21"/>
          <w:highlight w:val="none"/>
        </w:rPr>
        <w:t>1 总则</w:t>
      </w:r>
    </w:p>
    <w:p w14:paraId="38A30C7A">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1.1为了规范防城港市市政设施养护维修工程的施工行为</w:t>
      </w:r>
      <w:r>
        <w:rPr>
          <w:rFonts w:hint="eastAsia" w:ascii="宋体" w:hAnsi="宋体" w:cs="宋体"/>
          <w:color w:val="auto"/>
          <w:szCs w:val="21"/>
          <w:highlight w:val="none"/>
          <w:lang w:eastAsia="zh-CN"/>
        </w:rPr>
        <w:t>，</w:t>
      </w:r>
      <w:r>
        <w:rPr>
          <w:rFonts w:hint="eastAsia" w:ascii="宋体" w:hAnsi="宋体" w:cs="宋体"/>
          <w:color w:val="auto"/>
          <w:szCs w:val="21"/>
          <w:highlight w:val="none"/>
        </w:rPr>
        <w:t>提高养护维修工程的质量、安全和文明施工管理水平</w:t>
      </w:r>
      <w:r>
        <w:rPr>
          <w:rFonts w:hint="eastAsia" w:ascii="宋体" w:hAnsi="宋体" w:cs="宋体"/>
          <w:color w:val="auto"/>
          <w:szCs w:val="21"/>
          <w:highlight w:val="none"/>
          <w:lang w:eastAsia="zh-CN"/>
        </w:rPr>
        <w:t>，</w:t>
      </w:r>
      <w:r>
        <w:rPr>
          <w:rFonts w:hint="eastAsia" w:ascii="宋体" w:hAnsi="宋体" w:cs="宋体"/>
          <w:color w:val="auto"/>
          <w:szCs w:val="21"/>
          <w:highlight w:val="none"/>
        </w:rPr>
        <w:t>促进养护维修作业科学化、规范化、标准化管理</w:t>
      </w:r>
      <w:r>
        <w:rPr>
          <w:rFonts w:hint="eastAsia" w:ascii="宋体" w:hAnsi="宋体" w:cs="宋体"/>
          <w:color w:val="auto"/>
          <w:szCs w:val="21"/>
          <w:highlight w:val="none"/>
          <w:lang w:eastAsia="zh-CN"/>
        </w:rPr>
        <w:t>，</w:t>
      </w:r>
      <w:r>
        <w:rPr>
          <w:rFonts w:hint="eastAsia" w:ascii="宋体" w:hAnsi="宋体" w:cs="宋体"/>
          <w:color w:val="auto"/>
          <w:szCs w:val="21"/>
          <w:highlight w:val="none"/>
        </w:rPr>
        <w:t>根据国家行业标准</w:t>
      </w:r>
      <w:r>
        <w:rPr>
          <w:rFonts w:hint="eastAsia" w:ascii="宋体" w:hAnsi="宋体" w:cs="宋体"/>
          <w:color w:val="auto"/>
          <w:szCs w:val="21"/>
          <w:highlight w:val="none"/>
          <w:lang w:eastAsia="zh-CN"/>
        </w:rPr>
        <w:t>，</w:t>
      </w:r>
      <w:r>
        <w:rPr>
          <w:rFonts w:hint="eastAsia" w:ascii="宋体" w:hAnsi="宋体" w:cs="宋体"/>
          <w:color w:val="auto"/>
          <w:szCs w:val="21"/>
          <w:highlight w:val="none"/>
        </w:rPr>
        <w:t>结合防城港市实际，制定本标准。</w:t>
      </w:r>
    </w:p>
    <w:p w14:paraId="42D48447">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1.2本标准规定了城市道路、桥梁、排水及其附属设施等市政设施的养护维修技术要求、现场管理标准、施工安全、服务时限、管理责任及监督管理。</w:t>
      </w:r>
    </w:p>
    <w:p w14:paraId="6D8994F1">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1.3市政设施养护维修是指以保持市政设施功能为目的而进行的日常保养、修复、加固等施工作业。</w:t>
      </w:r>
    </w:p>
    <w:p w14:paraId="15A95388">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1.3.1 道路保养小修</w:t>
      </w:r>
    </w:p>
    <w:p w14:paraId="52F3045E">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为保持道路功能和设施完好所进行的日常保养。对路面轻微损坏的零星挖补</w:t>
      </w:r>
      <w:r>
        <w:rPr>
          <w:rFonts w:hint="eastAsia" w:ascii="宋体" w:hAnsi="宋体" w:cs="宋体"/>
          <w:color w:val="auto"/>
          <w:szCs w:val="21"/>
          <w:highlight w:val="none"/>
          <w:lang w:eastAsia="zh-CN"/>
        </w:rPr>
        <w:t>，</w:t>
      </w:r>
      <w:r>
        <w:rPr>
          <w:rFonts w:hint="eastAsia" w:ascii="宋体" w:hAnsi="宋体" w:cs="宋体"/>
          <w:color w:val="auto"/>
          <w:szCs w:val="21"/>
          <w:highlight w:val="none"/>
        </w:rPr>
        <w:t>工作量不超过400平方米；</w:t>
      </w:r>
    </w:p>
    <w:p w14:paraId="3EE6E5EC">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1.3.2 道路中修工程</w:t>
      </w:r>
    </w:p>
    <w:p w14:paraId="7319F78A">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对一般性磨耗和局部损坏进行的定期的维修工程。以恢复道路原有技术状况</w:t>
      </w:r>
      <w:r>
        <w:rPr>
          <w:rFonts w:hint="eastAsia" w:ascii="宋体" w:hAnsi="宋体" w:cs="宋体"/>
          <w:color w:val="auto"/>
          <w:szCs w:val="21"/>
          <w:highlight w:val="none"/>
          <w:lang w:eastAsia="zh-CN"/>
        </w:rPr>
        <w:t>，</w:t>
      </w:r>
      <w:r>
        <w:rPr>
          <w:rFonts w:hint="eastAsia" w:ascii="宋体" w:hAnsi="宋体" w:cs="宋体"/>
          <w:color w:val="auto"/>
          <w:szCs w:val="21"/>
          <w:highlight w:val="none"/>
        </w:rPr>
        <w:t>工作量超过400平方米小于8000平方米；</w:t>
      </w:r>
    </w:p>
    <w:p w14:paraId="712365CB">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1.3.3 桥梁保养小修</w:t>
      </w:r>
    </w:p>
    <w:p w14:paraId="321A0ED8">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对管辖范围内的城市桥梁进行日常维护和小修作业</w:t>
      </w:r>
    </w:p>
    <w:p w14:paraId="6CBA4EBA">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1.3.4 桥梁中修工程</w:t>
      </w:r>
    </w:p>
    <w:p w14:paraId="0947F436">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对城市桥梁的一般性损坏进行修理</w:t>
      </w:r>
      <w:r>
        <w:rPr>
          <w:rFonts w:hint="eastAsia" w:ascii="宋体" w:hAnsi="宋体" w:cs="宋体"/>
          <w:color w:val="auto"/>
          <w:szCs w:val="21"/>
          <w:highlight w:val="none"/>
          <w:lang w:eastAsia="zh-CN"/>
        </w:rPr>
        <w:t>，</w:t>
      </w:r>
      <w:r>
        <w:rPr>
          <w:rFonts w:hint="eastAsia" w:ascii="宋体" w:hAnsi="宋体" w:cs="宋体"/>
          <w:color w:val="auto"/>
          <w:szCs w:val="21"/>
          <w:highlight w:val="none"/>
        </w:rPr>
        <w:t>恢复其原有的技术水平和标准。</w:t>
      </w:r>
    </w:p>
    <w:p w14:paraId="5A949C49">
      <w:pPr>
        <w:spacing w:line="340" w:lineRule="exact"/>
        <w:rPr>
          <w:rFonts w:ascii="宋体" w:hAnsi="宋体" w:cs="宋体"/>
          <w:color w:val="auto"/>
          <w:szCs w:val="21"/>
          <w:highlight w:val="none"/>
        </w:rPr>
      </w:pPr>
      <w:r>
        <w:rPr>
          <w:rFonts w:hint="eastAsia" w:ascii="宋体" w:hAnsi="宋体" w:cs="宋体"/>
          <w:color w:val="auto"/>
          <w:szCs w:val="21"/>
          <w:highlight w:val="none"/>
        </w:rPr>
        <w:t>　　1.4 制定依据</w:t>
      </w:r>
    </w:p>
    <w:p w14:paraId="21EAF41B">
      <w:pPr>
        <w:spacing w:line="360" w:lineRule="auto"/>
        <w:rPr>
          <w:rFonts w:ascii="宋体" w:hAnsi="宋体" w:cs="宋体"/>
          <w:color w:val="auto"/>
          <w:sz w:val="22"/>
          <w:szCs w:val="22"/>
          <w:highlight w:val="none"/>
        </w:rPr>
      </w:pPr>
      <w:r>
        <w:rPr>
          <w:rFonts w:hint="eastAsia" w:ascii="宋体" w:hAnsi="宋体" w:cs="宋体"/>
          <w:color w:val="auto"/>
          <w:szCs w:val="21"/>
          <w:highlight w:val="none"/>
        </w:rPr>
        <w:t>　</w:t>
      </w:r>
      <w:r>
        <w:rPr>
          <w:rFonts w:hint="eastAsia" w:ascii="宋体" w:hAnsi="宋体" w:cs="宋体"/>
          <w:color w:val="auto"/>
          <w:sz w:val="22"/>
          <w:szCs w:val="22"/>
          <w:highlight w:val="none"/>
        </w:rPr>
        <w:t>　《城镇道路养护技术规范》（CJJ 36-20</w:t>
      </w:r>
      <w:r>
        <w:rPr>
          <w:rFonts w:hint="eastAsia" w:ascii="宋体" w:hAnsi="宋体" w:cs="宋体"/>
          <w:color w:val="auto"/>
          <w:sz w:val="22"/>
          <w:szCs w:val="22"/>
          <w:highlight w:val="none"/>
          <w:lang w:val="en-US" w:eastAsia="zh-CN"/>
        </w:rPr>
        <w:t>16</w:t>
      </w:r>
      <w:r>
        <w:rPr>
          <w:rFonts w:hint="eastAsia" w:ascii="宋体" w:hAnsi="宋体" w:cs="宋体"/>
          <w:color w:val="auto"/>
          <w:sz w:val="22"/>
          <w:szCs w:val="22"/>
          <w:highlight w:val="none"/>
        </w:rPr>
        <w:t>）</w:t>
      </w:r>
    </w:p>
    <w:p w14:paraId="307310CE">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w:t>
      </w:r>
      <w:r>
        <w:rPr>
          <w:rFonts w:hint="eastAsia" w:ascii="宋体" w:hAnsi="宋体" w:cs="宋体"/>
          <w:color w:val="auto"/>
          <w:sz w:val="22"/>
          <w:szCs w:val="22"/>
          <w:highlight w:val="none"/>
          <w:lang w:eastAsia="zh-CN"/>
        </w:rPr>
        <w:t>城市桥梁养护技术标准</w:t>
      </w:r>
      <w:r>
        <w:rPr>
          <w:rFonts w:hint="eastAsia" w:ascii="宋体" w:hAnsi="宋体" w:cs="宋体"/>
          <w:color w:val="auto"/>
          <w:sz w:val="22"/>
          <w:szCs w:val="22"/>
          <w:highlight w:val="none"/>
        </w:rPr>
        <w:t>》（CJJ 99-20</w:t>
      </w:r>
      <w:r>
        <w:rPr>
          <w:rFonts w:hint="eastAsia" w:ascii="宋体" w:hAnsi="宋体" w:cs="宋体"/>
          <w:color w:val="auto"/>
          <w:sz w:val="22"/>
          <w:szCs w:val="22"/>
          <w:highlight w:val="none"/>
          <w:lang w:val="en-US" w:eastAsia="zh-CN"/>
        </w:rPr>
        <w:t>17</w:t>
      </w:r>
      <w:r>
        <w:rPr>
          <w:rFonts w:hint="eastAsia" w:ascii="宋体" w:hAnsi="宋体" w:cs="宋体"/>
          <w:color w:val="auto"/>
          <w:sz w:val="22"/>
          <w:szCs w:val="22"/>
          <w:highlight w:val="none"/>
        </w:rPr>
        <w:t>）</w:t>
      </w:r>
    </w:p>
    <w:p w14:paraId="66068D75">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    《城市桥梁工程施工与质量验收规范》（CJJ 2-20</w:t>
      </w:r>
      <w:r>
        <w:rPr>
          <w:rFonts w:hint="eastAsia" w:ascii="宋体" w:hAnsi="宋体" w:cs="宋体"/>
          <w:color w:val="auto"/>
          <w:sz w:val="22"/>
          <w:szCs w:val="22"/>
          <w:highlight w:val="none"/>
          <w:lang w:val="en-US" w:eastAsia="zh-CN"/>
        </w:rPr>
        <w:t>23</w:t>
      </w:r>
      <w:r>
        <w:rPr>
          <w:rFonts w:hint="eastAsia" w:ascii="宋体" w:hAnsi="宋体" w:cs="宋体"/>
          <w:color w:val="auto"/>
          <w:sz w:val="22"/>
          <w:szCs w:val="22"/>
          <w:highlight w:val="none"/>
        </w:rPr>
        <w:t>）</w:t>
      </w:r>
    </w:p>
    <w:p w14:paraId="4EC627D0">
      <w:pPr>
        <w:spacing w:line="360" w:lineRule="auto"/>
        <w:ind w:firstLine="440"/>
        <w:rPr>
          <w:rFonts w:hint="eastAsia" w:ascii="宋体" w:hAnsi="宋体" w:cs="宋体"/>
          <w:color w:val="auto"/>
          <w:sz w:val="22"/>
          <w:szCs w:val="22"/>
          <w:highlight w:val="none"/>
        </w:rPr>
      </w:pPr>
      <w:r>
        <w:rPr>
          <w:rFonts w:hint="eastAsia" w:ascii="宋体" w:hAnsi="宋体" w:cs="宋体"/>
          <w:color w:val="auto"/>
          <w:sz w:val="22"/>
          <w:szCs w:val="22"/>
          <w:highlight w:val="none"/>
        </w:rPr>
        <w:t>《城镇排水管渠与泵站运行、维护及安全技术规程》（CJJ 68-2016）</w:t>
      </w:r>
    </w:p>
    <w:p w14:paraId="1F70B678">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《无障碍设计规范》（G</w:t>
      </w:r>
      <w:r>
        <w:rPr>
          <w:rFonts w:hint="eastAsia" w:ascii="宋体" w:hAnsi="宋体" w:cs="宋体"/>
          <w:color w:val="auto"/>
          <w:sz w:val="22"/>
          <w:szCs w:val="22"/>
          <w:highlight w:val="none"/>
          <w:lang w:val="en-US" w:eastAsia="zh-CN"/>
        </w:rPr>
        <w:t>B50763</w:t>
      </w:r>
      <w:r>
        <w:rPr>
          <w:rFonts w:hint="eastAsia" w:ascii="宋体" w:hAnsi="宋体" w:cs="宋体"/>
          <w:color w:val="auto"/>
          <w:sz w:val="22"/>
          <w:szCs w:val="22"/>
          <w:highlight w:val="none"/>
        </w:rPr>
        <w:t xml:space="preserve"> -20</w:t>
      </w:r>
      <w:r>
        <w:rPr>
          <w:rFonts w:hint="eastAsia" w:ascii="宋体" w:hAnsi="宋体" w:cs="宋体"/>
          <w:color w:val="auto"/>
          <w:sz w:val="22"/>
          <w:szCs w:val="22"/>
          <w:highlight w:val="none"/>
          <w:lang w:val="en-US" w:eastAsia="zh-CN"/>
        </w:rPr>
        <w:t>12</w:t>
      </w:r>
      <w:r>
        <w:rPr>
          <w:rFonts w:hint="eastAsia" w:ascii="宋体" w:hAnsi="宋体" w:cs="宋体"/>
          <w:color w:val="auto"/>
          <w:sz w:val="22"/>
          <w:szCs w:val="22"/>
          <w:highlight w:val="none"/>
        </w:rPr>
        <w:t>）</w:t>
      </w:r>
    </w:p>
    <w:p w14:paraId="20A41540">
      <w:pPr>
        <w:spacing w:line="360" w:lineRule="auto"/>
        <w:ind w:firstLine="440"/>
        <w:rPr>
          <w:rFonts w:hint="eastAsia" w:ascii="宋体" w:hAnsi="宋体" w:cs="宋体"/>
          <w:color w:val="auto"/>
          <w:sz w:val="22"/>
          <w:szCs w:val="22"/>
          <w:highlight w:val="none"/>
        </w:rPr>
      </w:pPr>
      <w:r>
        <w:rPr>
          <w:rFonts w:hint="eastAsia" w:ascii="宋体" w:hAnsi="宋体" w:cs="宋体"/>
          <w:color w:val="auto"/>
          <w:sz w:val="22"/>
          <w:szCs w:val="22"/>
          <w:highlight w:val="none"/>
        </w:rPr>
        <w:t>《公路养护工程质量检验评定标准 第一册 土建工程》（JTG 5220—2020）</w:t>
      </w:r>
    </w:p>
    <w:p w14:paraId="550059C4">
      <w:pPr>
        <w:spacing w:line="340" w:lineRule="exact"/>
        <w:ind w:firstLine="422"/>
        <w:rPr>
          <w:rFonts w:ascii="宋体" w:hAnsi="宋体" w:cs="宋体"/>
          <w:b/>
          <w:bCs/>
          <w:color w:val="auto"/>
          <w:szCs w:val="21"/>
          <w:highlight w:val="none"/>
        </w:rPr>
      </w:pPr>
      <w:r>
        <w:rPr>
          <w:rFonts w:hint="eastAsia" w:ascii="宋体" w:hAnsi="宋体" w:cs="宋体"/>
          <w:b/>
          <w:bCs/>
          <w:color w:val="auto"/>
          <w:szCs w:val="21"/>
          <w:highlight w:val="none"/>
        </w:rPr>
        <w:t>2 一般规定</w:t>
      </w:r>
    </w:p>
    <w:p w14:paraId="0062C57E">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eastAsia="zh-CN"/>
        </w:rPr>
        <w:t>防城港市住房和城乡建设局</w:t>
      </w:r>
      <w:r>
        <w:rPr>
          <w:rFonts w:hint="eastAsia" w:ascii="宋体" w:hAnsi="宋体" w:cs="宋体"/>
          <w:color w:val="auto"/>
          <w:szCs w:val="21"/>
          <w:highlight w:val="none"/>
        </w:rPr>
        <w:t>负责本标准实施的布置、督促、检查、考核责任。</w:t>
      </w:r>
    </w:p>
    <w:p w14:paraId="5A69BAA0">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eastAsia="zh-CN"/>
        </w:rPr>
        <w:t>防城港市住房和城乡建设局</w:t>
      </w:r>
      <w:r>
        <w:rPr>
          <w:rFonts w:hint="eastAsia" w:ascii="宋体" w:hAnsi="宋体" w:cs="宋体"/>
          <w:color w:val="auto"/>
          <w:szCs w:val="21"/>
          <w:highlight w:val="none"/>
        </w:rPr>
        <w:t>应当按照设施类别、级别、养护等级分别制定保养、巡查周期和定期检测制度，及时督促施工企业按照本标准进行设施维修养护。</w:t>
      </w:r>
    </w:p>
    <w:p w14:paraId="5989C55F">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2.1.2</w:t>
      </w:r>
      <w:r>
        <w:rPr>
          <w:rFonts w:hint="eastAsia" w:ascii="宋体" w:hAnsi="宋体" w:cs="宋体"/>
          <w:color w:val="auto"/>
          <w:szCs w:val="21"/>
          <w:highlight w:val="none"/>
          <w:lang w:eastAsia="zh-CN"/>
        </w:rPr>
        <w:t>防城港市住房和城乡建设局</w:t>
      </w:r>
      <w:r>
        <w:rPr>
          <w:rFonts w:hint="eastAsia" w:ascii="宋体" w:hAnsi="宋体" w:cs="宋体"/>
          <w:color w:val="auto"/>
          <w:szCs w:val="21"/>
          <w:highlight w:val="none"/>
        </w:rPr>
        <w:t>应定期进行养护质量分析，提高维护质量水平。建立举报</w:t>
      </w:r>
      <w:r>
        <w:rPr>
          <w:rFonts w:hint="eastAsia" w:ascii="宋体" w:hAnsi="宋体" w:cs="宋体"/>
          <w:color w:val="auto"/>
          <w:szCs w:val="21"/>
          <w:highlight w:val="none"/>
          <w:lang w:val="en-US" w:eastAsia="zh-CN"/>
        </w:rPr>
        <w:t>投诉</w:t>
      </w:r>
      <w:r>
        <w:rPr>
          <w:rFonts w:hint="eastAsia" w:ascii="宋体" w:hAnsi="宋体" w:cs="宋体"/>
          <w:color w:val="auto"/>
          <w:szCs w:val="21"/>
          <w:highlight w:val="none"/>
        </w:rPr>
        <w:t>机制，接受社会监督。</w:t>
      </w:r>
    </w:p>
    <w:p w14:paraId="3D95D420">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2.1.3</w:t>
      </w:r>
      <w:r>
        <w:rPr>
          <w:rFonts w:hint="eastAsia" w:ascii="宋体" w:hAnsi="宋体" w:cs="宋体"/>
          <w:color w:val="auto"/>
          <w:szCs w:val="21"/>
          <w:highlight w:val="none"/>
          <w:lang w:eastAsia="zh-CN"/>
        </w:rPr>
        <w:t>防城港市住房和城乡建设局</w:t>
      </w:r>
      <w:r>
        <w:rPr>
          <w:rFonts w:hint="eastAsia" w:ascii="宋体" w:hAnsi="宋体" w:cs="宋体"/>
          <w:color w:val="auto"/>
          <w:szCs w:val="21"/>
          <w:highlight w:val="none"/>
        </w:rPr>
        <w:t>应为养护维修施工单位提供必需的安全作业环境和相应的地下设施资料，并保证所提供资料的真实、完整、准确。对施工可能造成周边建(构)筑物、防汛设施、地下管线等设施损坏的现场进行勘察</w:t>
      </w:r>
      <w:r>
        <w:rPr>
          <w:rFonts w:hint="eastAsia" w:ascii="宋体" w:hAnsi="宋体" w:cs="宋体"/>
          <w:color w:val="auto"/>
          <w:szCs w:val="21"/>
          <w:highlight w:val="none"/>
          <w:lang w:eastAsia="zh-CN"/>
        </w:rPr>
        <w:t>，</w:t>
      </w:r>
      <w:r>
        <w:rPr>
          <w:rFonts w:hint="eastAsia" w:ascii="宋体" w:hAnsi="宋体" w:cs="宋体"/>
          <w:color w:val="auto"/>
          <w:szCs w:val="21"/>
          <w:highlight w:val="none"/>
        </w:rPr>
        <w:t>制订相应的防护措施</w:t>
      </w:r>
      <w:r>
        <w:rPr>
          <w:rFonts w:hint="eastAsia" w:ascii="宋体" w:hAnsi="宋体" w:cs="宋体"/>
          <w:color w:val="auto"/>
          <w:szCs w:val="21"/>
          <w:highlight w:val="none"/>
          <w:lang w:eastAsia="zh-CN"/>
        </w:rPr>
        <w:t>，</w:t>
      </w:r>
      <w:r>
        <w:rPr>
          <w:rFonts w:hint="eastAsia" w:ascii="宋体" w:hAnsi="宋体" w:cs="宋体"/>
          <w:color w:val="auto"/>
          <w:szCs w:val="21"/>
          <w:highlight w:val="none"/>
        </w:rPr>
        <w:t>保证施工安全、文明进行。</w:t>
      </w:r>
    </w:p>
    <w:p w14:paraId="592E8EE9">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2.1.4</w:t>
      </w:r>
      <w:r>
        <w:rPr>
          <w:rFonts w:hint="eastAsia" w:ascii="宋体" w:hAnsi="宋体" w:cs="宋体"/>
          <w:color w:val="auto"/>
          <w:szCs w:val="21"/>
          <w:highlight w:val="none"/>
          <w:lang w:eastAsia="zh-CN"/>
        </w:rPr>
        <w:t>防城港市住房和城乡建设局</w:t>
      </w:r>
      <w:r>
        <w:rPr>
          <w:rFonts w:hint="eastAsia" w:ascii="宋体" w:hAnsi="宋体" w:cs="宋体"/>
          <w:color w:val="auto"/>
          <w:szCs w:val="21"/>
          <w:highlight w:val="none"/>
        </w:rPr>
        <w:t>不得压缩正常工期、降低标准。</w:t>
      </w:r>
    </w:p>
    <w:p w14:paraId="22825410">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2.1.5</w:t>
      </w:r>
      <w:r>
        <w:rPr>
          <w:rFonts w:hint="eastAsia" w:ascii="宋体" w:hAnsi="宋体" w:cs="宋体"/>
          <w:color w:val="auto"/>
          <w:szCs w:val="21"/>
          <w:highlight w:val="none"/>
          <w:lang w:eastAsia="zh-CN"/>
        </w:rPr>
        <w:t>防城港市住房和城乡建设局</w:t>
      </w:r>
      <w:r>
        <w:rPr>
          <w:rFonts w:hint="eastAsia" w:ascii="宋体" w:hAnsi="宋体" w:cs="宋体"/>
          <w:color w:val="auto"/>
          <w:szCs w:val="21"/>
          <w:highlight w:val="none"/>
        </w:rPr>
        <w:t>须按规定标准计取施工现场管理费用并列入工程成本，并将安全施工、文明施工措施费用优先支付给养护维修施工单位，监督施工单位按照规定使用</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不得挪作他用。</w:t>
      </w:r>
    </w:p>
    <w:p w14:paraId="7DCEC2D2">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2.1.6对交通影响较大的养护维修工程，</w:t>
      </w:r>
      <w:r>
        <w:rPr>
          <w:rFonts w:hint="eastAsia" w:ascii="宋体" w:hAnsi="宋体" w:cs="宋体"/>
          <w:color w:val="auto"/>
          <w:szCs w:val="21"/>
          <w:highlight w:val="none"/>
          <w:lang w:eastAsia="zh-CN"/>
        </w:rPr>
        <w:t>防城港市住房和城乡建设局</w:t>
      </w:r>
      <w:r>
        <w:rPr>
          <w:rFonts w:hint="eastAsia" w:ascii="宋体" w:hAnsi="宋体" w:cs="宋体"/>
          <w:color w:val="auto"/>
          <w:szCs w:val="21"/>
          <w:highlight w:val="none"/>
        </w:rPr>
        <w:t>应制定详细的交通调流方案，报市公安交通管理部门批准。因工程需要，需建设临时道路疏解交通，其建设标准应满足交通通行需求及有关规范规定或设计标准。</w:t>
      </w:r>
    </w:p>
    <w:p w14:paraId="5B7805A9">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2.2维修养护施工单位负责本标准各项细则的实施工作，承担本标准各项细则的落实和管理责任。</w:t>
      </w:r>
    </w:p>
    <w:p w14:paraId="547A550D">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2.2.1 维修养护施工单位应具有与承包工程规模、技术复杂程度相适应的技术和工程管理人员</w:t>
      </w:r>
      <w:r>
        <w:rPr>
          <w:rFonts w:hint="eastAsia" w:ascii="宋体" w:hAnsi="宋体" w:cs="宋体"/>
          <w:color w:val="auto"/>
          <w:szCs w:val="21"/>
          <w:highlight w:val="none"/>
          <w:lang w:eastAsia="zh-CN"/>
        </w:rPr>
        <w:t>，</w:t>
      </w:r>
      <w:r>
        <w:rPr>
          <w:rFonts w:hint="eastAsia" w:ascii="宋体" w:hAnsi="宋体" w:cs="宋体"/>
          <w:color w:val="auto"/>
          <w:szCs w:val="21"/>
          <w:highlight w:val="none"/>
        </w:rPr>
        <w:t>并配备具有相应资格的专职项目负责人、技术负责人(施工员)、质量管理人员、安全管理人员、材料管理人员、机械管理人员。</w:t>
      </w:r>
    </w:p>
    <w:p w14:paraId="2AF78D82">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2.2.2 施工现场实行全员持证上岗制度。持证上岗的人员包括：项目经理、安全员等关键岗位管理人员、技术工人、特殊工种人员等。</w:t>
      </w:r>
    </w:p>
    <w:p w14:paraId="40BF8AEC">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桥梁、排水、道路等市政维修养护项目作业人员上岗前必须进行安全教育和技术培训。经考试合格后，持证上岗。其中特殊工种作业人员还应提供正规医疗机构出具的满足作业要求的身体检查证明。</w:t>
      </w:r>
    </w:p>
    <w:p w14:paraId="29843FB1">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2.2.3维修养护施工单位要认真编制年度维护预算、年度计划、月度维护计划（每月28日前上报下月维护计划）、计划外审批表。对于涉及交通改道、基础保养等特殊要求的维修项目，维修养护施工单位须做好专项方案和维修计划，报监理人、并经</w:t>
      </w:r>
      <w:r>
        <w:rPr>
          <w:rFonts w:hint="eastAsia" w:ascii="宋体" w:hAnsi="宋体" w:cs="宋体"/>
          <w:color w:val="auto"/>
          <w:szCs w:val="21"/>
          <w:highlight w:val="none"/>
          <w:lang w:eastAsia="zh-CN"/>
        </w:rPr>
        <w:t>防城港市住房和城乡建设局</w:t>
      </w:r>
      <w:r>
        <w:rPr>
          <w:rFonts w:hint="eastAsia" w:ascii="宋体" w:hAnsi="宋体" w:cs="宋体"/>
          <w:color w:val="auto"/>
          <w:szCs w:val="21"/>
          <w:highlight w:val="none"/>
        </w:rPr>
        <w:t>同意后组织实施，原则上不得随意变更。凡维护区域内市政道路存在沉陷、空洞或大于100mm的错台以及井盖、雨水口篦子丢失等影响道路安全运营情况时，维修养护施工单位可先组织实施，相关手续须及时完善。</w:t>
      </w:r>
    </w:p>
    <w:p w14:paraId="12C87702">
      <w:pPr>
        <w:spacing w:line="3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2.2.4维修养护施工单位要根据管理设施量合理安排巡查人员，安排好线路和时间，使管理的设施始终置于巡查人员控制之下。管辖道路每天必须巡查一次，桥梁的巡查周期不得低于《城市桥梁养护规范》规定的标准。要按规定制定以每条路、每座桥为单位的专业“巡查记录本”，巡查人员要将每次巡查情况进行记录（包括巡查内容、巡查范围、巡查时间、巡查周期、巡查发现的问题及追踪解决的程序等），需采集维修前、中、后的市政设施图片，要求做到内容真实无误，记录详细。同时，维修养护施工单位要将巡查周报（以</w:t>
      </w:r>
      <w:r>
        <w:rPr>
          <w:color w:val="auto"/>
          <w:highlight w:val="none"/>
        </w:rPr>
        <w:t>采购人</w:t>
      </w:r>
      <w:r>
        <w:rPr>
          <w:rFonts w:hint="eastAsia" w:ascii="宋体" w:hAnsi="宋体" w:cs="宋体"/>
          <w:color w:val="auto"/>
          <w:szCs w:val="21"/>
          <w:highlight w:val="none"/>
        </w:rPr>
        <w:t>认可的格式为准）定期报送给</w:t>
      </w:r>
      <w:r>
        <w:rPr>
          <w:rFonts w:hint="eastAsia" w:ascii="宋体" w:hAnsi="宋体" w:cs="宋体"/>
          <w:color w:val="auto"/>
          <w:szCs w:val="21"/>
          <w:highlight w:val="none"/>
          <w:lang w:eastAsia="zh-CN"/>
        </w:rPr>
        <w:t>防城港市住房和城乡建设局</w:t>
      </w:r>
      <w:r>
        <w:rPr>
          <w:rFonts w:hint="eastAsia" w:ascii="宋体" w:hAnsi="宋体" w:cs="宋体"/>
          <w:color w:val="auto"/>
          <w:szCs w:val="21"/>
          <w:highlight w:val="none"/>
        </w:rPr>
        <w:t>和监理单位。</w:t>
      </w:r>
    </w:p>
    <w:p w14:paraId="78AD1E8B">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巡查人员应认真负责，及时掌握道路设施运行状况，并做好书面记录。发现设施病害问题和破坏设施行为应及时向</w:t>
      </w:r>
      <w:r>
        <w:rPr>
          <w:rFonts w:hint="eastAsia" w:ascii="宋体" w:hAnsi="宋体" w:cs="宋体"/>
          <w:color w:val="auto"/>
          <w:szCs w:val="21"/>
          <w:highlight w:val="none"/>
          <w:lang w:eastAsia="zh-CN"/>
        </w:rPr>
        <w:t>防城港市住房和城乡建设局</w:t>
      </w:r>
      <w:r>
        <w:rPr>
          <w:rFonts w:hint="eastAsia" w:ascii="宋体" w:hAnsi="宋体" w:cs="宋体"/>
          <w:color w:val="auto"/>
          <w:szCs w:val="21"/>
          <w:highlight w:val="none"/>
        </w:rPr>
        <w:t>报告；发现窨井盖缺失、道路塌陷等紧急情况应在报告的同时在现场做好警示或采取临时性措施，及时通知管线、设施产权单位，并留有通话记录，属于维护管理范围内的必须在2小时内处理完成；发现未经审批的违章占道挖掘事件应第一时间阻止并上报</w:t>
      </w:r>
      <w:r>
        <w:rPr>
          <w:rFonts w:hint="eastAsia" w:ascii="宋体" w:hAnsi="宋体" w:cs="宋体"/>
          <w:color w:val="auto"/>
          <w:szCs w:val="21"/>
          <w:highlight w:val="none"/>
          <w:lang w:eastAsia="zh-CN"/>
        </w:rPr>
        <w:t>防城港市住房和城乡建设局</w:t>
      </w:r>
      <w:r>
        <w:rPr>
          <w:rFonts w:hint="eastAsia" w:ascii="宋体" w:hAnsi="宋体" w:cs="宋体"/>
          <w:color w:val="auto"/>
          <w:szCs w:val="21"/>
          <w:highlight w:val="none"/>
        </w:rPr>
        <w:t xml:space="preserve">。 </w:t>
      </w:r>
    </w:p>
    <w:p w14:paraId="01404D7E">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2.2.5施工现场应悬挂公示牌、摆放温馨提示牌。</w:t>
      </w:r>
    </w:p>
    <w:p w14:paraId="38B85B56">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2.2.6维修养护施工单位要认真做好工程档案，对年度维护预算、年度计划、月度维护计划、计划外审批表、应急事件处理情况、一路一档、一桥一档、月维修总结、巡查记录、各类投诉处理情况、重大活动配合情况、数字化城管系统派遣问题处理情况、相关督察发现问题及处理情况、领导批示完成情况等，要详细记录并存档。</w:t>
      </w:r>
    </w:p>
    <w:p w14:paraId="7EF862EC">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2.3</w:t>
      </w:r>
      <w:r>
        <w:rPr>
          <w:rFonts w:hint="eastAsia" w:ascii="宋体" w:hAnsi="宋体" w:cs="宋体"/>
          <w:color w:val="auto"/>
          <w:szCs w:val="21"/>
          <w:highlight w:val="none"/>
          <w:lang w:eastAsia="zh-CN"/>
        </w:rPr>
        <w:t>防城港市住房和城乡建设局</w:t>
      </w:r>
      <w:r>
        <w:rPr>
          <w:rFonts w:hint="eastAsia" w:ascii="宋体" w:hAnsi="宋体" w:cs="宋体"/>
          <w:color w:val="auto"/>
          <w:szCs w:val="21"/>
          <w:highlight w:val="none"/>
        </w:rPr>
        <w:t>对市政养护维修工作进行监督、指导</w:t>
      </w:r>
      <w:r>
        <w:rPr>
          <w:rFonts w:hint="eastAsia" w:ascii="宋体" w:hAnsi="宋体" w:cs="宋体"/>
          <w:color w:val="auto"/>
          <w:szCs w:val="21"/>
          <w:highlight w:val="none"/>
          <w:lang w:eastAsia="zh-CN"/>
        </w:rPr>
        <w:t>，</w:t>
      </w:r>
      <w:r>
        <w:rPr>
          <w:rFonts w:hint="eastAsia" w:ascii="宋体" w:hAnsi="宋体" w:cs="宋体"/>
          <w:color w:val="auto"/>
          <w:szCs w:val="21"/>
          <w:highlight w:val="none"/>
        </w:rPr>
        <w:t>及时处理违反本标准的行为。</w:t>
      </w:r>
    </w:p>
    <w:p w14:paraId="043A1787">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lang w:eastAsia="zh-CN"/>
        </w:rPr>
        <w:t>防城港市住房和城乡建设局</w:t>
      </w:r>
      <w:r>
        <w:rPr>
          <w:rFonts w:hint="eastAsia" w:ascii="宋体" w:hAnsi="宋体" w:cs="宋体"/>
          <w:color w:val="auto"/>
          <w:szCs w:val="21"/>
          <w:highlight w:val="none"/>
        </w:rPr>
        <w:t>应当依据有关法律、法规、规章</w:t>
      </w:r>
      <w:r>
        <w:rPr>
          <w:rFonts w:hint="eastAsia" w:ascii="宋体" w:hAnsi="宋体" w:cs="宋体"/>
          <w:color w:val="auto"/>
          <w:szCs w:val="21"/>
          <w:highlight w:val="none"/>
          <w:lang w:eastAsia="zh-CN"/>
        </w:rPr>
        <w:t>，</w:t>
      </w:r>
      <w:r>
        <w:rPr>
          <w:rFonts w:hint="eastAsia" w:ascii="宋体" w:hAnsi="宋体" w:cs="宋体"/>
          <w:color w:val="auto"/>
          <w:szCs w:val="21"/>
          <w:highlight w:val="none"/>
        </w:rPr>
        <w:t>对养护维修企业违反本标准的行为进行处理</w:t>
      </w:r>
      <w:r>
        <w:rPr>
          <w:rFonts w:hint="eastAsia" w:ascii="宋体" w:hAnsi="宋体" w:cs="宋体"/>
          <w:color w:val="auto"/>
          <w:szCs w:val="21"/>
          <w:highlight w:val="none"/>
          <w:lang w:eastAsia="zh-CN"/>
        </w:rPr>
        <w:t>，</w:t>
      </w:r>
      <w:r>
        <w:rPr>
          <w:rFonts w:hint="eastAsia" w:ascii="宋体" w:hAnsi="宋体" w:cs="宋体"/>
          <w:color w:val="auto"/>
          <w:szCs w:val="21"/>
          <w:highlight w:val="none"/>
        </w:rPr>
        <w:t>责令其限期整改或者通报批评；对施工质量低劣、发生严重安全事故并造成重大社会影响的</w:t>
      </w:r>
      <w:r>
        <w:rPr>
          <w:rFonts w:hint="eastAsia" w:ascii="宋体" w:hAnsi="宋体" w:cs="宋体"/>
          <w:color w:val="auto"/>
          <w:szCs w:val="21"/>
          <w:highlight w:val="none"/>
          <w:lang w:eastAsia="zh-CN"/>
        </w:rPr>
        <w:t>，</w:t>
      </w:r>
      <w:r>
        <w:rPr>
          <w:rFonts w:hint="eastAsia" w:ascii="宋体" w:hAnsi="宋体" w:cs="宋体"/>
          <w:color w:val="auto"/>
          <w:szCs w:val="21"/>
          <w:highlight w:val="none"/>
        </w:rPr>
        <w:t>应参照有关规定对维修企业和项目经理予以处理。</w:t>
      </w:r>
    </w:p>
    <w:p w14:paraId="14220DB3">
      <w:pPr>
        <w:spacing w:line="340" w:lineRule="exact"/>
        <w:ind w:firstLine="422"/>
        <w:rPr>
          <w:rFonts w:ascii="宋体" w:hAnsi="宋体" w:cs="宋体"/>
          <w:b/>
          <w:bCs/>
          <w:color w:val="auto"/>
          <w:szCs w:val="21"/>
          <w:highlight w:val="none"/>
        </w:rPr>
      </w:pPr>
      <w:r>
        <w:rPr>
          <w:rFonts w:hint="eastAsia" w:ascii="宋体" w:hAnsi="宋体" w:cs="宋体"/>
          <w:b/>
          <w:bCs/>
          <w:color w:val="auto"/>
          <w:szCs w:val="21"/>
          <w:highlight w:val="none"/>
        </w:rPr>
        <w:t>3 安全、文明施工管理</w:t>
      </w:r>
    </w:p>
    <w:p w14:paraId="406E99AA">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养护维修工程施工现场必须符合《道路交通标志和标线》（GB5768-</w:t>
      </w:r>
      <w:r>
        <w:rPr>
          <w:rFonts w:hint="eastAsia" w:ascii="宋体" w:hAnsi="宋体" w:cs="宋体"/>
          <w:color w:val="auto"/>
          <w:szCs w:val="21"/>
          <w:highlight w:val="none"/>
          <w:lang w:val="en-US" w:eastAsia="zh-CN"/>
        </w:rPr>
        <w:t>2025</w:t>
      </w:r>
      <w:r>
        <w:rPr>
          <w:rFonts w:hint="eastAsia" w:ascii="宋体" w:hAnsi="宋体" w:cs="宋体"/>
          <w:color w:val="auto"/>
          <w:szCs w:val="21"/>
          <w:highlight w:val="none"/>
        </w:rPr>
        <w:t>）、《公路养护安全作业规程》（JTG H30-20</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）、《公路工程施工安全技术规程》（JTG F90-2015）、《中华人民共和国公路法》（</w:t>
      </w:r>
      <w:r>
        <w:rPr>
          <w:rFonts w:hint="eastAsia" w:ascii="宋体" w:hAnsi="宋体" w:cs="宋体"/>
          <w:color w:val="auto"/>
          <w:szCs w:val="21"/>
          <w:highlight w:val="none"/>
          <w:lang w:val="en-US" w:eastAsia="zh-CN"/>
        </w:rPr>
        <w:t>2017</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日中华人民共和国主席令第</w:t>
      </w:r>
      <w:r>
        <w:rPr>
          <w:rFonts w:hint="eastAsia" w:ascii="宋体" w:hAnsi="宋体" w:cs="宋体"/>
          <w:color w:val="auto"/>
          <w:szCs w:val="21"/>
          <w:highlight w:val="none"/>
          <w:lang w:eastAsia="zh-CN"/>
        </w:rPr>
        <w:t>八十一</w:t>
      </w:r>
      <w:r>
        <w:rPr>
          <w:rFonts w:hint="eastAsia" w:ascii="宋体" w:hAnsi="宋体" w:cs="宋体"/>
          <w:color w:val="auto"/>
          <w:szCs w:val="21"/>
          <w:highlight w:val="none"/>
        </w:rPr>
        <w:t>号）、《中华人民共和国</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"http://www.dffy.com/faguixiazai/xzf/200311/20031110203052.htm" \t "_blank"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道路交通安全法</w:t>
      </w:r>
      <w:r>
        <w:rPr>
          <w:rFonts w:hint="eastAsia" w:ascii="宋体" w:hAnsi="宋体" w:cs="宋体"/>
          <w:color w:val="auto"/>
          <w:szCs w:val="21"/>
          <w:highlight w:val="none"/>
        </w:rPr>
        <w:fldChar w:fldCharType="end"/>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日中华人民共和国主席令第</w:t>
      </w:r>
      <w:r>
        <w:rPr>
          <w:rFonts w:hint="eastAsia" w:ascii="宋体" w:hAnsi="宋体" w:cs="宋体"/>
          <w:color w:val="auto"/>
          <w:szCs w:val="21"/>
          <w:highlight w:val="none"/>
          <w:lang w:eastAsia="zh-CN"/>
        </w:rPr>
        <w:t>八十一</w:t>
      </w:r>
      <w:r>
        <w:rPr>
          <w:rFonts w:hint="eastAsia" w:ascii="宋体" w:hAnsi="宋体" w:cs="宋体"/>
          <w:color w:val="auto"/>
          <w:szCs w:val="21"/>
          <w:highlight w:val="none"/>
        </w:rPr>
        <w:t>号）、《广西壮族自治区道路交通安全条例》等有关规定。</w:t>
      </w:r>
    </w:p>
    <w:p w14:paraId="74926E78">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3.1 施工警示标志管理</w:t>
      </w:r>
    </w:p>
    <w:p w14:paraId="6BF12F7F">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3.1.1市内所有养护维修工程施工现场的起止点以及对车辆、行人通行安全有影响的位置,须设置危险警示闪灯。在车行道上施工作业,须在来车方向提前设置施工警示牌、交通导向牌等,提示和引导车辆有序、安全通行。</w:t>
      </w:r>
    </w:p>
    <w:p w14:paraId="619EA1DD">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3.1.2小修养护作业的交通控制,当需要占用车道时,应按上述规定执行;否则,应设置锥形交通</w:t>
      </w:r>
      <w:r>
        <w:rPr>
          <w:rFonts w:hint="eastAsia" w:ascii="宋体" w:hAnsi="宋体" w:cs="宋体"/>
          <w:color w:val="auto"/>
          <w:szCs w:val="21"/>
          <w:highlight w:val="none"/>
          <w:lang w:val="en-US" w:eastAsia="zh-CN"/>
        </w:rPr>
        <w:t>标志</w:t>
      </w:r>
      <w:r>
        <w:rPr>
          <w:rFonts w:hint="eastAsia" w:ascii="宋体" w:hAnsi="宋体" w:cs="宋体"/>
          <w:color w:val="auto"/>
          <w:szCs w:val="21"/>
          <w:highlight w:val="none"/>
        </w:rPr>
        <w:t>、“限速”标志和车道隔离墩等,标志摆放距离不得少于30m。</w:t>
      </w:r>
    </w:p>
    <w:p w14:paraId="0053F8DE">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3.1.3夜间、雾天、骤暗天气,须在作业区域边界上方设置警示闪灯或者悬挂40瓦以上红灯,相邻灯距不得大于4米。</w:t>
      </w:r>
    </w:p>
    <w:p w14:paraId="75E2EBFF">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3.1.4因工程施工等原因导致各种管线井盖缺损或不能及时设置井盖的,施工单位须设置半通透式护栏或</w:t>
      </w:r>
      <w:r>
        <w:rPr>
          <w:rFonts w:hint="eastAsia" w:ascii="宋体" w:hAnsi="宋体" w:cs="宋体"/>
          <w:color w:val="auto"/>
          <w:szCs w:val="21"/>
          <w:highlight w:val="none"/>
          <w:lang w:val="en-US" w:eastAsia="zh-CN"/>
        </w:rPr>
        <w:t>三脚架</w:t>
      </w:r>
      <w:r>
        <w:rPr>
          <w:rFonts w:hint="eastAsia" w:ascii="宋体" w:hAnsi="宋体" w:cs="宋体"/>
          <w:color w:val="auto"/>
          <w:szCs w:val="21"/>
          <w:highlight w:val="none"/>
        </w:rPr>
        <w:t>进行围蔽并悬挂警示闪灯。在车辆、行人通行的地方施工,须设置沟井坎穴覆盖物和明显的施工标志牌。</w:t>
      </w:r>
    </w:p>
    <w:p w14:paraId="07A49A47">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3.1.5工程施工应尽量避开交通高峰,确需限制车辆行驶或者实行交通管制的,须报市公安交通管理部门批准,并事先进行公告,施工时要在适当位置设置临时交通管制告示牌和交通导向标志。</w:t>
      </w:r>
    </w:p>
    <w:p w14:paraId="6CDB5B2D">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3.1.6快速路、立交桥进行日常养护维修,应当避让车辆运行高峰;作业人员必须穿着安全识别服;夜间作业人员、作业机具和设备应当按照有关规定配备反光安全识别标志。</w:t>
      </w:r>
    </w:p>
    <w:p w14:paraId="397BE202">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3.1.7跨越各类地下管线施工沟槽的通道必须搭设安全、可靠的便桥,确保车辆、行人安全通行。</w:t>
      </w:r>
    </w:p>
    <w:p w14:paraId="25EB8F3C">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3.1.8掘路工程施工完毕后,应当按照规定及时予以修复;对已开放交通但尚未完工的横向掘路工程,应当采取钢板覆盖等切实可靠的覆盖措施,确保机动车、非机动车和行人的通行安全。</w:t>
      </w:r>
    </w:p>
    <w:p w14:paraId="200E583B">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3.2施工现场标牌管理</w:t>
      </w:r>
    </w:p>
    <w:p w14:paraId="2664B83E">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维修工程施工现场须设立公示牌,公示项目名称、建设单位、监理单位、施工单位、联系电话、开工和承诺修复完工日期以及相关许可文件。公示牌材质为铝质反光面板,规格为宽1米,高0.8米，(小修养护项目标牌尺寸可为0.9米长、0.6米宽,内容增加作业时间)，标牌为黑体字，其它为宋体，确保从工程开工至竣工完好无损。</w:t>
      </w:r>
    </w:p>
    <w:p w14:paraId="05FC8F2A">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3.3施工现场围挡管理</w:t>
      </w:r>
    </w:p>
    <w:p w14:paraId="3213E3EB">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3.3.1中修以上维修工程施工现场养护作业应根据施工要求,采取局部封闭、半幅封闭或全路封闭等形式。小修工程现场应根据实际情况采用三角帽和彩旗等警示标志措施。围挡标准：施工围挡应设置为半通透式高围挡，整个围挡宽2000mm、高1800mm，上半部为金属网通透式结构（宽2000mm、高800mm），下半部为厚彩钢板封闭式结构（宽2000mm、高1000mm）,底座之间设置挡土板，确保泥土不外露，底座为C30预制混凝土。施工围挡应当坚固安全、内外保持整洁，符合城市容貌标准要求，破损、老旧的要及时进行更换。为便于管理和识别，各单位可根据自身行业特点选择围挡颜色及单位标识，并在全市范围内统一使用，做到围挡标识醒目且行业特点突出。</w:t>
      </w:r>
    </w:p>
    <w:p w14:paraId="63911008">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无法封闭围挡施工时,必须设专职、经过交通安全培训的现场交通督导员,负责安全巡视、指挥施工机械和车辆疏导工作。</w:t>
      </w:r>
    </w:p>
    <w:p w14:paraId="7D86EFA3">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维修后的检查井在养生期间应设置围挡或三角架加以保护。</w:t>
      </w:r>
    </w:p>
    <w:p w14:paraId="78903084">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3.3.2市中心、商业中心、交通枢纽等区域中修以上维修必须采用全封闭围挡。在市区主干道和风景旅游区范围内的主要道路作业的,施工现场须采用彩色喷塑压型钢板或其它质量更好的硬质材料围挡,设置高度不低于2米。</w:t>
      </w:r>
    </w:p>
    <w:p w14:paraId="4E993407">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3.3.3施工围挡在相邻路口之间须连续设置,不能有除出入口之外的缺口。确因交通疏导需要设置过往车辆、行人通道时,可根据现场情况增设工地出入口,并设置明显的施工警示标志及人行安全通道,以保证车辆和行人的安全。</w:t>
      </w:r>
    </w:p>
    <w:p w14:paraId="17E14CB8">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3.3.4 围挡不得作为广告载体以及用于挡土、承重。因特殊情况不能进行围挡、或因安全需要围挡低于规定高度的,须在工程开工前(抢修工程24小时内)报市政工程行政管理部门,经同意后采取必要的隔离措施并设置警示标志。</w:t>
      </w:r>
    </w:p>
    <w:p w14:paraId="2A33D68C">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3.3.5养护维修企业应当加强对施工现场围挡设施的管理,按工程进度分段设置,并做到统一、连续、稳固、整洁、美观、有效。不得随意拆除、移动,对临时性拆除和移动要及时或限时恢复。</w:t>
      </w:r>
    </w:p>
    <w:p w14:paraId="7424C92A">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为确保交通安全,交叉路口施工区域可采用铁丝网或其它质量更好的通透性材料进行围护,但该区域内不准堆放余土、施工材料及其它杂物,并保证该范围内整洁。</w:t>
      </w:r>
    </w:p>
    <w:p w14:paraId="2F3A1F93">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3.3.6工程完工后,在确保安全的情况下,施工单位须拆除施工现场的所有临时设施,及时清场,做到工完、料净、场地清。</w:t>
      </w:r>
    </w:p>
    <w:p w14:paraId="53BA4D01">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3.4施工现场环境管理</w:t>
      </w:r>
    </w:p>
    <w:p w14:paraId="7BC0C53D">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3.4.1施工现场布置合理,场地整洁,无渣土洒落、泥浆、废水流溢。各类材料、设备、预制构件等堆放整齐有序,并对物料裸露部分实施苫盖。</w:t>
      </w:r>
    </w:p>
    <w:p w14:paraId="35261B02">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3.4.2 桥涵维修作业材料不能集中堆放于桥面，避开桥梁结构受力不利位置和结构受损位置。易燃易爆、高腐蚀和有毒有害材料不允许堆放于桥面。</w:t>
      </w:r>
    </w:p>
    <w:p w14:paraId="199A9BCB">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3.4.3 施工产生的渣土、余土及废弃物应在24小时内清运完毕,清运前应集中堆放并全部苫盖,防止外溢至围挡以外或者露天存放。在城市主干道及人流稠密、交通繁忙的特殊路段,余土须立即清运。</w:t>
      </w:r>
    </w:p>
    <w:p w14:paraId="40285343">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3.4.4施工现场渣土和垃圾清运须采取喷淋压尘装载,使用密闭改装的运输车辆,按指定路线、时间行驶。确保车辆符合保洁标准,防止污染道路,并设专职保洁员负责工地场内保洁工作。</w:t>
      </w:r>
    </w:p>
    <w:p w14:paraId="339DCA3E">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3.4.5施工现场应尽量使用预拌混凝土。确需在现场拌制混凝土和砂浆的,不得直接在路面上拌合,须使用铁皮或其它材料铺垫,拌合完成后及时清理,不得损坏或污染路面。</w:t>
      </w:r>
    </w:p>
    <w:p w14:paraId="72A43450">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3.4.6施工现场须采取降尘措施,防止粉尘飞扬。实施路面铣刨工艺时,应根据清扫、运输能力分段施工,及时将残料和粉尘清除干净,并在未铺路前洒水降尘。不得在施工现场熔融沥青或者焚烧油毡、油漆等易产生有毒、有害烟尘和气体的物质,不得排泄有毒有害气体。</w:t>
      </w:r>
    </w:p>
    <w:p w14:paraId="2BACB778">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3.4.7遇有大风天气时,要停止土方回填、转运及其他可能产生扬尘污染的施工作业。</w:t>
      </w:r>
    </w:p>
    <w:p w14:paraId="21745D3D">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3.4.8施工中必须严格控制噪声,夜间施工必须经有关部门批准,并向社会进行告示;同时,在规定的作业时间范围内,合理安排作业内容、采取使用低噪声、环保型的施工机械设备,把施工产生的噪声降低到最小限度。车辆进出施工现场应停止鸣笛,装卸材料要轻拿轻放。</w:t>
      </w:r>
    </w:p>
    <w:p w14:paraId="0FD1CB46">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3.4.9 夜间22时至次日6时,在城市噪声敏感区域内应停止进行产生噪声污染的施工作业,特殊情况确需夜间施工的,须到环保部门登记备案,并在施工地点以书面形式向附近居民公告后方可施工。</w:t>
      </w:r>
    </w:p>
    <w:p w14:paraId="02987BBC">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3.4.10施工现场影响到车辆通行的,施工单位应留出足够的行车通道,行车通道须临时进行硬化。在行人通行较多的地方应设置坚硬、结实的便民桥(宽度不得小于1米),相邻便民桥间距不得大于100米。</w:t>
      </w:r>
    </w:p>
    <w:p w14:paraId="5007BCAB">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3.4.11养护作业中产生的旧沥青混合料应当统一收集,进行热再生利用。养护维修责任单位应当督促养护维修企业收集旧沥青混合料,集中运至专业的沥青混合料生产企业。不得无故废弃或作基础回填材料,不得运往渣土场。</w:t>
      </w:r>
    </w:p>
    <w:p w14:paraId="69FB4977">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3.5施工安全管理</w:t>
      </w:r>
    </w:p>
    <w:p w14:paraId="7A3054D0">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3.5.1养护维修企业必须配备安全员。安全管理人员、特种作业人员应当持证上岗。施工人员进入施工现场要佩戴胸卡和安全帽,管理人员、特殊作业人员、其他人员的安全帽应有颜色区别。安全员应穿橘黄色服装、戴黄色安全帽,并</w:t>
      </w:r>
      <w:r>
        <w:rPr>
          <w:rFonts w:hint="eastAsia" w:ascii="宋体" w:hAnsi="宋体" w:cs="宋体"/>
          <w:color w:val="auto"/>
          <w:szCs w:val="21"/>
          <w:highlight w:val="none"/>
          <w:lang w:val="en-US" w:eastAsia="zh-CN"/>
        </w:rPr>
        <w:t>佩戴</w:t>
      </w:r>
      <w:r>
        <w:rPr>
          <w:rFonts w:hint="eastAsia" w:ascii="宋体" w:hAnsi="宋体" w:cs="宋体"/>
          <w:color w:val="auto"/>
          <w:szCs w:val="21"/>
          <w:highlight w:val="none"/>
        </w:rPr>
        <w:t>明显标志。</w:t>
      </w:r>
    </w:p>
    <w:p w14:paraId="194959B5">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3.5.2遵守安全操作规程,管理人员做到不违章指挥,施工人员做到不违章操作。易燃易爆区域应当设有禁火标志,并落实防火、防爆措施。</w:t>
      </w:r>
    </w:p>
    <w:p w14:paraId="075FE546">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3.5.3 当风力超过四级时，应停止一切高空作业。</w:t>
      </w:r>
    </w:p>
    <w:p w14:paraId="5C3E142E">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3.5.4施工中应加强市政公用管线设施保护,发生破坏时必须及时向有关主管部门报告。</w:t>
      </w:r>
    </w:p>
    <w:p w14:paraId="6F2CFB58">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3.5.5发生施工安全事故,应在有序组织人员抢险救援的同时,按规定及时向养护施工主管部门、安全主管部门报告。</w:t>
      </w:r>
    </w:p>
    <w:p w14:paraId="4A3E8391">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4 市政设施养护维修技术标准</w:t>
      </w:r>
    </w:p>
    <w:p w14:paraId="5E07D4C0">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4.1 病害与缺陷界定后，有以下病害或达到以下病害程度的，按日常维修质量要求开展市政设施养护维修工作。</w:t>
      </w:r>
    </w:p>
    <w:p w14:paraId="484AC39C">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4.1.1 沥青路面</w:t>
      </w:r>
    </w:p>
    <w:tbl>
      <w:tblPr>
        <w:tblStyle w:val="30"/>
        <w:tblW w:w="91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1800"/>
        <w:gridCol w:w="6286"/>
      </w:tblGrid>
      <w:tr w14:paraId="6A4A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368E0AC4">
            <w:pPr>
              <w:spacing w:line="340" w:lineRule="exact"/>
              <w:rPr>
                <w:rFonts w:ascii="宋体" w:hAnsi="宋体" w:cs="宋体"/>
                <w:color w:val="auto"/>
                <w:szCs w:val="21"/>
                <w:highlight w:val="none"/>
              </w:rPr>
            </w:pPr>
            <w:r>
              <w:rPr>
                <w:rFonts w:hint="eastAsia" w:ascii="宋体" w:hAnsi="宋体" w:cs="宋体"/>
                <w:color w:val="auto"/>
                <w:szCs w:val="21"/>
                <w:highlight w:val="none"/>
              </w:rPr>
              <w:t>序号</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1563957D">
            <w:pPr>
              <w:spacing w:line="340" w:lineRule="exact"/>
              <w:rPr>
                <w:rFonts w:ascii="宋体" w:hAnsi="宋体" w:cs="宋体"/>
                <w:color w:val="auto"/>
                <w:szCs w:val="21"/>
                <w:highlight w:val="none"/>
              </w:rPr>
            </w:pPr>
            <w:r>
              <w:rPr>
                <w:rFonts w:hint="eastAsia" w:ascii="宋体" w:hAnsi="宋体" w:cs="宋体"/>
                <w:color w:val="auto"/>
                <w:szCs w:val="21"/>
                <w:highlight w:val="none"/>
              </w:rPr>
              <w:t>病害名称</w:t>
            </w:r>
          </w:p>
        </w:tc>
        <w:tc>
          <w:tcPr>
            <w:tcW w:w="6286" w:type="dxa"/>
            <w:tcBorders>
              <w:top w:val="single" w:color="auto" w:sz="4" w:space="0"/>
              <w:left w:val="single" w:color="auto" w:sz="4" w:space="0"/>
              <w:bottom w:val="single" w:color="auto" w:sz="4" w:space="0"/>
              <w:right w:val="single" w:color="auto" w:sz="4" w:space="0"/>
            </w:tcBorders>
            <w:noWrap w:val="0"/>
            <w:vAlign w:val="top"/>
          </w:tcPr>
          <w:p w14:paraId="0B64E9A6">
            <w:pPr>
              <w:spacing w:line="340" w:lineRule="exact"/>
              <w:rPr>
                <w:rFonts w:ascii="宋体" w:hAnsi="宋体" w:cs="宋体"/>
                <w:color w:val="auto"/>
                <w:szCs w:val="21"/>
                <w:highlight w:val="none"/>
              </w:rPr>
            </w:pPr>
            <w:r>
              <w:rPr>
                <w:rFonts w:hint="eastAsia" w:ascii="宋体" w:hAnsi="宋体" w:cs="宋体"/>
                <w:color w:val="auto"/>
                <w:szCs w:val="21"/>
                <w:highlight w:val="none"/>
              </w:rPr>
              <w:t>病害程度</w:t>
            </w:r>
          </w:p>
        </w:tc>
      </w:tr>
      <w:tr w14:paraId="63D8E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50089C5B">
            <w:pPr>
              <w:spacing w:line="340" w:lineRule="exact"/>
              <w:rPr>
                <w:rFonts w:ascii="宋体" w:hAnsi="宋体" w:cs="宋体"/>
                <w:color w:val="auto"/>
                <w:szCs w:val="21"/>
                <w:highlight w:val="none"/>
              </w:rPr>
            </w:pPr>
            <w:r>
              <w:rPr>
                <w:rFonts w:hint="eastAsia" w:ascii="宋体" w:hAnsi="宋体" w:cs="宋体"/>
                <w:color w:val="auto"/>
                <w:szCs w:val="21"/>
                <w:highlight w:val="none"/>
              </w:rPr>
              <w:t>1</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20D8A2F5">
            <w:pPr>
              <w:spacing w:line="340" w:lineRule="exact"/>
              <w:rPr>
                <w:rFonts w:ascii="宋体" w:hAnsi="宋体" w:cs="宋体"/>
                <w:color w:val="auto"/>
                <w:szCs w:val="21"/>
                <w:highlight w:val="none"/>
              </w:rPr>
            </w:pPr>
            <w:r>
              <w:rPr>
                <w:rFonts w:hint="eastAsia" w:ascii="宋体" w:hAnsi="宋体" w:cs="宋体"/>
                <w:color w:val="auto"/>
                <w:szCs w:val="21"/>
                <w:highlight w:val="none"/>
              </w:rPr>
              <w:t>坑槽</w:t>
            </w:r>
          </w:p>
        </w:tc>
        <w:tc>
          <w:tcPr>
            <w:tcW w:w="6286" w:type="dxa"/>
            <w:tcBorders>
              <w:top w:val="single" w:color="auto" w:sz="4" w:space="0"/>
              <w:left w:val="single" w:color="auto" w:sz="4" w:space="0"/>
              <w:bottom w:val="single" w:color="auto" w:sz="4" w:space="0"/>
              <w:right w:val="single" w:color="auto" w:sz="4" w:space="0"/>
            </w:tcBorders>
            <w:noWrap w:val="0"/>
            <w:vAlign w:val="top"/>
          </w:tcPr>
          <w:p w14:paraId="20DC1C0C">
            <w:pPr>
              <w:spacing w:line="340" w:lineRule="exact"/>
              <w:rPr>
                <w:rFonts w:ascii="宋体" w:hAnsi="宋体" w:cs="宋体"/>
                <w:color w:val="auto"/>
                <w:szCs w:val="21"/>
                <w:highlight w:val="none"/>
              </w:rPr>
            </w:pPr>
            <w:r>
              <w:rPr>
                <w:rFonts w:hint="eastAsia" w:ascii="宋体" w:hAnsi="宋体" w:cs="宋体"/>
                <w:color w:val="auto"/>
                <w:szCs w:val="21"/>
                <w:highlight w:val="none"/>
              </w:rPr>
              <w:t>路面破坏成坑洼,深度大于20mm,面积超过0.04㎡,数量较多、间距0.2m以内的合并处理</w:t>
            </w:r>
          </w:p>
        </w:tc>
      </w:tr>
      <w:tr w14:paraId="775D7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4E32AD23">
            <w:pPr>
              <w:spacing w:line="340" w:lineRule="exact"/>
              <w:rPr>
                <w:rFonts w:ascii="宋体" w:hAnsi="宋体" w:cs="宋体"/>
                <w:color w:val="auto"/>
                <w:szCs w:val="21"/>
                <w:highlight w:val="none"/>
              </w:rPr>
            </w:pPr>
            <w:r>
              <w:rPr>
                <w:rFonts w:hint="eastAsia" w:ascii="宋体" w:hAnsi="宋体" w:cs="宋体"/>
                <w:color w:val="auto"/>
                <w:szCs w:val="21"/>
                <w:highlight w:val="none"/>
              </w:rPr>
              <w:t>2</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3A3740FD">
            <w:pPr>
              <w:spacing w:line="340" w:lineRule="exact"/>
              <w:rPr>
                <w:rFonts w:ascii="宋体" w:hAnsi="宋体" w:cs="宋体"/>
                <w:color w:val="auto"/>
                <w:szCs w:val="21"/>
                <w:highlight w:val="none"/>
              </w:rPr>
            </w:pPr>
            <w:r>
              <w:rPr>
                <w:rFonts w:hint="eastAsia" w:ascii="宋体" w:hAnsi="宋体" w:cs="宋体"/>
                <w:color w:val="auto"/>
                <w:szCs w:val="21"/>
                <w:highlight w:val="none"/>
              </w:rPr>
              <w:t>松散</w:t>
            </w:r>
          </w:p>
        </w:tc>
        <w:tc>
          <w:tcPr>
            <w:tcW w:w="6286" w:type="dxa"/>
            <w:tcBorders>
              <w:top w:val="single" w:color="auto" w:sz="4" w:space="0"/>
              <w:left w:val="single" w:color="auto" w:sz="4" w:space="0"/>
              <w:bottom w:val="single" w:color="auto" w:sz="4" w:space="0"/>
              <w:right w:val="single" w:color="auto" w:sz="4" w:space="0"/>
            </w:tcBorders>
            <w:noWrap w:val="0"/>
            <w:vAlign w:val="top"/>
          </w:tcPr>
          <w:p w14:paraId="19B1083B">
            <w:pPr>
              <w:spacing w:line="340" w:lineRule="exact"/>
              <w:rPr>
                <w:rFonts w:ascii="宋体" w:hAnsi="宋体" w:cs="宋体"/>
                <w:color w:val="auto"/>
                <w:szCs w:val="21"/>
                <w:highlight w:val="none"/>
              </w:rPr>
            </w:pPr>
            <w:r>
              <w:rPr>
                <w:rFonts w:hint="eastAsia" w:ascii="宋体" w:hAnsi="宋体" w:cs="宋体"/>
                <w:color w:val="auto"/>
                <w:szCs w:val="21"/>
                <w:highlight w:val="none"/>
              </w:rPr>
              <w:t>路面结合料失去结合力、集料松动,面积大于0.1㎡</w:t>
            </w:r>
          </w:p>
        </w:tc>
      </w:tr>
      <w:tr w14:paraId="6F3F0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4DB68752">
            <w:pPr>
              <w:spacing w:line="340" w:lineRule="exact"/>
              <w:rPr>
                <w:rFonts w:ascii="宋体" w:hAnsi="宋体" w:cs="宋体"/>
                <w:color w:val="auto"/>
                <w:szCs w:val="21"/>
                <w:highlight w:val="none"/>
              </w:rPr>
            </w:pPr>
            <w:r>
              <w:rPr>
                <w:rFonts w:hint="eastAsia" w:ascii="宋体" w:hAnsi="宋体" w:cs="宋体"/>
                <w:color w:val="auto"/>
                <w:szCs w:val="21"/>
                <w:highlight w:val="none"/>
              </w:rPr>
              <w:t>3</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31725400">
            <w:pPr>
              <w:spacing w:line="340" w:lineRule="exact"/>
              <w:rPr>
                <w:rFonts w:ascii="宋体" w:hAnsi="宋体" w:cs="宋体"/>
                <w:color w:val="auto"/>
                <w:szCs w:val="21"/>
                <w:highlight w:val="none"/>
              </w:rPr>
            </w:pPr>
            <w:r>
              <w:rPr>
                <w:rFonts w:hint="eastAsia" w:ascii="宋体" w:hAnsi="宋体" w:cs="宋体"/>
                <w:color w:val="auto"/>
                <w:szCs w:val="21"/>
                <w:highlight w:val="none"/>
              </w:rPr>
              <w:t>拥包</w:t>
            </w:r>
          </w:p>
        </w:tc>
        <w:tc>
          <w:tcPr>
            <w:tcW w:w="6286" w:type="dxa"/>
            <w:tcBorders>
              <w:top w:val="single" w:color="auto" w:sz="4" w:space="0"/>
              <w:left w:val="single" w:color="auto" w:sz="4" w:space="0"/>
              <w:bottom w:val="single" w:color="auto" w:sz="4" w:space="0"/>
              <w:right w:val="single" w:color="auto" w:sz="4" w:space="0"/>
            </w:tcBorders>
            <w:noWrap w:val="0"/>
            <w:vAlign w:val="top"/>
          </w:tcPr>
          <w:p w14:paraId="61DDC76E">
            <w:pPr>
              <w:spacing w:line="340" w:lineRule="exact"/>
              <w:rPr>
                <w:rFonts w:ascii="宋体" w:hAnsi="宋体" w:cs="宋体"/>
                <w:color w:val="auto"/>
                <w:szCs w:val="21"/>
                <w:highlight w:val="none"/>
              </w:rPr>
            </w:pPr>
            <w:r>
              <w:rPr>
                <w:rFonts w:hint="eastAsia" w:ascii="宋体" w:hAnsi="宋体" w:cs="宋体"/>
                <w:color w:val="auto"/>
                <w:szCs w:val="21"/>
                <w:highlight w:val="none"/>
              </w:rPr>
              <w:t>路面局部隆起,峰谷高差大于15mm</w:t>
            </w:r>
          </w:p>
        </w:tc>
      </w:tr>
      <w:tr w14:paraId="0798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3B71730D">
            <w:pPr>
              <w:spacing w:line="340" w:lineRule="exact"/>
              <w:rPr>
                <w:rFonts w:ascii="宋体" w:hAnsi="宋体" w:cs="宋体"/>
                <w:color w:val="auto"/>
                <w:szCs w:val="21"/>
                <w:highlight w:val="none"/>
              </w:rPr>
            </w:pPr>
            <w:r>
              <w:rPr>
                <w:rFonts w:hint="eastAsia" w:ascii="宋体" w:hAnsi="宋体" w:cs="宋体"/>
                <w:color w:val="auto"/>
                <w:szCs w:val="21"/>
                <w:highlight w:val="none"/>
              </w:rPr>
              <w:t>4</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3BD95ED6">
            <w:pPr>
              <w:spacing w:line="340" w:lineRule="exact"/>
              <w:rPr>
                <w:rFonts w:ascii="宋体" w:hAnsi="宋体" w:cs="宋体"/>
                <w:color w:val="auto"/>
                <w:szCs w:val="21"/>
                <w:highlight w:val="none"/>
              </w:rPr>
            </w:pPr>
            <w:r>
              <w:rPr>
                <w:rFonts w:hint="eastAsia" w:ascii="宋体" w:hAnsi="宋体" w:cs="宋体"/>
                <w:color w:val="auto"/>
                <w:szCs w:val="21"/>
                <w:highlight w:val="none"/>
              </w:rPr>
              <w:t>翻浆</w:t>
            </w:r>
          </w:p>
        </w:tc>
        <w:tc>
          <w:tcPr>
            <w:tcW w:w="6286" w:type="dxa"/>
            <w:tcBorders>
              <w:top w:val="single" w:color="auto" w:sz="4" w:space="0"/>
              <w:left w:val="single" w:color="auto" w:sz="4" w:space="0"/>
              <w:bottom w:val="single" w:color="auto" w:sz="4" w:space="0"/>
              <w:right w:val="single" w:color="auto" w:sz="4" w:space="0"/>
            </w:tcBorders>
            <w:noWrap w:val="0"/>
            <w:vAlign w:val="top"/>
          </w:tcPr>
          <w:p w14:paraId="42AC466D">
            <w:pPr>
              <w:spacing w:line="340" w:lineRule="exact"/>
              <w:rPr>
                <w:rFonts w:ascii="宋体" w:hAnsi="宋体" w:cs="宋体"/>
                <w:color w:val="auto"/>
                <w:szCs w:val="21"/>
                <w:highlight w:val="none"/>
              </w:rPr>
            </w:pPr>
            <w:r>
              <w:rPr>
                <w:rFonts w:hint="eastAsia" w:ascii="宋体" w:hAnsi="宋体" w:cs="宋体"/>
                <w:color w:val="auto"/>
                <w:szCs w:val="21"/>
                <w:highlight w:val="none"/>
              </w:rPr>
              <w:t>地基或路面湿软出现弹簧、破裂、冒出泥浆</w:t>
            </w:r>
          </w:p>
        </w:tc>
      </w:tr>
      <w:tr w14:paraId="75EE1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544D6EBB">
            <w:pPr>
              <w:spacing w:line="340" w:lineRule="exact"/>
              <w:rPr>
                <w:rFonts w:ascii="宋体" w:hAnsi="宋体" w:cs="宋体"/>
                <w:color w:val="auto"/>
                <w:szCs w:val="21"/>
                <w:highlight w:val="none"/>
              </w:rPr>
            </w:pPr>
            <w:r>
              <w:rPr>
                <w:rFonts w:hint="eastAsia" w:ascii="宋体" w:hAnsi="宋体" w:cs="宋体"/>
                <w:color w:val="auto"/>
                <w:szCs w:val="21"/>
                <w:highlight w:val="none"/>
              </w:rPr>
              <w:t>5</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296BBA30">
            <w:pPr>
              <w:spacing w:line="340" w:lineRule="exact"/>
              <w:rPr>
                <w:rFonts w:ascii="宋体" w:hAnsi="宋体" w:cs="宋体"/>
                <w:color w:val="auto"/>
                <w:szCs w:val="21"/>
                <w:highlight w:val="none"/>
              </w:rPr>
            </w:pPr>
            <w:r>
              <w:rPr>
                <w:rFonts w:hint="eastAsia" w:ascii="宋体" w:hAnsi="宋体" w:cs="宋体"/>
                <w:color w:val="auto"/>
                <w:szCs w:val="21"/>
                <w:highlight w:val="none"/>
              </w:rPr>
              <w:t>沉陷</w:t>
            </w:r>
          </w:p>
        </w:tc>
        <w:tc>
          <w:tcPr>
            <w:tcW w:w="6286" w:type="dxa"/>
            <w:tcBorders>
              <w:top w:val="single" w:color="auto" w:sz="4" w:space="0"/>
              <w:left w:val="single" w:color="auto" w:sz="4" w:space="0"/>
              <w:bottom w:val="single" w:color="auto" w:sz="4" w:space="0"/>
              <w:right w:val="single" w:color="auto" w:sz="4" w:space="0"/>
            </w:tcBorders>
            <w:noWrap w:val="0"/>
            <w:vAlign w:val="top"/>
          </w:tcPr>
          <w:p w14:paraId="4C440FBB">
            <w:pPr>
              <w:spacing w:line="340" w:lineRule="exact"/>
              <w:rPr>
                <w:rFonts w:ascii="宋体" w:hAnsi="宋体" w:cs="宋体"/>
                <w:color w:val="auto"/>
                <w:szCs w:val="21"/>
                <w:highlight w:val="none"/>
              </w:rPr>
            </w:pPr>
            <w:r>
              <w:rPr>
                <w:rFonts w:hint="eastAsia" w:ascii="宋体" w:hAnsi="宋体" w:cs="宋体"/>
                <w:color w:val="auto"/>
                <w:szCs w:val="21"/>
                <w:highlight w:val="none"/>
              </w:rPr>
              <w:t>路面路基局部下沉,横向大于30mm</w:t>
            </w:r>
          </w:p>
        </w:tc>
      </w:tr>
      <w:tr w14:paraId="7D15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60799719">
            <w:pPr>
              <w:spacing w:line="340" w:lineRule="exact"/>
              <w:rPr>
                <w:rFonts w:ascii="宋体" w:hAnsi="宋体" w:cs="宋体"/>
                <w:color w:val="auto"/>
                <w:szCs w:val="21"/>
                <w:highlight w:val="none"/>
              </w:rPr>
            </w:pPr>
            <w:r>
              <w:rPr>
                <w:rFonts w:hint="eastAsia" w:ascii="宋体" w:hAnsi="宋体" w:cs="宋体"/>
                <w:color w:val="auto"/>
                <w:szCs w:val="21"/>
                <w:highlight w:val="none"/>
              </w:rPr>
              <w:t>6</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730A56ED">
            <w:pPr>
              <w:spacing w:line="340" w:lineRule="exact"/>
              <w:rPr>
                <w:rFonts w:ascii="宋体" w:hAnsi="宋体" w:cs="宋体"/>
                <w:color w:val="auto"/>
                <w:szCs w:val="21"/>
                <w:highlight w:val="none"/>
              </w:rPr>
            </w:pPr>
            <w:r>
              <w:rPr>
                <w:rFonts w:hint="eastAsia" w:ascii="宋体" w:hAnsi="宋体" w:cs="宋体"/>
                <w:color w:val="auto"/>
                <w:szCs w:val="21"/>
                <w:highlight w:val="none"/>
              </w:rPr>
              <w:t>脱皮</w:t>
            </w:r>
          </w:p>
        </w:tc>
        <w:tc>
          <w:tcPr>
            <w:tcW w:w="6286" w:type="dxa"/>
            <w:tcBorders>
              <w:top w:val="single" w:color="auto" w:sz="4" w:space="0"/>
              <w:left w:val="single" w:color="auto" w:sz="4" w:space="0"/>
              <w:bottom w:val="single" w:color="auto" w:sz="4" w:space="0"/>
              <w:right w:val="single" w:color="auto" w:sz="4" w:space="0"/>
            </w:tcBorders>
            <w:noWrap w:val="0"/>
            <w:vAlign w:val="top"/>
          </w:tcPr>
          <w:p w14:paraId="635C1C74">
            <w:pPr>
              <w:spacing w:line="340" w:lineRule="exact"/>
              <w:rPr>
                <w:rFonts w:ascii="宋体" w:hAnsi="宋体" w:cs="宋体"/>
                <w:color w:val="auto"/>
                <w:szCs w:val="21"/>
                <w:highlight w:val="none"/>
              </w:rPr>
            </w:pPr>
            <w:r>
              <w:rPr>
                <w:rFonts w:hint="eastAsia" w:ascii="宋体" w:hAnsi="宋体" w:cs="宋体"/>
                <w:color w:val="auto"/>
                <w:szCs w:val="21"/>
                <w:highlight w:val="none"/>
              </w:rPr>
              <w:t>路面层层状脱落,面积大于0.1㎡</w:t>
            </w:r>
          </w:p>
        </w:tc>
      </w:tr>
      <w:tr w14:paraId="0402E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32E50D8C">
            <w:pPr>
              <w:spacing w:line="340" w:lineRule="exact"/>
              <w:rPr>
                <w:rFonts w:ascii="宋体" w:hAnsi="宋体" w:cs="宋体"/>
                <w:color w:val="auto"/>
                <w:szCs w:val="21"/>
                <w:highlight w:val="none"/>
              </w:rPr>
            </w:pPr>
            <w:r>
              <w:rPr>
                <w:rFonts w:hint="eastAsia" w:ascii="宋体" w:hAnsi="宋体" w:cs="宋体"/>
                <w:color w:val="auto"/>
                <w:szCs w:val="21"/>
                <w:highlight w:val="none"/>
              </w:rPr>
              <w:t>7</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57E1719A">
            <w:pPr>
              <w:spacing w:line="340" w:lineRule="exact"/>
              <w:rPr>
                <w:rFonts w:ascii="宋体" w:hAnsi="宋体" w:cs="宋体"/>
                <w:color w:val="auto"/>
                <w:szCs w:val="21"/>
                <w:highlight w:val="none"/>
              </w:rPr>
            </w:pPr>
            <w:r>
              <w:rPr>
                <w:rFonts w:hint="eastAsia" w:ascii="宋体" w:hAnsi="宋体" w:cs="宋体"/>
                <w:color w:val="auto"/>
                <w:szCs w:val="21"/>
                <w:highlight w:val="none"/>
              </w:rPr>
              <w:t>啃边</w:t>
            </w:r>
          </w:p>
        </w:tc>
        <w:tc>
          <w:tcPr>
            <w:tcW w:w="6286" w:type="dxa"/>
            <w:tcBorders>
              <w:top w:val="single" w:color="auto" w:sz="4" w:space="0"/>
              <w:left w:val="single" w:color="auto" w:sz="4" w:space="0"/>
              <w:bottom w:val="single" w:color="auto" w:sz="4" w:space="0"/>
              <w:right w:val="single" w:color="auto" w:sz="4" w:space="0"/>
            </w:tcBorders>
            <w:noWrap w:val="0"/>
            <w:vAlign w:val="top"/>
          </w:tcPr>
          <w:p w14:paraId="046A21E1">
            <w:pPr>
              <w:spacing w:line="340" w:lineRule="exact"/>
              <w:rPr>
                <w:rFonts w:ascii="宋体" w:hAnsi="宋体" w:cs="宋体"/>
                <w:color w:val="auto"/>
                <w:szCs w:val="21"/>
                <w:highlight w:val="none"/>
              </w:rPr>
            </w:pPr>
            <w:r>
              <w:rPr>
                <w:rFonts w:hint="eastAsia" w:ascii="宋体" w:hAnsi="宋体" w:cs="宋体"/>
                <w:color w:val="auto"/>
                <w:szCs w:val="21"/>
                <w:highlight w:val="none"/>
              </w:rPr>
              <w:t>路面边缘破碎剥落,宽度大于0.1m</w:t>
            </w:r>
          </w:p>
        </w:tc>
      </w:tr>
      <w:tr w14:paraId="75C8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1CDD7184">
            <w:pPr>
              <w:spacing w:line="340" w:lineRule="exact"/>
              <w:rPr>
                <w:rFonts w:ascii="宋体" w:hAnsi="宋体" w:cs="宋体"/>
                <w:color w:val="auto"/>
                <w:szCs w:val="21"/>
                <w:highlight w:val="none"/>
              </w:rPr>
            </w:pPr>
            <w:r>
              <w:rPr>
                <w:rFonts w:hint="eastAsia" w:ascii="宋体" w:hAnsi="宋体" w:cs="宋体"/>
                <w:color w:val="auto"/>
                <w:szCs w:val="21"/>
                <w:highlight w:val="none"/>
              </w:rPr>
              <w:t>8</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657E1D24">
            <w:pPr>
              <w:spacing w:line="340" w:lineRule="exact"/>
              <w:rPr>
                <w:rFonts w:ascii="宋体" w:hAnsi="宋体" w:cs="宋体"/>
                <w:color w:val="auto"/>
                <w:szCs w:val="21"/>
                <w:highlight w:val="none"/>
              </w:rPr>
            </w:pPr>
            <w:r>
              <w:rPr>
                <w:rFonts w:hint="eastAsia" w:ascii="宋体" w:hAnsi="宋体" w:cs="宋体"/>
                <w:color w:val="auto"/>
                <w:szCs w:val="21"/>
                <w:highlight w:val="none"/>
              </w:rPr>
              <w:t>泛油</w:t>
            </w:r>
          </w:p>
        </w:tc>
        <w:tc>
          <w:tcPr>
            <w:tcW w:w="6286" w:type="dxa"/>
            <w:tcBorders>
              <w:top w:val="single" w:color="auto" w:sz="4" w:space="0"/>
              <w:left w:val="single" w:color="auto" w:sz="4" w:space="0"/>
              <w:bottom w:val="single" w:color="auto" w:sz="4" w:space="0"/>
              <w:right w:val="single" w:color="auto" w:sz="4" w:space="0"/>
            </w:tcBorders>
            <w:noWrap w:val="0"/>
            <w:vAlign w:val="top"/>
          </w:tcPr>
          <w:p w14:paraId="03BA67EF">
            <w:pPr>
              <w:spacing w:line="340" w:lineRule="exact"/>
              <w:rPr>
                <w:rFonts w:ascii="宋体" w:hAnsi="宋体" w:cs="宋体"/>
                <w:color w:val="auto"/>
                <w:szCs w:val="21"/>
                <w:highlight w:val="none"/>
              </w:rPr>
            </w:pPr>
            <w:r>
              <w:rPr>
                <w:rFonts w:hint="eastAsia" w:ascii="宋体" w:hAnsi="宋体" w:cs="宋体"/>
                <w:color w:val="auto"/>
                <w:szCs w:val="21"/>
                <w:highlight w:val="none"/>
              </w:rPr>
              <w:t>高温季节沥青被挤出,表面形成油层,行车出现轮迹。</w:t>
            </w:r>
          </w:p>
        </w:tc>
      </w:tr>
      <w:tr w14:paraId="1658D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1D0C15C2">
            <w:pPr>
              <w:spacing w:line="340" w:lineRule="exact"/>
              <w:rPr>
                <w:rFonts w:ascii="宋体" w:hAnsi="宋体" w:cs="宋体"/>
                <w:color w:val="auto"/>
                <w:szCs w:val="21"/>
                <w:highlight w:val="none"/>
              </w:rPr>
            </w:pPr>
            <w:r>
              <w:rPr>
                <w:rFonts w:hint="eastAsia" w:ascii="宋体" w:hAnsi="宋体" w:cs="宋体"/>
                <w:color w:val="auto"/>
                <w:szCs w:val="21"/>
                <w:highlight w:val="none"/>
              </w:rPr>
              <w:t>9</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25D91FE5">
            <w:pPr>
              <w:spacing w:line="340" w:lineRule="exact"/>
              <w:rPr>
                <w:rFonts w:ascii="宋体" w:hAnsi="宋体" w:cs="宋体"/>
                <w:color w:val="auto"/>
                <w:szCs w:val="21"/>
                <w:highlight w:val="none"/>
              </w:rPr>
            </w:pPr>
            <w:r>
              <w:rPr>
                <w:rFonts w:hint="eastAsia" w:ascii="宋体" w:hAnsi="宋体" w:cs="宋体"/>
                <w:color w:val="auto"/>
                <w:szCs w:val="21"/>
                <w:highlight w:val="none"/>
              </w:rPr>
              <w:t>车辙</w:t>
            </w:r>
          </w:p>
        </w:tc>
        <w:tc>
          <w:tcPr>
            <w:tcW w:w="6286" w:type="dxa"/>
            <w:tcBorders>
              <w:top w:val="single" w:color="auto" w:sz="4" w:space="0"/>
              <w:left w:val="single" w:color="auto" w:sz="4" w:space="0"/>
              <w:bottom w:val="single" w:color="auto" w:sz="4" w:space="0"/>
              <w:right w:val="single" w:color="auto" w:sz="4" w:space="0"/>
            </w:tcBorders>
            <w:noWrap w:val="0"/>
            <w:vAlign w:val="top"/>
          </w:tcPr>
          <w:p w14:paraId="75153F4D">
            <w:pPr>
              <w:spacing w:line="340" w:lineRule="exact"/>
              <w:rPr>
                <w:rFonts w:ascii="宋体" w:hAnsi="宋体" w:cs="宋体"/>
                <w:color w:val="auto"/>
                <w:szCs w:val="21"/>
                <w:highlight w:val="none"/>
              </w:rPr>
            </w:pPr>
            <w:r>
              <w:rPr>
                <w:rFonts w:hint="eastAsia" w:ascii="宋体" w:hAnsi="宋体" w:cs="宋体"/>
                <w:color w:val="auto"/>
                <w:szCs w:val="21"/>
                <w:highlight w:val="none"/>
              </w:rPr>
              <w:t>路面上沿行车轮迹产生的纵向带状辙槽,深度大于15mm</w:t>
            </w:r>
          </w:p>
        </w:tc>
      </w:tr>
      <w:tr w14:paraId="6361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580DD8A3">
            <w:pPr>
              <w:spacing w:line="340" w:lineRule="exact"/>
              <w:rPr>
                <w:rFonts w:ascii="宋体" w:hAnsi="宋体" w:cs="宋体"/>
                <w:color w:val="auto"/>
                <w:szCs w:val="21"/>
                <w:highlight w:val="none"/>
              </w:rPr>
            </w:pPr>
            <w:r>
              <w:rPr>
                <w:rFonts w:hint="eastAsia" w:ascii="宋体" w:hAnsi="宋体" w:cs="宋体"/>
                <w:color w:val="auto"/>
                <w:szCs w:val="21"/>
                <w:highlight w:val="none"/>
              </w:rPr>
              <w:t>10</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43B4D4BF">
            <w:pPr>
              <w:spacing w:line="340" w:lineRule="exact"/>
              <w:rPr>
                <w:rFonts w:ascii="宋体" w:hAnsi="宋体" w:cs="宋体"/>
                <w:color w:val="auto"/>
                <w:szCs w:val="21"/>
                <w:highlight w:val="none"/>
              </w:rPr>
            </w:pPr>
            <w:r>
              <w:rPr>
                <w:rFonts w:hint="eastAsia" w:ascii="宋体" w:hAnsi="宋体" w:cs="宋体"/>
                <w:color w:val="auto"/>
                <w:szCs w:val="21"/>
                <w:highlight w:val="none"/>
              </w:rPr>
              <w:t>龟裂</w:t>
            </w:r>
          </w:p>
        </w:tc>
        <w:tc>
          <w:tcPr>
            <w:tcW w:w="6286" w:type="dxa"/>
            <w:tcBorders>
              <w:top w:val="single" w:color="auto" w:sz="4" w:space="0"/>
              <w:left w:val="single" w:color="auto" w:sz="4" w:space="0"/>
              <w:bottom w:val="single" w:color="auto" w:sz="4" w:space="0"/>
              <w:right w:val="single" w:color="auto" w:sz="4" w:space="0"/>
            </w:tcBorders>
            <w:noWrap w:val="0"/>
            <w:vAlign w:val="top"/>
          </w:tcPr>
          <w:p w14:paraId="65B7B0D4">
            <w:pPr>
              <w:spacing w:line="340" w:lineRule="exact"/>
              <w:rPr>
                <w:rFonts w:ascii="宋体" w:hAnsi="宋体" w:cs="宋体"/>
                <w:color w:val="auto"/>
                <w:szCs w:val="21"/>
                <w:highlight w:val="none"/>
              </w:rPr>
            </w:pPr>
            <w:r>
              <w:rPr>
                <w:rFonts w:hint="eastAsia" w:ascii="宋体" w:hAnsi="宋体" w:cs="宋体"/>
                <w:color w:val="auto"/>
                <w:szCs w:val="21"/>
                <w:highlight w:val="none"/>
              </w:rPr>
              <w:t>缝宽3mm以上,缝距小于100mm,面积超1㎡</w:t>
            </w:r>
          </w:p>
        </w:tc>
      </w:tr>
      <w:tr w14:paraId="3E2A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48DF70A1">
            <w:pPr>
              <w:spacing w:line="340" w:lineRule="exact"/>
              <w:rPr>
                <w:rFonts w:ascii="宋体" w:hAnsi="宋体" w:cs="宋体"/>
                <w:color w:val="auto"/>
                <w:szCs w:val="21"/>
                <w:highlight w:val="none"/>
              </w:rPr>
            </w:pPr>
            <w:r>
              <w:rPr>
                <w:rFonts w:hint="eastAsia" w:ascii="宋体" w:hAnsi="宋体" w:cs="宋体"/>
                <w:color w:val="auto"/>
                <w:szCs w:val="21"/>
                <w:highlight w:val="none"/>
              </w:rPr>
              <w:t>11</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3CF3F768">
            <w:pPr>
              <w:spacing w:line="340" w:lineRule="exact"/>
              <w:rPr>
                <w:rFonts w:ascii="宋体" w:hAnsi="宋体" w:cs="宋体"/>
                <w:color w:val="auto"/>
                <w:szCs w:val="21"/>
                <w:highlight w:val="none"/>
              </w:rPr>
            </w:pPr>
            <w:r>
              <w:rPr>
                <w:rFonts w:hint="eastAsia" w:ascii="宋体" w:hAnsi="宋体" w:cs="宋体"/>
                <w:color w:val="auto"/>
                <w:szCs w:val="21"/>
                <w:highlight w:val="none"/>
              </w:rPr>
              <w:t>网裂</w:t>
            </w:r>
          </w:p>
        </w:tc>
        <w:tc>
          <w:tcPr>
            <w:tcW w:w="6286" w:type="dxa"/>
            <w:tcBorders>
              <w:top w:val="single" w:color="auto" w:sz="4" w:space="0"/>
              <w:left w:val="single" w:color="auto" w:sz="4" w:space="0"/>
              <w:bottom w:val="single" w:color="auto" w:sz="4" w:space="0"/>
              <w:right w:val="single" w:color="auto" w:sz="4" w:space="0"/>
            </w:tcBorders>
            <w:noWrap w:val="0"/>
            <w:vAlign w:val="top"/>
          </w:tcPr>
          <w:p w14:paraId="6C4824E7">
            <w:pPr>
              <w:spacing w:line="340" w:lineRule="exact"/>
              <w:rPr>
                <w:rFonts w:ascii="宋体" w:hAnsi="宋体" w:cs="宋体"/>
                <w:color w:val="auto"/>
                <w:szCs w:val="21"/>
                <w:highlight w:val="none"/>
              </w:rPr>
            </w:pPr>
            <w:r>
              <w:rPr>
                <w:rFonts w:hint="eastAsia" w:ascii="宋体" w:hAnsi="宋体" w:cs="宋体"/>
                <w:color w:val="auto"/>
                <w:szCs w:val="21"/>
                <w:highlight w:val="none"/>
              </w:rPr>
              <w:t>缝宽1mm以上或缝距小于400mm,面积超1㎡</w:t>
            </w:r>
          </w:p>
        </w:tc>
      </w:tr>
      <w:tr w14:paraId="117B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4E825B9C">
            <w:pPr>
              <w:spacing w:line="340" w:lineRule="exact"/>
              <w:rPr>
                <w:rFonts w:ascii="宋体" w:hAnsi="宋体" w:cs="宋体"/>
                <w:color w:val="auto"/>
                <w:szCs w:val="21"/>
                <w:highlight w:val="none"/>
              </w:rPr>
            </w:pPr>
            <w:r>
              <w:rPr>
                <w:rFonts w:hint="eastAsia" w:ascii="宋体" w:hAnsi="宋体" w:cs="宋体"/>
                <w:color w:val="auto"/>
                <w:szCs w:val="21"/>
                <w:highlight w:val="none"/>
              </w:rPr>
              <w:t>12</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5F6C4BC0">
            <w:pPr>
              <w:spacing w:line="340" w:lineRule="exact"/>
              <w:rPr>
                <w:rFonts w:ascii="宋体" w:hAnsi="宋体" w:cs="宋体"/>
                <w:color w:val="auto"/>
                <w:szCs w:val="21"/>
                <w:highlight w:val="none"/>
              </w:rPr>
            </w:pPr>
            <w:r>
              <w:rPr>
                <w:rFonts w:hint="eastAsia" w:ascii="宋体" w:hAnsi="宋体" w:cs="宋体"/>
                <w:color w:val="auto"/>
                <w:szCs w:val="21"/>
                <w:highlight w:val="none"/>
              </w:rPr>
              <w:t>搓板</w:t>
            </w:r>
          </w:p>
        </w:tc>
        <w:tc>
          <w:tcPr>
            <w:tcW w:w="6286" w:type="dxa"/>
            <w:tcBorders>
              <w:top w:val="single" w:color="auto" w:sz="4" w:space="0"/>
              <w:left w:val="single" w:color="auto" w:sz="4" w:space="0"/>
              <w:bottom w:val="single" w:color="auto" w:sz="4" w:space="0"/>
              <w:right w:val="single" w:color="auto" w:sz="4" w:space="0"/>
            </w:tcBorders>
            <w:noWrap w:val="0"/>
            <w:vAlign w:val="top"/>
          </w:tcPr>
          <w:p w14:paraId="2399DC75">
            <w:pPr>
              <w:spacing w:line="340" w:lineRule="exact"/>
              <w:rPr>
                <w:rFonts w:ascii="宋体" w:hAnsi="宋体" w:cs="宋体"/>
                <w:color w:val="auto"/>
                <w:szCs w:val="21"/>
                <w:highlight w:val="none"/>
              </w:rPr>
            </w:pPr>
            <w:r>
              <w:rPr>
                <w:rFonts w:hint="eastAsia" w:ascii="宋体" w:hAnsi="宋体" w:cs="宋体"/>
                <w:color w:val="auto"/>
                <w:szCs w:val="21"/>
                <w:highlight w:val="none"/>
              </w:rPr>
              <w:t>路面纵向产生连续起伏,峰谷高差大于15mm</w:t>
            </w:r>
          </w:p>
        </w:tc>
      </w:tr>
      <w:tr w14:paraId="4B2E0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2BBD7EB9">
            <w:pPr>
              <w:spacing w:line="340" w:lineRule="exact"/>
              <w:rPr>
                <w:rFonts w:ascii="宋体" w:hAnsi="宋体" w:cs="宋体"/>
                <w:color w:val="auto"/>
                <w:szCs w:val="21"/>
                <w:highlight w:val="none"/>
              </w:rPr>
            </w:pPr>
            <w:r>
              <w:rPr>
                <w:rFonts w:hint="eastAsia" w:ascii="宋体" w:hAnsi="宋体" w:cs="宋体"/>
                <w:color w:val="auto"/>
                <w:szCs w:val="21"/>
                <w:highlight w:val="none"/>
              </w:rPr>
              <w:t>13</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70BF396B">
            <w:pPr>
              <w:spacing w:line="340" w:lineRule="exact"/>
              <w:rPr>
                <w:rFonts w:ascii="宋体" w:hAnsi="宋体" w:cs="宋体"/>
                <w:color w:val="auto"/>
                <w:szCs w:val="21"/>
                <w:highlight w:val="none"/>
              </w:rPr>
            </w:pPr>
            <w:r>
              <w:rPr>
                <w:rFonts w:hint="eastAsia" w:ascii="宋体" w:hAnsi="宋体" w:cs="宋体"/>
                <w:color w:val="auto"/>
                <w:szCs w:val="21"/>
                <w:highlight w:val="none"/>
              </w:rPr>
              <w:t>横坡不适</w:t>
            </w:r>
          </w:p>
        </w:tc>
        <w:tc>
          <w:tcPr>
            <w:tcW w:w="6286" w:type="dxa"/>
            <w:tcBorders>
              <w:top w:val="single" w:color="auto" w:sz="4" w:space="0"/>
              <w:left w:val="single" w:color="auto" w:sz="4" w:space="0"/>
              <w:bottom w:val="single" w:color="auto" w:sz="4" w:space="0"/>
              <w:right w:val="single" w:color="auto" w:sz="4" w:space="0"/>
            </w:tcBorders>
            <w:noWrap w:val="0"/>
            <w:vAlign w:val="top"/>
          </w:tcPr>
          <w:p w14:paraId="0C7F2BDA">
            <w:pPr>
              <w:spacing w:line="340" w:lineRule="exact"/>
              <w:rPr>
                <w:rFonts w:ascii="宋体" w:hAnsi="宋体" w:cs="宋体"/>
                <w:color w:val="auto"/>
                <w:szCs w:val="21"/>
                <w:highlight w:val="none"/>
              </w:rPr>
            </w:pPr>
            <w:r>
              <w:rPr>
                <w:rFonts w:hint="eastAsia" w:ascii="宋体" w:hAnsi="宋体" w:cs="宋体"/>
                <w:color w:val="auto"/>
                <w:szCs w:val="21"/>
                <w:highlight w:val="none"/>
              </w:rPr>
              <w:t>路面横坡小于1%或大于3%,或中线偏移、未设超高</w:t>
            </w:r>
          </w:p>
        </w:tc>
      </w:tr>
      <w:tr w14:paraId="0BDC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1DFA49EB">
            <w:pPr>
              <w:spacing w:line="340" w:lineRule="exact"/>
              <w:rPr>
                <w:rFonts w:ascii="宋体" w:hAnsi="宋体" w:cs="宋体"/>
                <w:color w:val="auto"/>
                <w:szCs w:val="21"/>
                <w:highlight w:val="none"/>
              </w:rPr>
            </w:pPr>
            <w:r>
              <w:rPr>
                <w:rFonts w:hint="eastAsia" w:ascii="宋体" w:hAnsi="宋体" w:cs="宋体"/>
                <w:color w:val="auto"/>
                <w:szCs w:val="21"/>
                <w:highlight w:val="none"/>
              </w:rPr>
              <w:t>14</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5979711C">
            <w:pPr>
              <w:spacing w:line="340" w:lineRule="exact"/>
              <w:rPr>
                <w:rFonts w:ascii="宋体" w:hAnsi="宋体" w:cs="宋体"/>
                <w:color w:val="auto"/>
                <w:szCs w:val="21"/>
                <w:highlight w:val="none"/>
              </w:rPr>
            </w:pPr>
            <w:r>
              <w:rPr>
                <w:rFonts w:hint="eastAsia" w:ascii="宋体" w:hAnsi="宋体" w:cs="宋体"/>
                <w:color w:val="auto"/>
                <w:szCs w:val="21"/>
                <w:highlight w:val="none"/>
              </w:rPr>
              <w:t>平整度差</w:t>
            </w:r>
          </w:p>
        </w:tc>
        <w:tc>
          <w:tcPr>
            <w:tcW w:w="6286" w:type="dxa"/>
            <w:tcBorders>
              <w:top w:val="single" w:color="auto" w:sz="4" w:space="0"/>
              <w:left w:val="single" w:color="auto" w:sz="4" w:space="0"/>
              <w:bottom w:val="single" w:color="auto" w:sz="4" w:space="0"/>
              <w:right w:val="single" w:color="auto" w:sz="4" w:space="0"/>
            </w:tcBorders>
            <w:noWrap w:val="0"/>
            <w:vAlign w:val="top"/>
          </w:tcPr>
          <w:p w14:paraId="0D799FD6">
            <w:pPr>
              <w:spacing w:line="340" w:lineRule="exact"/>
              <w:rPr>
                <w:rFonts w:ascii="宋体" w:hAnsi="宋体" w:cs="宋体"/>
                <w:color w:val="auto"/>
                <w:szCs w:val="21"/>
                <w:highlight w:val="none"/>
              </w:rPr>
            </w:pPr>
            <w:r>
              <w:rPr>
                <w:rFonts w:hint="eastAsia" w:ascii="宋体" w:hAnsi="宋体" w:cs="宋体"/>
                <w:color w:val="auto"/>
                <w:szCs w:val="21"/>
                <w:highlight w:val="none"/>
              </w:rPr>
              <w:t>3米尺量测尺底间隙大于8mm</w:t>
            </w:r>
          </w:p>
        </w:tc>
      </w:tr>
      <w:tr w14:paraId="3586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66425635">
            <w:pPr>
              <w:spacing w:line="340" w:lineRule="exact"/>
              <w:rPr>
                <w:rFonts w:ascii="宋体" w:hAnsi="宋体" w:cs="宋体"/>
                <w:color w:val="auto"/>
                <w:szCs w:val="21"/>
                <w:highlight w:val="none"/>
              </w:rPr>
            </w:pPr>
            <w:r>
              <w:rPr>
                <w:rFonts w:hint="eastAsia" w:ascii="宋体" w:hAnsi="宋体" w:cs="宋体"/>
                <w:color w:val="auto"/>
                <w:szCs w:val="21"/>
                <w:highlight w:val="none"/>
              </w:rPr>
              <w:t>15</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0DBCDFCC">
            <w:pPr>
              <w:spacing w:line="340" w:lineRule="exact"/>
              <w:rPr>
                <w:rFonts w:ascii="宋体" w:hAnsi="宋体" w:cs="宋体"/>
                <w:color w:val="auto"/>
                <w:szCs w:val="21"/>
                <w:highlight w:val="none"/>
              </w:rPr>
            </w:pPr>
            <w:r>
              <w:rPr>
                <w:rFonts w:hint="eastAsia" w:ascii="宋体" w:hAnsi="宋体" w:cs="宋体"/>
                <w:color w:val="auto"/>
                <w:szCs w:val="21"/>
                <w:highlight w:val="none"/>
              </w:rPr>
              <w:t>井框高差</w:t>
            </w:r>
          </w:p>
        </w:tc>
        <w:tc>
          <w:tcPr>
            <w:tcW w:w="6286" w:type="dxa"/>
            <w:tcBorders>
              <w:top w:val="single" w:color="auto" w:sz="4" w:space="0"/>
              <w:left w:val="single" w:color="auto" w:sz="4" w:space="0"/>
              <w:bottom w:val="single" w:color="auto" w:sz="4" w:space="0"/>
              <w:right w:val="single" w:color="auto" w:sz="4" w:space="0"/>
            </w:tcBorders>
            <w:noWrap w:val="0"/>
            <w:vAlign w:val="top"/>
          </w:tcPr>
          <w:p w14:paraId="3E435F99">
            <w:pPr>
              <w:spacing w:line="340" w:lineRule="exact"/>
              <w:rPr>
                <w:rFonts w:ascii="宋体" w:hAnsi="宋体" w:cs="宋体"/>
                <w:color w:val="auto"/>
                <w:szCs w:val="21"/>
                <w:highlight w:val="none"/>
              </w:rPr>
            </w:pPr>
            <w:r>
              <w:rPr>
                <w:rFonts w:hint="eastAsia" w:ascii="宋体" w:hAnsi="宋体" w:cs="宋体"/>
                <w:color w:val="auto"/>
                <w:szCs w:val="21"/>
                <w:highlight w:val="none"/>
              </w:rPr>
              <w:t>路面与检查井框高差大于20mm</w:t>
            </w:r>
          </w:p>
        </w:tc>
      </w:tr>
    </w:tbl>
    <w:p w14:paraId="52B8363B">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4.1.2  水泥混凝土路面</w:t>
      </w:r>
    </w:p>
    <w:tbl>
      <w:tblPr>
        <w:tblStyle w:val="30"/>
        <w:tblW w:w="91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1800"/>
        <w:gridCol w:w="6299"/>
      </w:tblGrid>
      <w:tr w14:paraId="51C9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41D9DBA2">
            <w:pPr>
              <w:spacing w:line="340" w:lineRule="exact"/>
              <w:rPr>
                <w:rFonts w:ascii="宋体" w:hAnsi="宋体" w:cs="宋体"/>
                <w:color w:val="auto"/>
                <w:szCs w:val="21"/>
                <w:highlight w:val="none"/>
              </w:rPr>
            </w:pPr>
            <w:r>
              <w:rPr>
                <w:rFonts w:hint="eastAsia" w:ascii="宋体" w:hAnsi="宋体" w:cs="宋体"/>
                <w:color w:val="auto"/>
                <w:szCs w:val="21"/>
                <w:highlight w:val="none"/>
              </w:rPr>
              <w:t>序号</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429F7E71">
            <w:pPr>
              <w:spacing w:line="340" w:lineRule="exact"/>
              <w:rPr>
                <w:rFonts w:ascii="宋体" w:hAnsi="宋体" w:cs="宋体"/>
                <w:color w:val="auto"/>
                <w:szCs w:val="21"/>
                <w:highlight w:val="none"/>
              </w:rPr>
            </w:pPr>
            <w:r>
              <w:rPr>
                <w:rFonts w:hint="eastAsia" w:ascii="宋体" w:hAnsi="宋体" w:cs="宋体"/>
                <w:color w:val="auto"/>
                <w:szCs w:val="21"/>
                <w:highlight w:val="none"/>
              </w:rPr>
              <w:t>病害名称</w:t>
            </w:r>
          </w:p>
        </w:tc>
        <w:tc>
          <w:tcPr>
            <w:tcW w:w="6299" w:type="dxa"/>
            <w:tcBorders>
              <w:top w:val="single" w:color="auto" w:sz="4" w:space="0"/>
              <w:left w:val="single" w:color="auto" w:sz="4" w:space="0"/>
              <w:bottom w:val="single" w:color="auto" w:sz="4" w:space="0"/>
              <w:right w:val="single" w:color="auto" w:sz="4" w:space="0"/>
            </w:tcBorders>
            <w:noWrap w:val="0"/>
            <w:vAlign w:val="top"/>
          </w:tcPr>
          <w:p w14:paraId="7A0E2F09">
            <w:pPr>
              <w:spacing w:line="340" w:lineRule="exact"/>
              <w:rPr>
                <w:rFonts w:ascii="宋体" w:hAnsi="宋体" w:cs="宋体"/>
                <w:color w:val="auto"/>
                <w:szCs w:val="21"/>
                <w:highlight w:val="none"/>
              </w:rPr>
            </w:pPr>
            <w:r>
              <w:rPr>
                <w:rFonts w:hint="eastAsia" w:ascii="宋体" w:hAnsi="宋体" w:cs="宋体"/>
                <w:color w:val="auto"/>
                <w:szCs w:val="21"/>
                <w:highlight w:val="none"/>
              </w:rPr>
              <w:t>病害程度</w:t>
            </w:r>
          </w:p>
        </w:tc>
      </w:tr>
      <w:tr w14:paraId="2C2D4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39811F69">
            <w:pPr>
              <w:spacing w:line="340" w:lineRule="exact"/>
              <w:rPr>
                <w:rFonts w:ascii="宋体" w:hAnsi="宋体" w:cs="宋体"/>
                <w:color w:val="auto"/>
                <w:szCs w:val="21"/>
                <w:highlight w:val="none"/>
              </w:rPr>
            </w:pPr>
            <w:r>
              <w:rPr>
                <w:rFonts w:hint="eastAsia" w:ascii="宋体" w:hAnsi="宋体" w:cs="宋体"/>
                <w:color w:val="auto"/>
                <w:szCs w:val="21"/>
                <w:highlight w:val="none"/>
              </w:rPr>
              <w:t>1</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78367678">
            <w:pPr>
              <w:spacing w:line="340" w:lineRule="exact"/>
              <w:rPr>
                <w:rFonts w:ascii="宋体" w:hAnsi="宋体" w:cs="宋体"/>
                <w:color w:val="auto"/>
                <w:szCs w:val="21"/>
                <w:highlight w:val="none"/>
              </w:rPr>
            </w:pPr>
            <w:r>
              <w:rPr>
                <w:rFonts w:hint="eastAsia" w:ascii="宋体" w:hAnsi="宋体" w:cs="宋体"/>
                <w:color w:val="auto"/>
                <w:szCs w:val="21"/>
                <w:highlight w:val="none"/>
              </w:rPr>
              <w:t>沉陷</w:t>
            </w:r>
          </w:p>
        </w:tc>
        <w:tc>
          <w:tcPr>
            <w:tcW w:w="6299" w:type="dxa"/>
            <w:tcBorders>
              <w:top w:val="single" w:color="auto" w:sz="4" w:space="0"/>
              <w:left w:val="single" w:color="auto" w:sz="4" w:space="0"/>
              <w:bottom w:val="single" w:color="auto" w:sz="4" w:space="0"/>
              <w:right w:val="single" w:color="auto" w:sz="4" w:space="0"/>
            </w:tcBorders>
            <w:noWrap w:val="0"/>
            <w:vAlign w:val="top"/>
          </w:tcPr>
          <w:p w14:paraId="67573618">
            <w:pPr>
              <w:spacing w:line="340" w:lineRule="exact"/>
              <w:rPr>
                <w:rFonts w:ascii="宋体" w:hAnsi="宋体" w:cs="宋体"/>
                <w:color w:val="auto"/>
                <w:szCs w:val="21"/>
                <w:highlight w:val="none"/>
              </w:rPr>
            </w:pPr>
            <w:r>
              <w:rPr>
                <w:rFonts w:hint="eastAsia" w:ascii="宋体" w:hAnsi="宋体" w:cs="宋体"/>
                <w:color w:val="auto"/>
                <w:szCs w:val="21"/>
                <w:highlight w:val="none"/>
              </w:rPr>
              <w:t>路面连续数块板下沉,低于相邻板面深度大于30mm</w:t>
            </w:r>
          </w:p>
        </w:tc>
      </w:tr>
      <w:tr w14:paraId="2574F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75AA86F8">
            <w:pPr>
              <w:spacing w:line="340" w:lineRule="exact"/>
              <w:rPr>
                <w:rFonts w:ascii="宋体" w:hAnsi="宋体" w:cs="宋体"/>
                <w:color w:val="auto"/>
                <w:szCs w:val="21"/>
                <w:highlight w:val="none"/>
              </w:rPr>
            </w:pPr>
            <w:r>
              <w:rPr>
                <w:rFonts w:hint="eastAsia" w:ascii="宋体" w:hAnsi="宋体" w:cs="宋体"/>
                <w:color w:val="auto"/>
                <w:szCs w:val="21"/>
                <w:highlight w:val="none"/>
              </w:rPr>
              <w:t>2</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1F077AC7">
            <w:pPr>
              <w:spacing w:line="340" w:lineRule="exact"/>
              <w:rPr>
                <w:rFonts w:ascii="宋体" w:hAnsi="宋体" w:cs="宋体"/>
                <w:color w:val="auto"/>
                <w:szCs w:val="21"/>
                <w:highlight w:val="none"/>
              </w:rPr>
            </w:pPr>
            <w:r>
              <w:rPr>
                <w:rFonts w:hint="eastAsia" w:ascii="宋体" w:hAnsi="宋体" w:cs="宋体"/>
                <w:color w:val="auto"/>
                <w:szCs w:val="21"/>
                <w:highlight w:val="none"/>
              </w:rPr>
              <w:t>破碎板</w:t>
            </w:r>
          </w:p>
        </w:tc>
        <w:tc>
          <w:tcPr>
            <w:tcW w:w="6299" w:type="dxa"/>
            <w:tcBorders>
              <w:top w:val="single" w:color="auto" w:sz="4" w:space="0"/>
              <w:left w:val="single" w:color="auto" w:sz="4" w:space="0"/>
              <w:bottom w:val="single" w:color="auto" w:sz="4" w:space="0"/>
              <w:right w:val="single" w:color="auto" w:sz="4" w:space="0"/>
            </w:tcBorders>
            <w:noWrap w:val="0"/>
            <w:vAlign w:val="top"/>
          </w:tcPr>
          <w:p w14:paraId="1CA99C32">
            <w:pPr>
              <w:spacing w:line="340" w:lineRule="exact"/>
              <w:rPr>
                <w:rFonts w:ascii="宋体" w:hAnsi="宋体" w:cs="宋体"/>
                <w:color w:val="auto"/>
                <w:szCs w:val="21"/>
                <w:highlight w:val="none"/>
              </w:rPr>
            </w:pPr>
            <w:r>
              <w:rPr>
                <w:rFonts w:hint="eastAsia" w:ascii="宋体" w:hAnsi="宋体" w:cs="宋体"/>
                <w:color w:val="auto"/>
                <w:szCs w:val="21"/>
                <w:highlight w:val="none"/>
              </w:rPr>
              <w:t>裂缝将整块板分割开,并有严重剥落或沉陷</w:t>
            </w:r>
          </w:p>
        </w:tc>
      </w:tr>
      <w:tr w14:paraId="4A55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0D3888A4">
            <w:pPr>
              <w:spacing w:line="340" w:lineRule="exact"/>
              <w:rPr>
                <w:rFonts w:ascii="宋体" w:hAnsi="宋体" w:cs="宋体"/>
                <w:color w:val="auto"/>
                <w:szCs w:val="21"/>
                <w:highlight w:val="none"/>
              </w:rPr>
            </w:pPr>
            <w:r>
              <w:rPr>
                <w:rFonts w:hint="eastAsia" w:ascii="宋体" w:hAnsi="宋体" w:cs="宋体"/>
                <w:color w:val="auto"/>
                <w:szCs w:val="21"/>
                <w:highlight w:val="none"/>
              </w:rPr>
              <w:t>3</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5576634F">
            <w:pPr>
              <w:spacing w:line="340" w:lineRule="exact"/>
              <w:rPr>
                <w:rFonts w:ascii="宋体" w:hAnsi="宋体" w:cs="宋体"/>
                <w:color w:val="auto"/>
                <w:szCs w:val="21"/>
                <w:highlight w:val="none"/>
              </w:rPr>
            </w:pPr>
            <w:r>
              <w:rPr>
                <w:rFonts w:hint="eastAsia" w:ascii="宋体" w:hAnsi="宋体" w:cs="宋体"/>
                <w:color w:val="auto"/>
                <w:szCs w:val="21"/>
                <w:highlight w:val="none"/>
              </w:rPr>
              <w:t>坑洞</w:t>
            </w:r>
          </w:p>
        </w:tc>
        <w:tc>
          <w:tcPr>
            <w:tcW w:w="6299" w:type="dxa"/>
            <w:tcBorders>
              <w:top w:val="single" w:color="auto" w:sz="4" w:space="0"/>
              <w:left w:val="single" w:color="auto" w:sz="4" w:space="0"/>
              <w:bottom w:val="single" w:color="auto" w:sz="4" w:space="0"/>
              <w:right w:val="single" w:color="auto" w:sz="4" w:space="0"/>
            </w:tcBorders>
            <w:noWrap w:val="0"/>
            <w:vAlign w:val="top"/>
          </w:tcPr>
          <w:p w14:paraId="7D0BBF58">
            <w:pPr>
              <w:spacing w:line="340" w:lineRule="exact"/>
              <w:rPr>
                <w:rFonts w:ascii="宋体" w:hAnsi="宋体" w:cs="宋体"/>
                <w:color w:val="auto"/>
                <w:szCs w:val="21"/>
                <w:highlight w:val="none"/>
              </w:rPr>
            </w:pPr>
            <w:r>
              <w:rPr>
                <w:rFonts w:hint="eastAsia" w:ascii="宋体" w:hAnsi="宋体" w:cs="宋体"/>
                <w:color w:val="auto"/>
                <w:szCs w:val="21"/>
                <w:highlight w:val="none"/>
              </w:rPr>
              <w:t>路面板粗集料脱落形成局部凹坑,面积大于0.1㎡</w:t>
            </w:r>
          </w:p>
        </w:tc>
      </w:tr>
      <w:tr w14:paraId="5A1F7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01E119F0">
            <w:pPr>
              <w:spacing w:line="340" w:lineRule="exact"/>
              <w:rPr>
                <w:rFonts w:ascii="宋体" w:hAnsi="宋体" w:cs="宋体"/>
                <w:color w:val="auto"/>
                <w:szCs w:val="21"/>
                <w:highlight w:val="none"/>
              </w:rPr>
            </w:pPr>
            <w:r>
              <w:rPr>
                <w:rFonts w:hint="eastAsia" w:ascii="宋体" w:hAnsi="宋体" w:cs="宋体"/>
                <w:color w:val="auto"/>
                <w:szCs w:val="21"/>
                <w:highlight w:val="none"/>
              </w:rPr>
              <w:t>4</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30F387FF">
            <w:pPr>
              <w:spacing w:line="340" w:lineRule="exact"/>
              <w:rPr>
                <w:rFonts w:ascii="宋体" w:hAnsi="宋体" w:cs="宋体"/>
                <w:color w:val="auto"/>
                <w:szCs w:val="21"/>
                <w:highlight w:val="none"/>
              </w:rPr>
            </w:pPr>
            <w:r>
              <w:rPr>
                <w:rFonts w:hint="eastAsia" w:ascii="宋体" w:hAnsi="宋体" w:cs="宋体"/>
                <w:color w:val="auto"/>
                <w:szCs w:val="21"/>
                <w:highlight w:val="none"/>
              </w:rPr>
              <w:t>板角断裂</w:t>
            </w:r>
          </w:p>
        </w:tc>
        <w:tc>
          <w:tcPr>
            <w:tcW w:w="6299" w:type="dxa"/>
            <w:tcBorders>
              <w:top w:val="single" w:color="auto" w:sz="4" w:space="0"/>
              <w:left w:val="single" w:color="auto" w:sz="4" w:space="0"/>
              <w:bottom w:val="single" w:color="auto" w:sz="4" w:space="0"/>
              <w:right w:val="single" w:color="auto" w:sz="4" w:space="0"/>
            </w:tcBorders>
            <w:noWrap w:val="0"/>
            <w:vAlign w:val="top"/>
          </w:tcPr>
          <w:p w14:paraId="5528BD34">
            <w:pPr>
              <w:spacing w:line="340" w:lineRule="exact"/>
              <w:rPr>
                <w:rFonts w:ascii="宋体" w:hAnsi="宋体" w:cs="宋体"/>
                <w:color w:val="auto"/>
                <w:szCs w:val="21"/>
                <w:highlight w:val="none"/>
              </w:rPr>
            </w:pPr>
            <w:r>
              <w:rPr>
                <w:rFonts w:hint="eastAsia" w:ascii="宋体" w:hAnsi="宋体" w:cs="宋体"/>
                <w:color w:val="auto"/>
                <w:szCs w:val="21"/>
                <w:highlight w:val="none"/>
              </w:rPr>
              <w:t>裂缝将板角切断</w:t>
            </w:r>
          </w:p>
        </w:tc>
      </w:tr>
      <w:tr w14:paraId="49F9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1E5A2B09">
            <w:pPr>
              <w:spacing w:line="340" w:lineRule="exact"/>
              <w:rPr>
                <w:rFonts w:ascii="宋体" w:hAnsi="宋体" w:cs="宋体"/>
                <w:color w:val="auto"/>
                <w:szCs w:val="21"/>
                <w:highlight w:val="none"/>
              </w:rPr>
            </w:pPr>
            <w:r>
              <w:rPr>
                <w:rFonts w:hint="eastAsia" w:ascii="宋体" w:hAnsi="宋体" w:cs="宋体"/>
                <w:color w:val="auto"/>
                <w:szCs w:val="21"/>
                <w:highlight w:val="none"/>
              </w:rPr>
              <w:t>5</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6075AED6">
            <w:pPr>
              <w:spacing w:line="340" w:lineRule="exact"/>
              <w:rPr>
                <w:rFonts w:ascii="宋体" w:hAnsi="宋体" w:cs="宋体"/>
                <w:color w:val="auto"/>
                <w:szCs w:val="21"/>
                <w:highlight w:val="none"/>
              </w:rPr>
            </w:pPr>
            <w:r>
              <w:rPr>
                <w:rFonts w:hint="eastAsia" w:ascii="宋体" w:hAnsi="宋体" w:cs="宋体"/>
                <w:color w:val="auto"/>
                <w:szCs w:val="21"/>
                <w:highlight w:val="none"/>
              </w:rPr>
              <w:t>露骨</w:t>
            </w:r>
          </w:p>
        </w:tc>
        <w:tc>
          <w:tcPr>
            <w:tcW w:w="6299" w:type="dxa"/>
            <w:tcBorders>
              <w:top w:val="single" w:color="auto" w:sz="4" w:space="0"/>
              <w:left w:val="single" w:color="auto" w:sz="4" w:space="0"/>
              <w:bottom w:val="single" w:color="auto" w:sz="4" w:space="0"/>
              <w:right w:val="single" w:color="auto" w:sz="4" w:space="0"/>
            </w:tcBorders>
            <w:noWrap w:val="0"/>
            <w:vAlign w:val="top"/>
          </w:tcPr>
          <w:p w14:paraId="7BBBDEF8">
            <w:pPr>
              <w:spacing w:line="340" w:lineRule="exact"/>
              <w:rPr>
                <w:rFonts w:ascii="宋体" w:hAnsi="宋体" w:cs="宋体"/>
                <w:color w:val="auto"/>
                <w:szCs w:val="21"/>
                <w:highlight w:val="none"/>
              </w:rPr>
            </w:pPr>
            <w:r>
              <w:rPr>
                <w:rFonts w:hint="eastAsia" w:ascii="宋体" w:hAnsi="宋体" w:cs="宋体"/>
                <w:color w:val="auto"/>
                <w:szCs w:val="21"/>
                <w:highlight w:val="none"/>
              </w:rPr>
              <w:t>路面板表面细集料散失、粗集料暴露,面积大于1㎡</w:t>
            </w:r>
          </w:p>
        </w:tc>
      </w:tr>
      <w:tr w14:paraId="2B4CA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54F32120">
            <w:pPr>
              <w:spacing w:line="340" w:lineRule="exact"/>
              <w:rPr>
                <w:rFonts w:ascii="宋体" w:hAnsi="宋体" w:cs="宋体"/>
                <w:color w:val="auto"/>
                <w:szCs w:val="21"/>
                <w:highlight w:val="none"/>
              </w:rPr>
            </w:pPr>
            <w:r>
              <w:rPr>
                <w:rFonts w:hint="eastAsia" w:ascii="宋体" w:hAnsi="宋体" w:cs="宋体"/>
                <w:color w:val="auto"/>
                <w:szCs w:val="21"/>
                <w:highlight w:val="none"/>
              </w:rPr>
              <w:t>6</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311CD211">
            <w:pPr>
              <w:spacing w:line="340" w:lineRule="exact"/>
              <w:rPr>
                <w:rFonts w:ascii="宋体" w:hAnsi="宋体" w:cs="宋体"/>
                <w:color w:val="auto"/>
                <w:szCs w:val="21"/>
                <w:highlight w:val="none"/>
              </w:rPr>
            </w:pPr>
            <w:r>
              <w:rPr>
                <w:rFonts w:hint="eastAsia" w:ascii="宋体" w:hAnsi="宋体" w:cs="宋体"/>
                <w:color w:val="auto"/>
                <w:szCs w:val="21"/>
                <w:highlight w:val="none"/>
              </w:rPr>
              <w:t>拱胀</w:t>
            </w:r>
          </w:p>
        </w:tc>
        <w:tc>
          <w:tcPr>
            <w:tcW w:w="6299" w:type="dxa"/>
            <w:tcBorders>
              <w:top w:val="single" w:color="auto" w:sz="4" w:space="0"/>
              <w:left w:val="single" w:color="auto" w:sz="4" w:space="0"/>
              <w:bottom w:val="single" w:color="auto" w:sz="4" w:space="0"/>
              <w:right w:val="single" w:color="auto" w:sz="4" w:space="0"/>
            </w:tcBorders>
            <w:noWrap w:val="0"/>
            <w:vAlign w:val="top"/>
          </w:tcPr>
          <w:p w14:paraId="08A64CE4">
            <w:pPr>
              <w:spacing w:line="340" w:lineRule="exact"/>
              <w:rPr>
                <w:rFonts w:ascii="宋体" w:hAnsi="宋体" w:cs="宋体"/>
                <w:color w:val="auto"/>
                <w:szCs w:val="21"/>
                <w:highlight w:val="none"/>
              </w:rPr>
            </w:pPr>
            <w:r>
              <w:rPr>
                <w:rFonts w:hint="eastAsia" w:ascii="宋体" w:hAnsi="宋体" w:cs="宋体"/>
                <w:color w:val="auto"/>
                <w:szCs w:val="21"/>
                <w:highlight w:val="none"/>
              </w:rPr>
              <w:t>相邻板块相对邻近板向上突起30mm</w:t>
            </w:r>
          </w:p>
        </w:tc>
      </w:tr>
      <w:tr w14:paraId="4427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51206FDC">
            <w:pPr>
              <w:spacing w:line="340" w:lineRule="exact"/>
              <w:rPr>
                <w:rFonts w:ascii="宋体" w:hAnsi="宋体" w:cs="宋体"/>
                <w:color w:val="auto"/>
                <w:szCs w:val="21"/>
                <w:highlight w:val="none"/>
              </w:rPr>
            </w:pPr>
            <w:r>
              <w:rPr>
                <w:rFonts w:hint="eastAsia" w:ascii="宋体" w:hAnsi="宋体" w:cs="宋体"/>
                <w:color w:val="auto"/>
                <w:szCs w:val="21"/>
                <w:highlight w:val="none"/>
              </w:rPr>
              <w:t>7</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128EC7C8">
            <w:pPr>
              <w:spacing w:line="340" w:lineRule="exact"/>
              <w:rPr>
                <w:rFonts w:ascii="宋体" w:hAnsi="宋体" w:cs="宋体"/>
                <w:color w:val="auto"/>
                <w:szCs w:val="21"/>
                <w:highlight w:val="none"/>
              </w:rPr>
            </w:pPr>
            <w:r>
              <w:rPr>
                <w:rFonts w:hint="eastAsia" w:ascii="宋体" w:hAnsi="宋体" w:cs="宋体"/>
                <w:color w:val="auto"/>
                <w:szCs w:val="21"/>
                <w:highlight w:val="none"/>
              </w:rPr>
              <w:t>平整度差</w:t>
            </w:r>
          </w:p>
        </w:tc>
        <w:tc>
          <w:tcPr>
            <w:tcW w:w="6299" w:type="dxa"/>
            <w:tcBorders>
              <w:top w:val="single" w:color="auto" w:sz="4" w:space="0"/>
              <w:left w:val="single" w:color="auto" w:sz="4" w:space="0"/>
              <w:bottom w:val="single" w:color="auto" w:sz="4" w:space="0"/>
              <w:right w:val="single" w:color="auto" w:sz="4" w:space="0"/>
            </w:tcBorders>
            <w:noWrap w:val="0"/>
            <w:vAlign w:val="top"/>
          </w:tcPr>
          <w:p w14:paraId="3EB98700">
            <w:pPr>
              <w:spacing w:line="340" w:lineRule="exact"/>
              <w:rPr>
                <w:rFonts w:ascii="宋体" w:hAnsi="宋体" w:cs="宋体"/>
                <w:color w:val="auto"/>
                <w:szCs w:val="21"/>
                <w:highlight w:val="none"/>
              </w:rPr>
            </w:pPr>
            <w:r>
              <w:rPr>
                <w:rFonts w:hint="eastAsia" w:ascii="宋体" w:hAnsi="宋体" w:cs="宋体"/>
                <w:color w:val="auto"/>
                <w:szCs w:val="21"/>
                <w:highlight w:val="none"/>
              </w:rPr>
              <w:t>3米尺量测尺底间隙大于8mm</w:t>
            </w:r>
          </w:p>
        </w:tc>
      </w:tr>
      <w:tr w14:paraId="44A0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387931A7">
            <w:pPr>
              <w:spacing w:line="340" w:lineRule="exact"/>
              <w:rPr>
                <w:rFonts w:ascii="宋体" w:hAnsi="宋体" w:cs="宋体"/>
                <w:color w:val="auto"/>
                <w:szCs w:val="21"/>
                <w:highlight w:val="none"/>
              </w:rPr>
            </w:pPr>
            <w:r>
              <w:rPr>
                <w:rFonts w:hint="eastAsia" w:ascii="宋体" w:hAnsi="宋体" w:cs="宋体"/>
                <w:color w:val="auto"/>
                <w:szCs w:val="21"/>
                <w:highlight w:val="none"/>
              </w:rPr>
              <w:t>8</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006DF856">
            <w:pPr>
              <w:spacing w:line="340" w:lineRule="exact"/>
              <w:rPr>
                <w:rFonts w:ascii="宋体" w:hAnsi="宋体" w:cs="宋体"/>
                <w:color w:val="auto"/>
                <w:szCs w:val="21"/>
                <w:highlight w:val="none"/>
              </w:rPr>
            </w:pPr>
            <w:r>
              <w:rPr>
                <w:rFonts w:hint="eastAsia" w:ascii="宋体" w:hAnsi="宋体" w:cs="宋体"/>
                <w:color w:val="auto"/>
                <w:szCs w:val="21"/>
                <w:highlight w:val="none"/>
              </w:rPr>
              <w:t>错台</w:t>
            </w:r>
          </w:p>
        </w:tc>
        <w:tc>
          <w:tcPr>
            <w:tcW w:w="6299" w:type="dxa"/>
            <w:tcBorders>
              <w:top w:val="single" w:color="auto" w:sz="4" w:space="0"/>
              <w:left w:val="single" w:color="auto" w:sz="4" w:space="0"/>
              <w:bottom w:val="single" w:color="auto" w:sz="4" w:space="0"/>
              <w:right w:val="single" w:color="auto" w:sz="4" w:space="0"/>
            </w:tcBorders>
            <w:noWrap w:val="0"/>
            <w:vAlign w:val="top"/>
          </w:tcPr>
          <w:p w14:paraId="40FA27C7">
            <w:pPr>
              <w:spacing w:line="340" w:lineRule="exact"/>
              <w:rPr>
                <w:rFonts w:ascii="宋体" w:hAnsi="宋体" w:cs="宋体"/>
                <w:color w:val="auto"/>
                <w:szCs w:val="21"/>
                <w:highlight w:val="none"/>
              </w:rPr>
            </w:pPr>
            <w:r>
              <w:rPr>
                <w:rFonts w:hint="eastAsia" w:ascii="宋体" w:hAnsi="宋体" w:cs="宋体"/>
                <w:color w:val="auto"/>
                <w:szCs w:val="21"/>
                <w:highlight w:val="none"/>
              </w:rPr>
              <w:t>相邻板块垂直高差大于8mm</w:t>
            </w:r>
          </w:p>
        </w:tc>
      </w:tr>
      <w:tr w14:paraId="4828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4829299A">
            <w:pPr>
              <w:spacing w:line="340" w:lineRule="exact"/>
              <w:rPr>
                <w:rFonts w:ascii="宋体" w:hAnsi="宋体" w:cs="宋体"/>
                <w:color w:val="auto"/>
                <w:szCs w:val="21"/>
                <w:highlight w:val="none"/>
              </w:rPr>
            </w:pPr>
            <w:r>
              <w:rPr>
                <w:rFonts w:hint="eastAsia" w:ascii="宋体" w:hAnsi="宋体" w:cs="宋体"/>
                <w:color w:val="auto"/>
                <w:szCs w:val="21"/>
                <w:highlight w:val="none"/>
              </w:rPr>
              <w:t>9</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3F64C95B">
            <w:pPr>
              <w:spacing w:line="340" w:lineRule="exact"/>
              <w:rPr>
                <w:rFonts w:ascii="宋体" w:hAnsi="宋体" w:cs="宋体"/>
                <w:color w:val="auto"/>
                <w:szCs w:val="21"/>
                <w:highlight w:val="none"/>
              </w:rPr>
            </w:pPr>
            <w:r>
              <w:rPr>
                <w:rFonts w:hint="eastAsia" w:ascii="宋体" w:hAnsi="宋体" w:cs="宋体"/>
                <w:color w:val="auto"/>
                <w:szCs w:val="21"/>
                <w:highlight w:val="none"/>
              </w:rPr>
              <w:t>唧泥</w:t>
            </w:r>
          </w:p>
        </w:tc>
        <w:tc>
          <w:tcPr>
            <w:tcW w:w="6299" w:type="dxa"/>
            <w:tcBorders>
              <w:top w:val="single" w:color="auto" w:sz="4" w:space="0"/>
              <w:left w:val="single" w:color="auto" w:sz="4" w:space="0"/>
              <w:bottom w:val="single" w:color="auto" w:sz="4" w:space="0"/>
              <w:right w:val="single" w:color="auto" w:sz="4" w:space="0"/>
            </w:tcBorders>
            <w:noWrap w:val="0"/>
            <w:vAlign w:val="top"/>
          </w:tcPr>
          <w:p w14:paraId="12034292">
            <w:pPr>
              <w:spacing w:line="340" w:lineRule="exact"/>
              <w:rPr>
                <w:rFonts w:ascii="宋体" w:hAnsi="宋体" w:cs="宋体"/>
                <w:color w:val="auto"/>
                <w:szCs w:val="21"/>
                <w:highlight w:val="none"/>
              </w:rPr>
            </w:pPr>
            <w:r>
              <w:rPr>
                <w:rFonts w:hint="eastAsia" w:ascii="宋体" w:hAnsi="宋体" w:cs="宋体"/>
                <w:color w:val="auto"/>
                <w:szCs w:val="21"/>
                <w:highlight w:val="none"/>
              </w:rPr>
              <w:t>路面接缝处或裂缝处挤出泥浆,板底出现脱空</w:t>
            </w:r>
          </w:p>
        </w:tc>
      </w:tr>
      <w:tr w14:paraId="20DA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2C9A81D9">
            <w:pPr>
              <w:spacing w:line="340" w:lineRule="exact"/>
              <w:rPr>
                <w:rFonts w:ascii="宋体" w:hAnsi="宋体" w:cs="宋体"/>
                <w:color w:val="auto"/>
                <w:szCs w:val="21"/>
                <w:highlight w:val="none"/>
              </w:rPr>
            </w:pPr>
            <w:r>
              <w:rPr>
                <w:rFonts w:hint="eastAsia" w:ascii="宋体" w:hAnsi="宋体" w:cs="宋体"/>
                <w:color w:val="auto"/>
                <w:szCs w:val="21"/>
                <w:highlight w:val="none"/>
              </w:rPr>
              <w:t>10</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7F8D00FC">
            <w:pPr>
              <w:spacing w:line="340" w:lineRule="exact"/>
              <w:rPr>
                <w:rFonts w:ascii="宋体" w:hAnsi="宋体" w:cs="宋体"/>
                <w:color w:val="auto"/>
                <w:szCs w:val="21"/>
                <w:highlight w:val="none"/>
              </w:rPr>
            </w:pPr>
            <w:r>
              <w:rPr>
                <w:rFonts w:hint="eastAsia" w:ascii="宋体" w:hAnsi="宋体" w:cs="宋体"/>
                <w:color w:val="auto"/>
                <w:szCs w:val="21"/>
                <w:highlight w:val="none"/>
              </w:rPr>
              <w:t>裂缝</w:t>
            </w:r>
          </w:p>
        </w:tc>
        <w:tc>
          <w:tcPr>
            <w:tcW w:w="6299" w:type="dxa"/>
            <w:tcBorders>
              <w:top w:val="single" w:color="auto" w:sz="4" w:space="0"/>
              <w:left w:val="single" w:color="auto" w:sz="4" w:space="0"/>
              <w:bottom w:val="single" w:color="auto" w:sz="4" w:space="0"/>
              <w:right w:val="single" w:color="auto" w:sz="4" w:space="0"/>
            </w:tcBorders>
            <w:noWrap w:val="0"/>
            <w:vAlign w:val="top"/>
          </w:tcPr>
          <w:p w14:paraId="63BBC119">
            <w:pPr>
              <w:spacing w:line="340" w:lineRule="exact"/>
              <w:rPr>
                <w:rFonts w:ascii="宋体" w:hAnsi="宋体" w:cs="宋体"/>
                <w:color w:val="auto"/>
                <w:szCs w:val="21"/>
                <w:highlight w:val="none"/>
              </w:rPr>
            </w:pPr>
            <w:r>
              <w:rPr>
                <w:rFonts w:hint="eastAsia" w:ascii="宋体" w:hAnsi="宋体" w:cs="宋体"/>
                <w:color w:val="auto"/>
                <w:szCs w:val="21"/>
                <w:highlight w:val="none"/>
              </w:rPr>
              <w:t>长度超过1m的开裂</w:t>
            </w:r>
          </w:p>
        </w:tc>
      </w:tr>
      <w:tr w14:paraId="308C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4AD56828">
            <w:pPr>
              <w:spacing w:line="340" w:lineRule="exact"/>
              <w:rPr>
                <w:rFonts w:ascii="宋体" w:hAnsi="宋体" w:cs="宋体"/>
                <w:color w:val="auto"/>
                <w:szCs w:val="21"/>
                <w:highlight w:val="none"/>
              </w:rPr>
            </w:pPr>
            <w:r>
              <w:rPr>
                <w:rFonts w:hint="eastAsia" w:ascii="宋体" w:hAnsi="宋体" w:cs="宋体"/>
                <w:color w:val="auto"/>
                <w:szCs w:val="21"/>
                <w:highlight w:val="none"/>
              </w:rPr>
              <w:t>11</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03D97BB9">
            <w:pPr>
              <w:spacing w:line="340" w:lineRule="exact"/>
              <w:rPr>
                <w:rFonts w:ascii="宋体" w:hAnsi="宋体" w:cs="宋体"/>
                <w:color w:val="auto"/>
                <w:szCs w:val="21"/>
                <w:highlight w:val="none"/>
              </w:rPr>
            </w:pPr>
            <w:r>
              <w:rPr>
                <w:rFonts w:hint="eastAsia" w:ascii="宋体" w:hAnsi="宋体" w:cs="宋体"/>
                <w:color w:val="auto"/>
                <w:szCs w:val="21"/>
                <w:highlight w:val="none"/>
              </w:rPr>
              <w:t>缝料散失</w:t>
            </w:r>
          </w:p>
        </w:tc>
        <w:tc>
          <w:tcPr>
            <w:tcW w:w="6299" w:type="dxa"/>
            <w:tcBorders>
              <w:top w:val="single" w:color="auto" w:sz="4" w:space="0"/>
              <w:left w:val="single" w:color="auto" w:sz="4" w:space="0"/>
              <w:bottom w:val="single" w:color="auto" w:sz="4" w:space="0"/>
              <w:right w:val="single" w:color="auto" w:sz="4" w:space="0"/>
            </w:tcBorders>
            <w:noWrap w:val="0"/>
            <w:vAlign w:val="top"/>
          </w:tcPr>
          <w:p w14:paraId="4BDF553D">
            <w:pPr>
              <w:spacing w:line="340" w:lineRule="exact"/>
              <w:rPr>
                <w:rFonts w:ascii="宋体" w:hAnsi="宋体" w:cs="宋体"/>
                <w:color w:val="auto"/>
                <w:szCs w:val="21"/>
                <w:highlight w:val="none"/>
              </w:rPr>
            </w:pPr>
            <w:r>
              <w:rPr>
                <w:rFonts w:hint="eastAsia" w:ascii="宋体" w:hAnsi="宋体" w:cs="宋体"/>
                <w:color w:val="auto"/>
                <w:szCs w:val="21"/>
                <w:highlight w:val="none"/>
              </w:rPr>
              <w:t>接缝内填料散失,或填缝料与板边脱离、凹陷10mm以上</w:t>
            </w:r>
          </w:p>
        </w:tc>
      </w:tr>
    </w:tbl>
    <w:p w14:paraId="3A8B607B">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4.1.3  人行道(含沿石)、边坡、护坡、挡墙、土路肩</w:t>
      </w:r>
    </w:p>
    <w:tbl>
      <w:tblPr>
        <w:tblStyle w:val="30"/>
        <w:tblW w:w="91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1800"/>
        <w:gridCol w:w="6299"/>
      </w:tblGrid>
      <w:tr w14:paraId="50E7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51DC4D9D">
            <w:pPr>
              <w:spacing w:line="340" w:lineRule="exact"/>
              <w:rPr>
                <w:rFonts w:ascii="宋体" w:hAnsi="宋体" w:cs="宋体"/>
                <w:color w:val="auto"/>
                <w:szCs w:val="21"/>
                <w:highlight w:val="none"/>
              </w:rPr>
            </w:pPr>
            <w:r>
              <w:rPr>
                <w:rFonts w:hint="eastAsia" w:ascii="宋体" w:hAnsi="宋体" w:cs="宋体"/>
                <w:color w:val="auto"/>
                <w:szCs w:val="21"/>
                <w:highlight w:val="none"/>
              </w:rPr>
              <w:t>序号</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34FE9406">
            <w:pPr>
              <w:spacing w:line="340" w:lineRule="exact"/>
              <w:rPr>
                <w:rFonts w:ascii="宋体" w:hAnsi="宋体" w:cs="宋体"/>
                <w:color w:val="auto"/>
                <w:szCs w:val="21"/>
                <w:highlight w:val="none"/>
              </w:rPr>
            </w:pPr>
            <w:r>
              <w:rPr>
                <w:rFonts w:hint="eastAsia" w:ascii="宋体" w:hAnsi="宋体" w:cs="宋体"/>
                <w:color w:val="auto"/>
                <w:szCs w:val="21"/>
                <w:highlight w:val="none"/>
              </w:rPr>
              <w:t>病害名称</w:t>
            </w:r>
          </w:p>
        </w:tc>
        <w:tc>
          <w:tcPr>
            <w:tcW w:w="6299" w:type="dxa"/>
            <w:tcBorders>
              <w:top w:val="single" w:color="auto" w:sz="4" w:space="0"/>
              <w:left w:val="single" w:color="auto" w:sz="4" w:space="0"/>
              <w:bottom w:val="single" w:color="auto" w:sz="4" w:space="0"/>
              <w:right w:val="single" w:color="auto" w:sz="4" w:space="0"/>
            </w:tcBorders>
            <w:noWrap w:val="0"/>
            <w:vAlign w:val="top"/>
          </w:tcPr>
          <w:p w14:paraId="7BD6729D">
            <w:pPr>
              <w:spacing w:line="340" w:lineRule="exact"/>
              <w:rPr>
                <w:rFonts w:ascii="宋体" w:hAnsi="宋体" w:cs="宋体"/>
                <w:color w:val="auto"/>
                <w:szCs w:val="21"/>
                <w:highlight w:val="none"/>
              </w:rPr>
            </w:pPr>
            <w:r>
              <w:rPr>
                <w:rFonts w:hint="eastAsia" w:ascii="宋体" w:hAnsi="宋体" w:cs="宋体"/>
                <w:color w:val="auto"/>
                <w:szCs w:val="21"/>
                <w:highlight w:val="none"/>
              </w:rPr>
              <w:t>病害程度</w:t>
            </w:r>
          </w:p>
        </w:tc>
      </w:tr>
      <w:tr w14:paraId="118D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6612B067">
            <w:pPr>
              <w:spacing w:line="340" w:lineRule="exact"/>
              <w:rPr>
                <w:rFonts w:ascii="宋体" w:hAnsi="宋体" w:cs="宋体"/>
                <w:color w:val="auto"/>
                <w:szCs w:val="21"/>
                <w:highlight w:val="none"/>
              </w:rPr>
            </w:pPr>
            <w:r>
              <w:rPr>
                <w:rFonts w:hint="eastAsia" w:ascii="宋体" w:hAnsi="宋体" w:cs="宋体"/>
                <w:color w:val="auto"/>
                <w:szCs w:val="21"/>
                <w:highlight w:val="none"/>
              </w:rPr>
              <w:t>1</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423F44A5">
            <w:pPr>
              <w:spacing w:line="340" w:lineRule="exact"/>
              <w:rPr>
                <w:rFonts w:ascii="宋体" w:hAnsi="宋体" w:cs="宋体"/>
                <w:color w:val="auto"/>
                <w:szCs w:val="21"/>
                <w:highlight w:val="none"/>
              </w:rPr>
            </w:pPr>
            <w:r>
              <w:rPr>
                <w:rFonts w:hint="eastAsia" w:ascii="宋体" w:hAnsi="宋体" w:cs="宋体"/>
                <w:color w:val="auto"/>
                <w:szCs w:val="21"/>
                <w:highlight w:val="none"/>
              </w:rPr>
              <w:t>缺板</w:t>
            </w:r>
          </w:p>
        </w:tc>
        <w:tc>
          <w:tcPr>
            <w:tcW w:w="6299" w:type="dxa"/>
            <w:tcBorders>
              <w:top w:val="single" w:color="auto" w:sz="4" w:space="0"/>
              <w:left w:val="single" w:color="auto" w:sz="4" w:space="0"/>
              <w:bottom w:val="single" w:color="auto" w:sz="4" w:space="0"/>
              <w:right w:val="single" w:color="auto" w:sz="4" w:space="0"/>
            </w:tcBorders>
            <w:noWrap w:val="0"/>
            <w:vAlign w:val="top"/>
          </w:tcPr>
          <w:p w14:paraId="6E3DA3F4">
            <w:pPr>
              <w:spacing w:line="340" w:lineRule="exact"/>
              <w:rPr>
                <w:rFonts w:ascii="宋体" w:hAnsi="宋体" w:cs="宋体"/>
                <w:color w:val="auto"/>
                <w:szCs w:val="21"/>
                <w:highlight w:val="none"/>
              </w:rPr>
            </w:pPr>
            <w:r>
              <w:rPr>
                <w:rFonts w:hint="eastAsia" w:ascii="宋体" w:hAnsi="宋体" w:cs="宋体"/>
                <w:color w:val="auto"/>
                <w:szCs w:val="21"/>
                <w:highlight w:val="none"/>
              </w:rPr>
              <w:t>铺装板块缺失</w:t>
            </w:r>
          </w:p>
        </w:tc>
      </w:tr>
      <w:tr w14:paraId="37DD2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7D4A37F8">
            <w:pPr>
              <w:spacing w:line="340" w:lineRule="exact"/>
              <w:rPr>
                <w:rFonts w:ascii="宋体" w:hAnsi="宋体" w:cs="宋体"/>
                <w:color w:val="auto"/>
                <w:szCs w:val="21"/>
                <w:highlight w:val="none"/>
              </w:rPr>
            </w:pPr>
            <w:r>
              <w:rPr>
                <w:rFonts w:hint="eastAsia" w:ascii="宋体" w:hAnsi="宋体" w:cs="宋体"/>
                <w:color w:val="auto"/>
                <w:szCs w:val="21"/>
                <w:highlight w:val="none"/>
              </w:rPr>
              <w:t>2</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66BFE50D">
            <w:pPr>
              <w:spacing w:line="340" w:lineRule="exact"/>
              <w:rPr>
                <w:rFonts w:ascii="宋体" w:hAnsi="宋体" w:cs="宋体"/>
                <w:color w:val="auto"/>
                <w:szCs w:val="21"/>
                <w:highlight w:val="none"/>
              </w:rPr>
            </w:pPr>
            <w:r>
              <w:rPr>
                <w:rFonts w:hint="eastAsia" w:ascii="宋体" w:hAnsi="宋体" w:cs="宋体"/>
                <w:color w:val="auto"/>
                <w:szCs w:val="21"/>
                <w:highlight w:val="none"/>
              </w:rPr>
              <w:t>错台</w:t>
            </w:r>
          </w:p>
        </w:tc>
        <w:tc>
          <w:tcPr>
            <w:tcW w:w="6299" w:type="dxa"/>
            <w:tcBorders>
              <w:top w:val="single" w:color="auto" w:sz="4" w:space="0"/>
              <w:left w:val="single" w:color="auto" w:sz="4" w:space="0"/>
              <w:bottom w:val="single" w:color="auto" w:sz="4" w:space="0"/>
              <w:right w:val="single" w:color="auto" w:sz="4" w:space="0"/>
            </w:tcBorders>
            <w:noWrap w:val="0"/>
            <w:vAlign w:val="top"/>
          </w:tcPr>
          <w:p w14:paraId="2DC84513">
            <w:pPr>
              <w:spacing w:line="340" w:lineRule="exact"/>
              <w:rPr>
                <w:rFonts w:ascii="宋体" w:hAnsi="宋体" w:cs="宋体"/>
                <w:color w:val="auto"/>
                <w:szCs w:val="21"/>
                <w:highlight w:val="none"/>
              </w:rPr>
            </w:pPr>
            <w:r>
              <w:rPr>
                <w:rFonts w:hint="eastAsia" w:ascii="宋体" w:hAnsi="宋体" w:cs="宋体"/>
                <w:color w:val="auto"/>
                <w:szCs w:val="21"/>
                <w:highlight w:val="none"/>
              </w:rPr>
              <w:t>接缝或相邻板高差大于6mm</w:t>
            </w:r>
          </w:p>
        </w:tc>
      </w:tr>
      <w:tr w14:paraId="60F9C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5F8D619D">
            <w:pPr>
              <w:spacing w:line="340" w:lineRule="exact"/>
              <w:rPr>
                <w:rFonts w:ascii="宋体" w:hAnsi="宋体" w:cs="宋体"/>
                <w:color w:val="auto"/>
                <w:szCs w:val="21"/>
                <w:highlight w:val="none"/>
              </w:rPr>
            </w:pPr>
            <w:r>
              <w:rPr>
                <w:rFonts w:hint="eastAsia" w:ascii="宋体" w:hAnsi="宋体" w:cs="宋体"/>
                <w:color w:val="auto"/>
                <w:szCs w:val="21"/>
                <w:highlight w:val="none"/>
              </w:rPr>
              <w:t>3</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5F2B26A9">
            <w:pPr>
              <w:spacing w:line="340" w:lineRule="exact"/>
              <w:rPr>
                <w:rFonts w:ascii="宋体" w:hAnsi="宋体" w:cs="宋体"/>
                <w:color w:val="auto"/>
                <w:szCs w:val="21"/>
                <w:highlight w:val="none"/>
              </w:rPr>
            </w:pPr>
            <w:r>
              <w:rPr>
                <w:rFonts w:hint="eastAsia" w:ascii="宋体" w:hAnsi="宋体" w:cs="宋体"/>
                <w:color w:val="auto"/>
                <w:szCs w:val="21"/>
                <w:highlight w:val="none"/>
              </w:rPr>
              <w:t>沉陷</w:t>
            </w:r>
          </w:p>
        </w:tc>
        <w:tc>
          <w:tcPr>
            <w:tcW w:w="6299" w:type="dxa"/>
            <w:tcBorders>
              <w:top w:val="single" w:color="auto" w:sz="4" w:space="0"/>
              <w:left w:val="single" w:color="auto" w:sz="4" w:space="0"/>
              <w:bottom w:val="single" w:color="auto" w:sz="4" w:space="0"/>
              <w:right w:val="single" w:color="auto" w:sz="4" w:space="0"/>
            </w:tcBorders>
            <w:noWrap w:val="0"/>
            <w:vAlign w:val="top"/>
          </w:tcPr>
          <w:p w14:paraId="0B6B9411">
            <w:pPr>
              <w:spacing w:line="340" w:lineRule="exact"/>
              <w:rPr>
                <w:rFonts w:ascii="宋体" w:hAnsi="宋体" w:cs="宋体"/>
                <w:color w:val="auto"/>
                <w:szCs w:val="21"/>
                <w:highlight w:val="none"/>
              </w:rPr>
            </w:pPr>
            <w:r>
              <w:rPr>
                <w:rFonts w:hint="eastAsia" w:ascii="宋体" w:hAnsi="宋体" w:cs="宋体"/>
                <w:color w:val="auto"/>
                <w:szCs w:val="21"/>
                <w:highlight w:val="none"/>
              </w:rPr>
              <w:t>连续数块板低于邻块20mm以上,面积超过1㎡</w:t>
            </w:r>
          </w:p>
        </w:tc>
      </w:tr>
      <w:tr w14:paraId="7C10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5745EE7D">
            <w:pPr>
              <w:spacing w:line="340" w:lineRule="exact"/>
              <w:rPr>
                <w:rFonts w:ascii="宋体" w:hAnsi="宋体" w:cs="宋体"/>
                <w:color w:val="auto"/>
                <w:szCs w:val="21"/>
                <w:highlight w:val="none"/>
              </w:rPr>
            </w:pPr>
            <w:r>
              <w:rPr>
                <w:rFonts w:hint="eastAsia" w:ascii="宋体" w:hAnsi="宋体" w:cs="宋体"/>
                <w:color w:val="auto"/>
                <w:szCs w:val="21"/>
                <w:highlight w:val="none"/>
              </w:rPr>
              <w:t>4</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2750A648">
            <w:pPr>
              <w:spacing w:line="340" w:lineRule="exact"/>
              <w:rPr>
                <w:rFonts w:ascii="宋体" w:hAnsi="宋体" w:cs="宋体"/>
                <w:color w:val="auto"/>
                <w:szCs w:val="21"/>
                <w:highlight w:val="none"/>
              </w:rPr>
            </w:pPr>
            <w:r>
              <w:rPr>
                <w:rFonts w:hint="eastAsia" w:ascii="宋体" w:hAnsi="宋体" w:cs="宋体"/>
                <w:color w:val="auto"/>
                <w:szCs w:val="21"/>
                <w:highlight w:val="none"/>
              </w:rPr>
              <w:t>松动(散)</w:t>
            </w:r>
          </w:p>
        </w:tc>
        <w:tc>
          <w:tcPr>
            <w:tcW w:w="6299" w:type="dxa"/>
            <w:tcBorders>
              <w:top w:val="single" w:color="auto" w:sz="4" w:space="0"/>
              <w:left w:val="single" w:color="auto" w:sz="4" w:space="0"/>
              <w:bottom w:val="single" w:color="auto" w:sz="4" w:space="0"/>
              <w:right w:val="single" w:color="auto" w:sz="4" w:space="0"/>
            </w:tcBorders>
            <w:noWrap w:val="0"/>
            <w:vAlign w:val="top"/>
          </w:tcPr>
          <w:p w14:paraId="21793F92">
            <w:pPr>
              <w:spacing w:line="340" w:lineRule="exact"/>
              <w:rPr>
                <w:rFonts w:ascii="宋体" w:hAnsi="宋体" w:cs="宋体"/>
                <w:color w:val="auto"/>
                <w:szCs w:val="21"/>
                <w:highlight w:val="none"/>
              </w:rPr>
            </w:pPr>
            <w:r>
              <w:rPr>
                <w:rFonts w:hint="eastAsia" w:ascii="宋体" w:hAnsi="宋体" w:cs="宋体"/>
                <w:color w:val="auto"/>
                <w:szCs w:val="21"/>
                <w:highlight w:val="none"/>
              </w:rPr>
              <w:t>铺装块活动</w:t>
            </w:r>
          </w:p>
        </w:tc>
      </w:tr>
      <w:tr w14:paraId="42AF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760FB9B5">
            <w:pPr>
              <w:spacing w:line="340" w:lineRule="exact"/>
              <w:rPr>
                <w:rFonts w:ascii="宋体" w:hAnsi="宋体" w:cs="宋体"/>
                <w:color w:val="auto"/>
                <w:szCs w:val="21"/>
                <w:highlight w:val="none"/>
              </w:rPr>
            </w:pPr>
            <w:r>
              <w:rPr>
                <w:rFonts w:hint="eastAsia" w:ascii="宋体" w:hAnsi="宋体" w:cs="宋体"/>
                <w:color w:val="auto"/>
                <w:szCs w:val="21"/>
                <w:highlight w:val="none"/>
              </w:rPr>
              <w:t>5</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1645A9B2">
            <w:pPr>
              <w:spacing w:line="340" w:lineRule="exact"/>
              <w:rPr>
                <w:rFonts w:ascii="宋体" w:hAnsi="宋体" w:cs="宋体"/>
                <w:color w:val="auto"/>
                <w:szCs w:val="21"/>
                <w:highlight w:val="none"/>
              </w:rPr>
            </w:pPr>
            <w:r>
              <w:rPr>
                <w:rFonts w:hint="eastAsia" w:ascii="宋体" w:hAnsi="宋体" w:cs="宋体"/>
                <w:color w:val="auto"/>
                <w:szCs w:val="21"/>
                <w:highlight w:val="none"/>
              </w:rPr>
              <w:t>拱起</w:t>
            </w:r>
          </w:p>
        </w:tc>
        <w:tc>
          <w:tcPr>
            <w:tcW w:w="6299" w:type="dxa"/>
            <w:tcBorders>
              <w:top w:val="single" w:color="auto" w:sz="4" w:space="0"/>
              <w:left w:val="single" w:color="auto" w:sz="4" w:space="0"/>
              <w:bottom w:val="single" w:color="auto" w:sz="4" w:space="0"/>
              <w:right w:val="single" w:color="auto" w:sz="4" w:space="0"/>
            </w:tcBorders>
            <w:noWrap w:val="0"/>
            <w:vAlign w:val="top"/>
          </w:tcPr>
          <w:p w14:paraId="5ABE2E28">
            <w:pPr>
              <w:spacing w:line="340" w:lineRule="exact"/>
              <w:rPr>
                <w:rFonts w:ascii="宋体" w:hAnsi="宋体" w:cs="宋体"/>
                <w:color w:val="auto"/>
                <w:szCs w:val="21"/>
                <w:highlight w:val="none"/>
              </w:rPr>
            </w:pPr>
            <w:r>
              <w:rPr>
                <w:rFonts w:hint="eastAsia" w:ascii="宋体" w:hAnsi="宋体" w:cs="宋体"/>
                <w:color w:val="auto"/>
                <w:szCs w:val="21"/>
                <w:highlight w:val="none"/>
              </w:rPr>
              <w:t>多块板相对邻板向上突起,高低点之差大于30mm</w:t>
            </w:r>
          </w:p>
        </w:tc>
      </w:tr>
      <w:tr w14:paraId="08BA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62A3992E">
            <w:pPr>
              <w:spacing w:line="340" w:lineRule="exact"/>
              <w:rPr>
                <w:rFonts w:ascii="宋体" w:hAnsi="宋体" w:cs="宋体"/>
                <w:color w:val="auto"/>
                <w:szCs w:val="21"/>
                <w:highlight w:val="none"/>
              </w:rPr>
            </w:pPr>
            <w:r>
              <w:rPr>
                <w:rFonts w:hint="eastAsia" w:ascii="宋体" w:hAnsi="宋体" w:cs="宋体"/>
                <w:color w:val="auto"/>
                <w:szCs w:val="21"/>
                <w:highlight w:val="none"/>
              </w:rPr>
              <w:t>6</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2892C1E6">
            <w:pPr>
              <w:spacing w:line="340" w:lineRule="exact"/>
              <w:rPr>
                <w:rFonts w:ascii="宋体" w:hAnsi="宋体" w:cs="宋体"/>
                <w:color w:val="auto"/>
                <w:szCs w:val="21"/>
                <w:highlight w:val="none"/>
              </w:rPr>
            </w:pPr>
            <w:r>
              <w:rPr>
                <w:rFonts w:hint="eastAsia" w:ascii="宋体" w:hAnsi="宋体" w:cs="宋体"/>
                <w:color w:val="auto"/>
                <w:szCs w:val="21"/>
                <w:highlight w:val="none"/>
              </w:rPr>
              <w:t>井框高差</w:t>
            </w:r>
          </w:p>
        </w:tc>
        <w:tc>
          <w:tcPr>
            <w:tcW w:w="6299" w:type="dxa"/>
            <w:tcBorders>
              <w:top w:val="single" w:color="auto" w:sz="4" w:space="0"/>
              <w:left w:val="single" w:color="auto" w:sz="4" w:space="0"/>
              <w:bottom w:val="single" w:color="auto" w:sz="4" w:space="0"/>
              <w:right w:val="single" w:color="auto" w:sz="4" w:space="0"/>
            </w:tcBorders>
            <w:noWrap w:val="0"/>
            <w:vAlign w:val="top"/>
          </w:tcPr>
          <w:p w14:paraId="31A9F788">
            <w:pPr>
              <w:spacing w:line="340" w:lineRule="exact"/>
              <w:rPr>
                <w:rFonts w:ascii="宋体" w:hAnsi="宋体" w:cs="宋体"/>
                <w:color w:val="auto"/>
                <w:szCs w:val="21"/>
                <w:highlight w:val="none"/>
              </w:rPr>
            </w:pPr>
            <w:r>
              <w:rPr>
                <w:rFonts w:hint="eastAsia" w:ascii="宋体" w:hAnsi="宋体" w:cs="宋体"/>
                <w:color w:val="auto"/>
                <w:szCs w:val="21"/>
                <w:highlight w:val="none"/>
              </w:rPr>
              <w:t>高差大于10mm</w:t>
            </w:r>
          </w:p>
        </w:tc>
      </w:tr>
      <w:tr w14:paraId="0C6E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1C388A2B">
            <w:pPr>
              <w:spacing w:line="340" w:lineRule="exact"/>
              <w:rPr>
                <w:rFonts w:ascii="宋体" w:hAnsi="宋体" w:cs="宋体"/>
                <w:color w:val="auto"/>
                <w:szCs w:val="21"/>
                <w:highlight w:val="none"/>
              </w:rPr>
            </w:pPr>
            <w:r>
              <w:rPr>
                <w:rFonts w:hint="eastAsia" w:ascii="宋体" w:hAnsi="宋体" w:cs="宋体"/>
                <w:color w:val="auto"/>
                <w:szCs w:val="21"/>
                <w:highlight w:val="none"/>
              </w:rPr>
              <w:t>7</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62DF37A0">
            <w:pPr>
              <w:spacing w:line="340" w:lineRule="exact"/>
              <w:rPr>
                <w:rFonts w:ascii="宋体" w:hAnsi="宋体" w:cs="宋体"/>
                <w:color w:val="auto"/>
                <w:szCs w:val="21"/>
                <w:highlight w:val="none"/>
              </w:rPr>
            </w:pPr>
            <w:r>
              <w:rPr>
                <w:rFonts w:hint="eastAsia" w:ascii="宋体" w:hAnsi="宋体" w:cs="宋体"/>
                <w:color w:val="auto"/>
                <w:szCs w:val="21"/>
                <w:highlight w:val="none"/>
              </w:rPr>
              <w:t>沿石歪斜</w:t>
            </w:r>
          </w:p>
        </w:tc>
        <w:tc>
          <w:tcPr>
            <w:tcW w:w="6299" w:type="dxa"/>
            <w:tcBorders>
              <w:top w:val="single" w:color="auto" w:sz="4" w:space="0"/>
              <w:left w:val="single" w:color="auto" w:sz="4" w:space="0"/>
              <w:bottom w:val="single" w:color="auto" w:sz="4" w:space="0"/>
              <w:right w:val="single" w:color="auto" w:sz="4" w:space="0"/>
            </w:tcBorders>
            <w:noWrap w:val="0"/>
            <w:vAlign w:val="top"/>
          </w:tcPr>
          <w:p w14:paraId="555B641E">
            <w:pPr>
              <w:spacing w:line="340" w:lineRule="exact"/>
              <w:rPr>
                <w:rFonts w:ascii="宋体" w:hAnsi="宋体" w:cs="宋体"/>
                <w:color w:val="auto"/>
                <w:szCs w:val="21"/>
                <w:highlight w:val="none"/>
              </w:rPr>
            </w:pPr>
            <w:r>
              <w:rPr>
                <w:rFonts w:hint="eastAsia" w:ascii="宋体" w:hAnsi="宋体" w:cs="宋体"/>
                <w:color w:val="auto"/>
                <w:szCs w:val="21"/>
                <w:highlight w:val="none"/>
              </w:rPr>
              <w:t>上下差、左右差大于10mm或倾斜</w:t>
            </w:r>
          </w:p>
        </w:tc>
      </w:tr>
      <w:tr w14:paraId="78482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662A03E5">
            <w:pPr>
              <w:spacing w:line="340" w:lineRule="exact"/>
              <w:rPr>
                <w:rFonts w:ascii="宋体" w:hAnsi="宋体" w:cs="宋体"/>
                <w:color w:val="auto"/>
                <w:szCs w:val="21"/>
                <w:highlight w:val="none"/>
              </w:rPr>
            </w:pPr>
            <w:r>
              <w:rPr>
                <w:rFonts w:hint="eastAsia" w:ascii="宋体" w:hAnsi="宋体" w:cs="宋体"/>
                <w:color w:val="auto"/>
                <w:szCs w:val="21"/>
                <w:highlight w:val="none"/>
              </w:rPr>
              <w:t>8</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3B0F1854">
            <w:pPr>
              <w:spacing w:line="340" w:lineRule="exact"/>
              <w:rPr>
                <w:rFonts w:ascii="宋体" w:hAnsi="宋体" w:cs="宋体"/>
                <w:color w:val="auto"/>
                <w:szCs w:val="21"/>
                <w:highlight w:val="none"/>
              </w:rPr>
            </w:pPr>
            <w:r>
              <w:rPr>
                <w:rFonts w:hint="eastAsia" w:ascii="宋体" w:hAnsi="宋体" w:cs="宋体"/>
                <w:color w:val="auto"/>
                <w:szCs w:val="21"/>
                <w:highlight w:val="none"/>
              </w:rPr>
              <w:t>沿石缺失</w:t>
            </w:r>
          </w:p>
        </w:tc>
        <w:tc>
          <w:tcPr>
            <w:tcW w:w="6299" w:type="dxa"/>
            <w:tcBorders>
              <w:top w:val="single" w:color="auto" w:sz="4" w:space="0"/>
              <w:left w:val="single" w:color="auto" w:sz="4" w:space="0"/>
              <w:bottom w:val="single" w:color="auto" w:sz="4" w:space="0"/>
              <w:right w:val="single" w:color="auto" w:sz="4" w:space="0"/>
            </w:tcBorders>
            <w:noWrap w:val="0"/>
            <w:vAlign w:val="top"/>
          </w:tcPr>
          <w:p w14:paraId="069FD665">
            <w:pPr>
              <w:spacing w:line="340" w:lineRule="exact"/>
              <w:rPr>
                <w:rFonts w:ascii="宋体" w:hAnsi="宋体" w:cs="宋体"/>
                <w:color w:val="auto"/>
                <w:szCs w:val="21"/>
                <w:highlight w:val="none"/>
              </w:rPr>
            </w:pPr>
            <w:r>
              <w:rPr>
                <w:rFonts w:hint="eastAsia" w:ascii="宋体" w:hAnsi="宋体" w:cs="宋体"/>
                <w:color w:val="auto"/>
                <w:szCs w:val="21"/>
                <w:highlight w:val="none"/>
              </w:rPr>
              <w:t>沿石缺失未补</w:t>
            </w:r>
          </w:p>
        </w:tc>
      </w:tr>
      <w:tr w14:paraId="7250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766CC897">
            <w:pPr>
              <w:spacing w:line="340" w:lineRule="exact"/>
              <w:rPr>
                <w:rFonts w:ascii="宋体" w:hAnsi="宋体" w:cs="宋体"/>
                <w:color w:val="auto"/>
                <w:szCs w:val="21"/>
                <w:highlight w:val="none"/>
              </w:rPr>
            </w:pPr>
            <w:r>
              <w:rPr>
                <w:rFonts w:hint="eastAsia" w:ascii="宋体" w:hAnsi="宋体" w:cs="宋体"/>
                <w:color w:val="auto"/>
                <w:szCs w:val="21"/>
                <w:highlight w:val="none"/>
              </w:rPr>
              <w:t>9</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4037BE06">
            <w:pPr>
              <w:spacing w:line="340" w:lineRule="exact"/>
              <w:rPr>
                <w:rFonts w:ascii="宋体" w:hAnsi="宋体" w:cs="宋体"/>
                <w:color w:val="auto"/>
                <w:szCs w:val="21"/>
                <w:highlight w:val="none"/>
              </w:rPr>
            </w:pPr>
            <w:r>
              <w:rPr>
                <w:rFonts w:hint="eastAsia" w:ascii="宋体" w:hAnsi="宋体" w:cs="宋体"/>
                <w:color w:val="auto"/>
                <w:szCs w:val="21"/>
                <w:highlight w:val="none"/>
              </w:rPr>
              <w:t>杂草</w:t>
            </w:r>
          </w:p>
        </w:tc>
        <w:tc>
          <w:tcPr>
            <w:tcW w:w="6299" w:type="dxa"/>
            <w:tcBorders>
              <w:top w:val="single" w:color="auto" w:sz="4" w:space="0"/>
              <w:left w:val="single" w:color="auto" w:sz="4" w:space="0"/>
              <w:bottom w:val="single" w:color="auto" w:sz="4" w:space="0"/>
              <w:right w:val="single" w:color="auto" w:sz="4" w:space="0"/>
            </w:tcBorders>
            <w:noWrap w:val="0"/>
            <w:vAlign w:val="top"/>
          </w:tcPr>
          <w:p w14:paraId="792910C0">
            <w:pPr>
              <w:spacing w:line="340" w:lineRule="exact"/>
              <w:rPr>
                <w:rFonts w:ascii="宋体" w:hAnsi="宋体" w:cs="宋体"/>
                <w:color w:val="auto"/>
                <w:szCs w:val="21"/>
                <w:highlight w:val="none"/>
              </w:rPr>
            </w:pPr>
            <w:r>
              <w:rPr>
                <w:rFonts w:hint="eastAsia" w:ascii="宋体" w:hAnsi="宋体" w:cs="宋体"/>
                <w:color w:val="auto"/>
                <w:szCs w:val="21"/>
                <w:highlight w:val="none"/>
              </w:rPr>
              <w:t>板缝中出生的杂草等未清</w:t>
            </w:r>
          </w:p>
        </w:tc>
      </w:tr>
      <w:tr w14:paraId="4A109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170EAD09">
            <w:pPr>
              <w:spacing w:line="340" w:lineRule="exact"/>
              <w:rPr>
                <w:rFonts w:ascii="宋体" w:hAnsi="宋体" w:cs="宋体"/>
                <w:color w:val="auto"/>
                <w:szCs w:val="21"/>
                <w:highlight w:val="none"/>
              </w:rPr>
            </w:pPr>
            <w:r>
              <w:rPr>
                <w:rFonts w:hint="eastAsia" w:ascii="宋体" w:hAnsi="宋体" w:cs="宋体"/>
                <w:color w:val="auto"/>
                <w:szCs w:val="21"/>
                <w:highlight w:val="none"/>
              </w:rPr>
              <w:t>10</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5ED024D9">
            <w:pPr>
              <w:spacing w:line="340" w:lineRule="exact"/>
              <w:rPr>
                <w:rFonts w:ascii="宋体" w:hAnsi="宋体" w:cs="宋体"/>
                <w:color w:val="auto"/>
                <w:szCs w:val="21"/>
                <w:highlight w:val="none"/>
              </w:rPr>
            </w:pPr>
            <w:r>
              <w:rPr>
                <w:rFonts w:hint="eastAsia" w:ascii="宋体" w:hAnsi="宋体" w:cs="宋体"/>
                <w:color w:val="auto"/>
                <w:szCs w:val="21"/>
                <w:highlight w:val="none"/>
              </w:rPr>
              <w:t>坑洞</w:t>
            </w:r>
          </w:p>
        </w:tc>
        <w:tc>
          <w:tcPr>
            <w:tcW w:w="6299" w:type="dxa"/>
            <w:tcBorders>
              <w:top w:val="single" w:color="auto" w:sz="4" w:space="0"/>
              <w:left w:val="single" w:color="auto" w:sz="4" w:space="0"/>
              <w:bottom w:val="single" w:color="auto" w:sz="4" w:space="0"/>
              <w:right w:val="single" w:color="auto" w:sz="4" w:space="0"/>
            </w:tcBorders>
            <w:noWrap w:val="0"/>
            <w:vAlign w:val="top"/>
          </w:tcPr>
          <w:p w14:paraId="6352AC49">
            <w:pPr>
              <w:spacing w:line="340" w:lineRule="exact"/>
              <w:rPr>
                <w:rFonts w:ascii="宋体" w:hAnsi="宋体" w:cs="宋体"/>
                <w:color w:val="auto"/>
                <w:szCs w:val="21"/>
                <w:highlight w:val="none"/>
              </w:rPr>
            </w:pPr>
            <w:r>
              <w:rPr>
                <w:rFonts w:hint="eastAsia" w:ascii="宋体" w:hAnsi="宋体" w:cs="宋体"/>
                <w:color w:val="auto"/>
                <w:szCs w:val="21"/>
                <w:highlight w:val="none"/>
              </w:rPr>
              <w:t>破损深度大于20mm</w:t>
            </w:r>
          </w:p>
        </w:tc>
      </w:tr>
      <w:tr w14:paraId="5B374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0C4A97B0">
            <w:pPr>
              <w:spacing w:line="340" w:lineRule="exact"/>
              <w:rPr>
                <w:rFonts w:ascii="宋体" w:hAnsi="宋体" w:cs="宋体"/>
                <w:color w:val="auto"/>
                <w:szCs w:val="21"/>
                <w:highlight w:val="none"/>
              </w:rPr>
            </w:pPr>
            <w:r>
              <w:rPr>
                <w:rFonts w:hint="eastAsia" w:ascii="宋体" w:hAnsi="宋体" w:cs="宋体"/>
                <w:color w:val="auto"/>
                <w:szCs w:val="21"/>
                <w:highlight w:val="none"/>
              </w:rPr>
              <w:t>11</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45A44D42">
            <w:pPr>
              <w:spacing w:line="340" w:lineRule="exact"/>
              <w:rPr>
                <w:rFonts w:ascii="宋体" w:hAnsi="宋体" w:cs="宋体"/>
                <w:color w:val="auto"/>
                <w:szCs w:val="21"/>
                <w:highlight w:val="none"/>
              </w:rPr>
            </w:pPr>
            <w:r>
              <w:rPr>
                <w:rFonts w:hint="eastAsia" w:ascii="宋体" w:hAnsi="宋体" w:cs="宋体"/>
                <w:color w:val="auto"/>
                <w:szCs w:val="21"/>
                <w:highlight w:val="none"/>
              </w:rPr>
              <w:t>缘石坡道</w:t>
            </w:r>
          </w:p>
        </w:tc>
        <w:tc>
          <w:tcPr>
            <w:tcW w:w="6299" w:type="dxa"/>
            <w:tcBorders>
              <w:top w:val="single" w:color="auto" w:sz="4" w:space="0"/>
              <w:left w:val="single" w:color="auto" w:sz="4" w:space="0"/>
              <w:bottom w:val="single" w:color="auto" w:sz="4" w:space="0"/>
              <w:right w:val="single" w:color="auto" w:sz="4" w:space="0"/>
            </w:tcBorders>
            <w:noWrap w:val="0"/>
            <w:vAlign w:val="top"/>
          </w:tcPr>
          <w:p w14:paraId="1FED9411">
            <w:pPr>
              <w:spacing w:line="340" w:lineRule="exact"/>
              <w:rPr>
                <w:rFonts w:ascii="宋体" w:hAnsi="宋体" w:cs="宋体"/>
                <w:color w:val="auto"/>
                <w:szCs w:val="21"/>
                <w:highlight w:val="none"/>
              </w:rPr>
            </w:pPr>
            <w:r>
              <w:rPr>
                <w:rFonts w:hint="eastAsia" w:ascii="宋体" w:hAnsi="宋体" w:cs="宋体"/>
                <w:color w:val="auto"/>
                <w:szCs w:val="21"/>
                <w:highlight w:val="none"/>
              </w:rPr>
              <w:t>交叉路口、单位出口、广场入口等未设缘石坡道</w:t>
            </w:r>
          </w:p>
        </w:tc>
      </w:tr>
      <w:tr w14:paraId="5E7D6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722C0139">
            <w:pPr>
              <w:spacing w:line="340" w:lineRule="exact"/>
              <w:rPr>
                <w:rFonts w:ascii="宋体" w:hAnsi="宋体" w:cs="宋体"/>
                <w:color w:val="auto"/>
                <w:szCs w:val="21"/>
                <w:highlight w:val="none"/>
              </w:rPr>
            </w:pPr>
            <w:r>
              <w:rPr>
                <w:rFonts w:hint="eastAsia" w:ascii="宋体" w:hAnsi="宋体" w:cs="宋体"/>
                <w:color w:val="auto"/>
                <w:szCs w:val="21"/>
                <w:highlight w:val="none"/>
              </w:rPr>
              <w:t>12</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49C02723">
            <w:pPr>
              <w:spacing w:line="340" w:lineRule="exact"/>
              <w:rPr>
                <w:rFonts w:ascii="宋体" w:hAnsi="宋体" w:cs="宋体"/>
                <w:color w:val="auto"/>
                <w:szCs w:val="21"/>
                <w:highlight w:val="none"/>
              </w:rPr>
            </w:pPr>
            <w:r>
              <w:rPr>
                <w:rFonts w:hint="eastAsia" w:ascii="宋体" w:hAnsi="宋体" w:cs="宋体"/>
                <w:color w:val="auto"/>
                <w:szCs w:val="21"/>
                <w:highlight w:val="none"/>
              </w:rPr>
              <w:t>路肩不整</w:t>
            </w:r>
          </w:p>
        </w:tc>
        <w:tc>
          <w:tcPr>
            <w:tcW w:w="6299" w:type="dxa"/>
            <w:tcBorders>
              <w:top w:val="single" w:color="auto" w:sz="4" w:space="0"/>
              <w:left w:val="single" w:color="auto" w:sz="4" w:space="0"/>
              <w:bottom w:val="single" w:color="auto" w:sz="4" w:space="0"/>
              <w:right w:val="single" w:color="auto" w:sz="4" w:space="0"/>
            </w:tcBorders>
            <w:noWrap w:val="0"/>
            <w:vAlign w:val="top"/>
          </w:tcPr>
          <w:p w14:paraId="34A7F15A">
            <w:pPr>
              <w:spacing w:line="340" w:lineRule="exact"/>
              <w:rPr>
                <w:rFonts w:ascii="宋体" w:hAnsi="宋体" w:cs="宋体"/>
                <w:color w:val="auto"/>
                <w:szCs w:val="21"/>
                <w:highlight w:val="none"/>
              </w:rPr>
            </w:pPr>
            <w:r>
              <w:rPr>
                <w:rFonts w:hint="eastAsia" w:ascii="宋体" w:hAnsi="宋体" w:cs="宋体"/>
                <w:color w:val="auto"/>
                <w:szCs w:val="21"/>
                <w:highlight w:val="none"/>
              </w:rPr>
              <w:t>路肩与路面衔接不平顺,低于路面20mm以上(黑色硬化路肩低于10mm)或高于路面,横坡小于路面横坡,不平整、不密实影响横向排水,路肩外缘不顺适,宽度差大于0.2m以上</w:t>
            </w:r>
          </w:p>
        </w:tc>
      </w:tr>
      <w:tr w14:paraId="1BBF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357EF4A0">
            <w:pPr>
              <w:spacing w:line="340" w:lineRule="exact"/>
              <w:rPr>
                <w:rFonts w:ascii="宋体" w:hAnsi="宋体" w:cs="宋体"/>
                <w:color w:val="auto"/>
                <w:szCs w:val="21"/>
                <w:highlight w:val="none"/>
              </w:rPr>
            </w:pPr>
            <w:r>
              <w:rPr>
                <w:rFonts w:hint="eastAsia" w:ascii="宋体" w:hAnsi="宋体" w:cs="宋体"/>
                <w:color w:val="auto"/>
                <w:szCs w:val="21"/>
                <w:highlight w:val="none"/>
              </w:rPr>
              <w:t>13</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0B71D051">
            <w:pPr>
              <w:spacing w:line="340" w:lineRule="exact"/>
              <w:rPr>
                <w:rFonts w:ascii="宋体" w:hAnsi="宋体" w:cs="宋体"/>
                <w:color w:val="auto"/>
                <w:szCs w:val="21"/>
                <w:highlight w:val="none"/>
              </w:rPr>
            </w:pPr>
            <w:r>
              <w:rPr>
                <w:rFonts w:hint="eastAsia" w:ascii="宋体" w:hAnsi="宋体" w:cs="宋体"/>
                <w:color w:val="auto"/>
                <w:szCs w:val="21"/>
                <w:highlight w:val="none"/>
              </w:rPr>
              <w:t>边坡破损</w:t>
            </w:r>
          </w:p>
        </w:tc>
        <w:tc>
          <w:tcPr>
            <w:tcW w:w="6299" w:type="dxa"/>
            <w:tcBorders>
              <w:top w:val="single" w:color="auto" w:sz="4" w:space="0"/>
              <w:left w:val="single" w:color="auto" w:sz="4" w:space="0"/>
              <w:bottom w:val="single" w:color="auto" w:sz="4" w:space="0"/>
              <w:right w:val="single" w:color="auto" w:sz="4" w:space="0"/>
            </w:tcBorders>
            <w:noWrap w:val="0"/>
            <w:vAlign w:val="top"/>
          </w:tcPr>
          <w:p w14:paraId="60AC7351">
            <w:pPr>
              <w:spacing w:line="340" w:lineRule="exact"/>
              <w:rPr>
                <w:rFonts w:ascii="宋体" w:hAnsi="宋体" w:cs="宋体"/>
                <w:color w:val="auto"/>
                <w:szCs w:val="21"/>
                <w:highlight w:val="none"/>
              </w:rPr>
            </w:pPr>
            <w:r>
              <w:rPr>
                <w:rFonts w:hint="eastAsia" w:ascii="宋体" w:hAnsi="宋体" w:cs="宋体"/>
                <w:color w:val="auto"/>
                <w:szCs w:val="21"/>
                <w:highlight w:val="none"/>
              </w:rPr>
              <w:t>边坡塌方3</w:t>
            </w:r>
            <w:r>
              <w:rPr>
                <w:rFonts w:hint="eastAsia" w:ascii="宋体" w:hAnsi="宋体" w:cs="宋体"/>
                <w:color w:val="auto"/>
                <w:szCs w:val="21"/>
                <w:highlight w:val="none"/>
                <w:lang w:val="en-US" w:eastAsia="zh-CN"/>
              </w:rPr>
              <w:t>立方米</w:t>
            </w:r>
            <w:r>
              <w:rPr>
                <w:rFonts w:hint="eastAsia" w:ascii="宋体" w:hAnsi="宋体" w:cs="宋体"/>
                <w:color w:val="auto"/>
                <w:szCs w:val="21"/>
                <w:highlight w:val="none"/>
              </w:rPr>
              <w:t>以上,冲沟缺口宽0.3m,溜坡使边坡坡度陡于设计坡度</w:t>
            </w:r>
          </w:p>
        </w:tc>
      </w:tr>
      <w:tr w14:paraId="58ECC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0DB4EFA9">
            <w:pPr>
              <w:spacing w:line="340" w:lineRule="exact"/>
              <w:rPr>
                <w:rFonts w:ascii="宋体" w:hAnsi="宋体" w:cs="宋体"/>
                <w:color w:val="auto"/>
                <w:szCs w:val="21"/>
                <w:highlight w:val="none"/>
              </w:rPr>
            </w:pPr>
            <w:r>
              <w:rPr>
                <w:rFonts w:hint="eastAsia" w:ascii="宋体" w:hAnsi="宋体" w:cs="宋体"/>
                <w:color w:val="auto"/>
                <w:szCs w:val="21"/>
                <w:highlight w:val="none"/>
              </w:rPr>
              <w:t>14</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029C07F4">
            <w:pPr>
              <w:spacing w:line="340" w:lineRule="exact"/>
              <w:rPr>
                <w:rFonts w:ascii="宋体" w:hAnsi="宋体" w:cs="宋体"/>
                <w:color w:val="auto"/>
                <w:szCs w:val="21"/>
                <w:highlight w:val="none"/>
              </w:rPr>
            </w:pPr>
            <w:r>
              <w:rPr>
                <w:rFonts w:hint="eastAsia" w:ascii="宋体" w:hAnsi="宋体" w:cs="宋体"/>
                <w:color w:val="auto"/>
                <w:szCs w:val="21"/>
                <w:highlight w:val="none"/>
              </w:rPr>
              <w:t>构筑物损坏</w:t>
            </w:r>
          </w:p>
        </w:tc>
        <w:tc>
          <w:tcPr>
            <w:tcW w:w="6299" w:type="dxa"/>
            <w:tcBorders>
              <w:top w:val="single" w:color="auto" w:sz="4" w:space="0"/>
              <w:left w:val="single" w:color="auto" w:sz="4" w:space="0"/>
              <w:bottom w:val="single" w:color="auto" w:sz="4" w:space="0"/>
              <w:right w:val="single" w:color="auto" w:sz="4" w:space="0"/>
            </w:tcBorders>
            <w:noWrap w:val="0"/>
            <w:vAlign w:val="top"/>
          </w:tcPr>
          <w:p w14:paraId="2AE9C1E2">
            <w:pPr>
              <w:spacing w:line="340" w:lineRule="exact"/>
              <w:rPr>
                <w:rFonts w:ascii="宋体" w:hAnsi="宋体" w:cs="宋体"/>
                <w:color w:val="auto"/>
                <w:szCs w:val="21"/>
                <w:highlight w:val="none"/>
              </w:rPr>
            </w:pPr>
            <w:r>
              <w:rPr>
                <w:rFonts w:hint="eastAsia" w:ascii="宋体" w:hAnsi="宋体" w:cs="宋体"/>
                <w:color w:val="auto"/>
                <w:szCs w:val="21"/>
                <w:highlight w:val="none"/>
              </w:rPr>
              <w:t>圬工体断裂、沉陷、倾斜、局部塌陷、松动,较大面积勾缝脱落</w:t>
            </w:r>
          </w:p>
        </w:tc>
      </w:tr>
      <w:tr w14:paraId="6B54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1B26D3CB">
            <w:pPr>
              <w:spacing w:line="340" w:lineRule="exact"/>
              <w:rPr>
                <w:rFonts w:ascii="宋体" w:hAnsi="宋体" w:cs="宋体"/>
                <w:color w:val="auto"/>
                <w:szCs w:val="21"/>
                <w:highlight w:val="none"/>
              </w:rPr>
            </w:pPr>
            <w:r>
              <w:rPr>
                <w:rFonts w:hint="eastAsia" w:ascii="宋体" w:hAnsi="宋体" w:cs="宋体"/>
                <w:color w:val="auto"/>
                <w:szCs w:val="21"/>
                <w:highlight w:val="none"/>
              </w:rPr>
              <w:t>15</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506DC340">
            <w:pPr>
              <w:spacing w:line="340" w:lineRule="exact"/>
              <w:rPr>
                <w:rFonts w:ascii="宋体" w:hAnsi="宋体" w:cs="宋体"/>
                <w:color w:val="auto"/>
                <w:szCs w:val="21"/>
                <w:highlight w:val="none"/>
              </w:rPr>
            </w:pPr>
            <w:r>
              <w:rPr>
                <w:rFonts w:hint="eastAsia" w:ascii="宋体" w:hAnsi="宋体" w:cs="宋体"/>
                <w:color w:val="auto"/>
                <w:szCs w:val="21"/>
                <w:highlight w:val="none"/>
              </w:rPr>
              <w:t>淤塞</w:t>
            </w:r>
          </w:p>
        </w:tc>
        <w:tc>
          <w:tcPr>
            <w:tcW w:w="6299" w:type="dxa"/>
            <w:tcBorders>
              <w:top w:val="single" w:color="auto" w:sz="4" w:space="0"/>
              <w:left w:val="single" w:color="auto" w:sz="4" w:space="0"/>
              <w:bottom w:val="single" w:color="auto" w:sz="4" w:space="0"/>
              <w:right w:val="single" w:color="auto" w:sz="4" w:space="0"/>
            </w:tcBorders>
            <w:noWrap w:val="0"/>
            <w:vAlign w:val="top"/>
          </w:tcPr>
          <w:p w14:paraId="2912BC09">
            <w:pPr>
              <w:spacing w:line="340" w:lineRule="exact"/>
              <w:rPr>
                <w:rFonts w:ascii="宋体" w:hAnsi="宋体" w:cs="宋体"/>
                <w:color w:val="auto"/>
                <w:szCs w:val="21"/>
                <w:highlight w:val="none"/>
              </w:rPr>
            </w:pPr>
            <w:r>
              <w:rPr>
                <w:rFonts w:hint="eastAsia" w:ascii="宋体" w:hAnsi="宋体" w:cs="宋体"/>
                <w:color w:val="auto"/>
                <w:szCs w:val="21"/>
                <w:highlight w:val="none"/>
              </w:rPr>
              <w:t>边沟、截水沟、排水沟有淤积影响排水者,以及应有排水沟渠而缺少者</w:t>
            </w:r>
          </w:p>
        </w:tc>
      </w:tr>
    </w:tbl>
    <w:p w14:paraId="5C473651">
      <w:pPr>
        <w:spacing w:line="340" w:lineRule="exact"/>
        <w:ind w:left="561"/>
        <w:rPr>
          <w:rFonts w:ascii="宋体" w:hAnsi="宋体" w:cs="宋体"/>
          <w:color w:val="auto"/>
          <w:szCs w:val="21"/>
          <w:highlight w:val="none"/>
        </w:rPr>
      </w:pPr>
      <w:r>
        <w:rPr>
          <w:rFonts w:hint="eastAsia" w:ascii="宋体" w:hAnsi="宋体" w:cs="宋体"/>
          <w:color w:val="auto"/>
          <w:szCs w:val="21"/>
          <w:highlight w:val="none"/>
        </w:rPr>
        <w:t>4.1.4桥梁</w:t>
      </w:r>
      <w:r>
        <w:rPr>
          <w:rFonts w:hint="eastAsia" w:ascii="宋体" w:hAnsi="宋体" w:cs="宋体"/>
          <w:color w:val="auto"/>
          <w:szCs w:val="21"/>
          <w:highlight w:val="none"/>
        </w:rPr>
        <w:br w:type="textWrapping" w:clear="all"/>
      </w:r>
      <w:r>
        <w:rPr>
          <w:rFonts w:hint="eastAsia" w:ascii="宋体" w:hAnsi="宋体" w:cs="宋体"/>
          <w:color w:val="auto"/>
          <w:szCs w:val="21"/>
          <w:highlight w:val="none"/>
        </w:rPr>
        <w:t>1上部结构存在以下病害时需及时修复</w:t>
      </w:r>
    </w:p>
    <w:tbl>
      <w:tblPr>
        <w:tblStyle w:val="30"/>
        <w:tblW w:w="91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1800"/>
        <w:gridCol w:w="6311"/>
      </w:tblGrid>
      <w:tr w14:paraId="207E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1730168E">
            <w:pPr>
              <w:spacing w:line="340" w:lineRule="exact"/>
              <w:rPr>
                <w:rFonts w:ascii="宋体" w:hAnsi="宋体" w:cs="宋体"/>
                <w:color w:val="auto"/>
                <w:szCs w:val="21"/>
                <w:highlight w:val="none"/>
              </w:rPr>
            </w:pPr>
            <w:r>
              <w:rPr>
                <w:rFonts w:hint="eastAsia" w:ascii="宋体" w:hAnsi="宋体" w:cs="宋体"/>
                <w:color w:val="auto"/>
                <w:szCs w:val="21"/>
                <w:highlight w:val="none"/>
              </w:rPr>
              <w:t>序号</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723E8082">
            <w:pPr>
              <w:spacing w:line="340" w:lineRule="exact"/>
              <w:rPr>
                <w:rFonts w:ascii="宋体" w:hAnsi="宋体" w:cs="宋体"/>
                <w:color w:val="auto"/>
                <w:szCs w:val="21"/>
                <w:highlight w:val="none"/>
              </w:rPr>
            </w:pPr>
            <w:r>
              <w:rPr>
                <w:rFonts w:hint="eastAsia" w:ascii="宋体" w:hAnsi="宋体" w:cs="宋体"/>
                <w:color w:val="auto"/>
                <w:szCs w:val="21"/>
                <w:highlight w:val="none"/>
              </w:rPr>
              <w:t>病害部位</w:t>
            </w:r>
          </w:p>
        </w:tc>
        <w:tc>
          <w:tcPr>
            <w:tcW w:w="6311" w:type="dxa"/>
            <w:tcBorders>
              <w:top w:val="single" w:color="auto" w:sz="4" w:space="0"/>
              <w:left w:val="single" w:color="auto" w:sz="4" w:space="0"/>
              <w:bottom w:val="single" w:color="auto" w:sz="4" w:space="0"/>
              <w:right w:val="single" w:color="auto" w:sz="4" w:space="0"/>
            </w:tcBorders>
            <w:noWrap w:val="0"/>
            <w:vAlign w:val="top"/>
          </w:tcPr>
          <w:p w14:paraId="0D935495">
            <w:pPr>
              <w:spacing w:line="340" w:lineRule="exact"/>
              <w:rPr>
                <w:rFonts w:ascii="宋体" w:hAnsi="宋体" w:cs="宋体"/>
                <w:color w:val="auto"/>
                <w:szCs w:val="21"/>
                <w:highlight w:val="none"/>
              </w:rPr>
            </w:pPr>
            <w:r>
              <w:rPr>
                <w:rFonts w:hint="eastAsia" w:ascii="宋体" w:hAnsi="宋体" w:cs="宋体"/>
                <w:color w:val="auto"/>
                <w:szCs w:val="21"/>
                <w:highlight w:val="none"/>
              </w:rPr>
              <w:t>病害</w:t>
            </w:r>
          </w:p>
        </w:tc>
      </w:tr>
      <w:tr w14:paraId="44F1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0946ED89">
            <w:pPr>
              <w:spacing w:line="340" w:lineRule="exact"/>
              <w:rPr>
                <w:rFonts w:ascii="宋体" w:hAnsi="宋体" w:cs="宋体"/>
                <w:color w:val="auto"/>
                <w:szCs w:val="21"/>
                <w:highlight w:val="none"/>
              </w:rPr>
            </w:pPr>
            <w:r>
              <w:rPr>
                <w:rFonts w:hint="eastAsia" w:ascii="宋体" w:hAnsi="宋体" w:cs="宋体"/>
                <w:color w:val="auto"/>
                <w:szCs w:val="21"/>
                <w:highlight w:val="none"/>
              </w:rPr>
              <w:t>1</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3C735ACF">
            <w:pPr>
              <w:spacing w:line="340" w:lineRule="exact"/>
              <w:rPr>
                <w:rFonts w:ascii="宋体" w:hAnsi="宋体" w:cs="宋体"/>
                <w:color w:val="auto"/>
                <w:szCs w:val="21"/>
                <w:highlight w:val="none"/>
              </w:rPr>
            </w:pPr>
            <w:r>
              <w:rPr>
                <w:rFonts w:hint="eastAsia" w:ascii="宋体" w:hAnsi="宋体" w:cs="宋体"/>
                <w:color w:val="auto"/>
                <w:szCs w:val="21"/>
                <w:highlight w:val="none"/>
              </w:rPr>
              <w:t>砼梁板</w:t>
            </w:r>
          </w:p>
        </w:tc>
        <w:tc>
          <w:tcPr>
            <w:tcW w:w="6311" w:type="dxa"/>
            <w:tcBorders>
              <w:top w:val="single" w:color="auto" w:sz="4" w:space="0"/>
              <w:left w:val="single" w:color="auto" w:sz="4" w:space="0"/>
              <w:bottom w:val="single" w:color="auto" w:sz="4" w:space="0"/>
              <w:right w:val="single" w:color="auto" w:sz="4" w:space="0"/>
            </w:tcBorders>
            <w:noWrap w:val="0"/>
            <w:vAlign w:val="top"/>
          </w:tcPr>
          <w:p w14:paraId="605F76A3">
            <w:pPr>
              <w:spacing w:line="340" w:lineRule="exact"/>
              <w:rPr>
                <w:rFonts w:ascii="宋体" w:hAnsi="宋体" w:cs="宋体"/>
                <w:color w:val="auto"/>
                <w:szCs w:val="21"/>
                <w:highlight w:val="none"/>
              </w:rPr>
            </w:pPr>
            <w:r>
              <w:rPr>
                <w:rFonts w:hint="eastAsia" w:ascii="宋体" w:hAnsi="宋体" w:cs="宋体"/>
                <w:color w:val="auto"/>
                <w:szCs w:val="21"/>
                <w:highlight w:val="none"/>
              </w:rPr>
              <w:t>麻面、剥落、锈蚀、开裂、变形</w:t>
            </w:r>
          </w:p>
        </w:tc>
      </w:tr>
      <w:tr w14:paraId="754D8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2D7417B4">
            <w:pPr>
              <w:spacing w:line="340" w:lineRule="exact"/>
              <w:rPr>
                <w:rFonts w:ascii="宋体" w:hAnsi="宋体" w:cs="宋体"/>
                <w:color w:val="auto"/>
                <w:szCs w:val="21"/>
                <w:highlight w:val="none"/>
              </w:rPr>
            </w:pPr>
            <w:r>
              <w:rPr>
                <w:rFonts w:hint="eastAsia" w:ascii="宋体" w:hAnsi="宋体" w:cs="宋体"/>
                <w:color w:val="auto"/>
                <w:szCs w:val="21"/>
                <w:highlight w:val="none"/>
              </w:rPr>
              <w:t>2</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60016FE5">
            <w:pPr>
              <w:spacing w:line="340" w:lineRule="exact"/>
              <w:rPr>
                <w:rFonts w:ascii="宋体" w:hAnsi="宋体" w:cs="宋体"/>
                <w:color w:val="auto"/>
                <w:szCs w:val="21"/>
                <w:highlight w:val="none"/>
              </w:rPr>
            </w:pPr>
            <w:r>
              <w:rPr>
                <w:rFonts w:hint="eastAsia" w:ascii="宋体" w:hAnsi="宋体" w:cs="宋体"/>
                <w:color w:val="auto"/>
                <w:szCs w:val="21"/>
                <w:highlight w:val="none"/>
              </w:rPr>
              <w:t>钢梁</w:t>
            </w:r>
          </w:p>
        </w:tc>
        <w:tc>
          <w:tcPr>
            <w:tcW w:w="6311" w:type="dxa"/>
            <w:tcBorders>
              <w:top w:val="single" w:color="auto" w:sz="4" w:space="0"/>
              <w:left w:val="single" w:color="auto" w:sz="4" w:space="0"/>
              <w:bottom w:val="single" w:color="auto" w:sz="4" w:space="0"/>
              <w:right w:val="single" w:color="auto" w:sz="4" w:space="0"/>
            </w:tcBorders>
            <w:noWrap w:val="0"/>
            <w:vAlign w:val="top"/>
          </w:tcPr>
          <w:p w14:paraId="7C45E18A">
            <w:pPr>
              <w:spacing w:line="340" w:lineRule="exact"/>
              <w:rPr>
                <w:rFonts w:ascii="宋体" w:hAnsi="宋体" w:cs="宋体"/>
                <w:color w:val="auto"/>
                <w:szCs w:val="21"/>
                <w:highlight w:val="none"/>
              </w:rPr>
            </w:pPr>
            <w:r>
              <w:rPr>
                <w:rFonts w:hint="eastAsia" w:ascii="宋体" w:hAnsi="宋体" w:cs="宋体"/>
                <w:color w:val="auto"/>
                <w:szCs w:val="21"/>
                <w:highlight w:val="none"/>
              </w:rPr>
              <w:t>锈蚀、松动、开裂、变形</w:t>
            </w:r>
          </w:p>
        </w:tc>
      </w:tr>
      <w:tr w14:paraId="429A2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2F597A8A">
            <w:pPr>
              <w:spacing w:line="340" w:lineRule="exact"/>
              <w:rPr>
                <w:rFonts w:ascii="宋体" w:hAnsi="宋体" w:cs="宋体"/>
                <w:color w:val="auto"/>
                <w:szCs w:val="21"/>
                <w:highlight w:val="none"/>
              </w:rPr>
            </w:pPr>
            <w:r>
              <w:rPr>
                <w:rFonts w:hint="eastAsia" w:ascii="宋体" w:hAnsi="宋体" w:cs="宋体"/>
                <w:color w:val="auto"/>
                <w:szCs w:val="21"/>
                <w:highlight w:val="none"/>
              </w:rPr>
              <w:t>3</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34B21591">
            <w:pPr>
              <w:spacing w:line="340" w:lineRule="exact"/>
              <w:rPr>
                <w:rFonts w:ascii="宋体" w:hAnsi="宋体" w:cs="宋体"/>
                <w:color w:val="auto"/>
                <w:szCs w:val="21"/>
                <w:highlight w:val="none"/>
              </w:rPr>
            </w:pPr>
            <w:r>
              <w:rPr>
                <w:rFonts w:hint="eastAsia" w:ascii="宋体" w:hAnsi="宋体" w:cs="宋体"/>
                <w:color w:val="auto"/>
                <w:szCs w:val="21"/>
                <w:highlight w:val="none"/>
              </w:rPr>
              <w:t>砖、石、砼拱</w:t>
            </w:r>
          </w:p>
        </w:tc>
        <w:tc>
          <w:tcPr>
            <w:tcW w:w="6311" w:type="dxa"/>
            <w:tcBorders>
              <w:top w:val="single" w:color="auto" w:sz="4" w:space="0"/>
              <w:left w:val="single" w:color="auto" w:sz="4" w:space="0"/>
              <w:bottom w:val="single" w:color="auto" w:sz="4" w:space="0"/>
              <w:right w:val="single" w:color="auto" w:sz="4" w:space="0"/>
            </w:tcBorders>
            <w:noWrap w:val="0"/>
            <w:vAlign w:val="top"/>
          </w:tcPr>
          <w:p w14:paraId="53D1322A">
            <w:pPr>
              <w:spacing w:line="340" w:lineRule="exact"/>
              <w:rPr>
                <w:rFonts w:ascii="宋体" w:hAnsi="宋体" w:cs="宋体"/>
                <w:color w:val="auto"/>
                <w:szCs w:val="21"/>
                <w:highlight w:val="none"/>
              </w:rPr>
            </w:pPr>
            <w:r>
              <w:rPr>
                <w:rFonts w:hint="eastAsia" w:ascii="宋体" w:hAnsi="宋体" w:cs="宋体"/>
                <w:color w:val="auto"/>
                <w:szCs w:val="21"/>
                <w:highlight w:val="none"/>
              </w:rPr>
              <w:t>锈蚀、破损、开裂、变形</w:t>
            </w:r>
          </w:p>
        </w:tc>
      </w:tr>
      <w:tr w14:paraId="494D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71442C49">
            <w:pPr>
              <w:spacing w:line="340" w:lineRule="exact"/>
              <w:rPr>
                <w:rFonts w:ascii="宋体" w:hAnsi="宋体" w:cs="宋体"/>
                <w:color w:val="auto"/>
                <w:szCs w:val="21"/>
                <w:highlight w:val="none"/>
              </w:rPr>
            </w:pPr>
            <w:r>
              <w:rPr>
                <w:rFonts w:hint="eastAsia" w:ascii="宋体" w:hAnsi="宋体" w:cs="宋体"/>
                <w:color w:val="auto"/>
                <w:szCs w:val="21"/>
                <w:highlight w:val="none"/>
              </w:rPr>
              <w:t>4</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590CC297">
            <w:pPr>
              <w:spacing w:line="340" w:lineRule="exact"/>
              <w:rPr>
                <w:rFonts w:ascii="宋体" w:hAnsi="宋体" w:cs="宋体"/>
                <w:color w:val="auto"/>
                <w:szCs w:val="21"/>
                <w:highlight w:val="none"/>
              </w:rPr>
            </w:pPr>
            <w:r>
              <w:rPr>
                <w:rFonts w:hint="eastAsia" w:ascii="宋体" w:hAnsi="宋体" w:cs="宋体"/>
                <w:color w:val="auto"/>
                <w:szCs w:val="21"/>
                <w:highlight w:val="none"/>
              </w:rPr>
              <w:t>桥面铺装</w:t>
            </w:r>
          </w:p>
        </w:tc>
        <w:tc>
          <w:tcPr>
            <w:tcW w:w="6311" w:type="dxa"/>
            <w:tcBorders>
              <w:top w:val="single" w:color="auto" w:sz="4" w:space="0"/>
              <w:left w:val="single" w:color="auto" w:sz="4" w:space="0"/>
              <w:bottom w:val="single" w:color="auto" w:sz="4" w:space="0"/>
              <w:right w:val="single" w:color="auto" w:sz="4" w:space="0"/>
            </w:tcBorders>
            <w:noWrap w:val="0"/>
            <w:vAlign w:val="top"/>
          </w:tcPr>
          <w:p w14:paraId="726CF810">
            <w:pPr>
              <w:spacing w:line="340" w:lineRule="exact"/>
              <w:rPr>
                <w:rFonts w:ascii="宋体" w:hAnsi="宋体" w:cs="宋体"/>
                <w:color w:val="auto"/>
                <w:szCs w:val="21"/>
                <w:highlight w:val="none"/>
              </w:rPr>
            </w:pPr>
            <w:r>
              <w:rPr>
                <w:rFonts w:hint="eastAsia" w:ascii="宋体" w:hAnsi="宋体" w:cs="宋体"/>
                <w:color w:val="auto"/>
                <w:szCs w:val="21"/>
                <w:highlight w:val="none"/>
              </w:rPr>
              <w:t>裂缝、变形、破损、贯通缝、横坡不适</w:t>
            </w:r>
          </w:p>
        </w:tc>
      </w:tr>
      <w:tr w14:paraId="5D92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2A18B23F">
            <w:pPr>
              <w:spacing w:line="340" w:lineRule="exact"/>
              <w:rPr>
                <w:rFonts w:ascii="宋体" w:hAnsi="宋体" w:cs="宋体"/>
                <w:color w:val="auto"/>
                <w:szCs w:val="21"/>
                <w:highlight w:val="none"/>
              </w:rPr>
            </w:pPr>
            <w:r>
              <w:rPr>
                <w:rFonts w:hint="eastAsia" w:ascii="宋体" w:hAnsi="宋体" w:cs="宋体"/>
                <w:color w:val="auto"/>
                <w:szCs w:val="21"/>
                <w:highlight w:val="none"/>
              </w:rPr>
              <w:t>5</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4F9D37C2">
            <w:pPr>
              <w:spacing w:line="340" w:lineRule="exact"/>
              <w:rPr>
                <w:rFonts w:ascii="宋体" w:hAnsi="宋体" w:cs="宋体"/>
                <w:color w:val="auto"/>
                <w:szCs w:val="21"/>
                <w:highlight w:val="none"/>
              </w:rPr>
            </w:pPr>
            <w:r>
              <w:rPr>
                <w:rFonts w:hint="eastAsia" w:ascii="宋体" w:hAnsi="宋体" w:cs="宋体"/>
                <w:color w:val="auto"/>
                <w:szCs w:val="21"/>
                <w:highlight w:val="none"/>
              </w:rPr>
              <w:t>搭板</w:t>
            </w:r>
          </w:p>
        </w:tc>
        <w:tc>
          <w:tcPr>
            <w:tcW w:w="6311" w:type="dxa"/>
            <w:tcBorders>
              <w:top w:val="single" w:color="auto" w:sz="4" w:space="0"/>
              <w:left w:val="single" w:color="auto" w:sz="4" w:space="0"/>
              <w:bottom w:val="single" w:color="auto" w:sz="4" w:space="0"/>
              <w:right w:val="single" w:color="auto" w:sz="4" w:space="0"/>
            </w:tcBorders>
            <w:noWrap w:val="0"/>
            <w:vAlign w:val="top"/>
          </w:tcPr>
          <w:p w14:paraId="66AC8EDA">
            <w:pPr>
              <w:spacing w:line="340" w:lineRule="exact"/>
              <w:rPr>
                <w:rFonts w:ascii="宋体" w:hAnsi="宋体" w:cs="宋体"/>
                <w:color w:val="auto"/>
                <w:szCs w:val="21"/>
                <w:highlight w:val="none"/>
              </w:rPr>
            </w:pPr>
            <w:r>
              <w:rPr>
                <w:rFonts w:hint="eastAsia" w:ascii="宋体" w:hAnsi="宋体" w:cs="宋体"/>
                <w:color w:val="auto"/>
                <w:szCs w:val="21"/>
                <w:highlight w:val="none"/>
              </w:rPr>
              <w:t>不平顺、破损</w:t>
            </w:r>
          </w:p>
        </w:tc>
      </w:tr>
      <w:tr w14:paraId="36E1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0298ED72">
            <w:pPr>
              <w:spacing w:line="340" w:lineRule="exact"/>
              <w:rPr>
                <w:rFonts w:ascii="宋体" w:hAnsi="宋体" w:cs="宋体"/>
                <w:color w:val="auto"/>
                <w:szCs w:val="21"/>
                <w:highlight w:val="none"/>
              </w:rPr>
            </w:pPr>
            <w:r>
              <w:rPr>
                <w:rFonts w:hint="eastAsia" w:ascii="宋体" w:hAnsi="宋体" w:cs="宋体"/>
                <w:color w:val="auto"/>
                <w:szCs w:val="21"/>
                <w:highlight w:val="none"/>
              </w:rPr>
              <w:t>6</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2A87A6AF">
            <w:pPr>
              <w:spacing w:line="340" w:lineRule="exact"/>
              <w:rPr>
                <w:rFonts w:ascii="宋体" w:hAnsi="宋体" w:cs="宋体"/>
                <w:color w:val="auto"/>
                <w:szCs w:val="21"/>
                <w:highlight w:val="none"/>
              </w:rPr>
            </w:pPr>
            <w:r>
              <w:rPr>
                <w:rFonts w:hint="eastAsia" w:ascii="宋体" w:hAnsi="宋体" w:cs="宋体"/>
                <w:color w:val="auto"/>
                <w:szCs w:val="21"/>
                <w:highlight w:val="none"/>
              </w:rPr>
              <w:t>伸缩缝</w:t>
            </w:r>
          </w:p>
        </w:tc>
        <w:tc>
          <w:tcPr>
            <w:tcW w:w="6311" w:type="dxa"/>
            <w:tcBorders>
              <w:top w:val="single" w:color="auto" w:sz="4" w:space="0"/>
              <w:left w:val="single" w:color="auto" w:sz="4" w:space="0"/>
              <w:bottom w:val="single" w:color="auto" w:sz="4" w:space="0"/>
              <w:right w:val="single" w:color="auto" w:sz="4" w:space="0"/>
            </w:tcBorders>
            <w:noWrap w:val="0"/>
            <w:vAlign w:val="top"/>
          </w:tcPr>
          <w:p w14:paraId="22F90997">
            <w:pPr>
              <w:spacing w:line="340" w:lineRule="exact"/>
              <w:rPr>
                <w:rFonts w:ascii="宋体" w:hAnsi="宋体" w:cs="宋体"/>
                <w:color w:val="auto"/>
                <w:szCs w:val="21"/>
                <w:highlight w:val="none"/>
              </w:rPr>
            </w:pPr>
            <w:r>
              <w:rPr>
                <w:rFonts w:hint="eastAsia" w:ascii="宋体" w:hAnsi="宋体" w:cs="宋体"/>
                <w:color w:val="auto"/>
                <w:szCs w:val="21"/>
                <w:highlight w:val="none"/>
              </w:rPr>
              <w:t>松动、破损、漏水、高差、翘起、缝宽不适</w:t>
            </w:r>
          </w:p>
        </w:tc>
      </w:tr>
      <w:tr w14:paraId="50C89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786EAE0B">
            <w:pPr>
              <w:spacing w:line="340" w:lineRule="exact"/>
              <w:rPr>
                <w:rFonts w:ascii="宋体" w:hAnsi="宋体" w:cs="宋体"/>
                <w:color w:val="auto"/>
                <w:szCs w:val="21"/>
                <w:highlight w:val="none"/>
              </w:rPr>
            </w:pPr>
            <w:r>
              <w:rPr>
                <w:rFonts w:hint="eastAsia" w:ascii="宋体" w:hAnsi="宋体" w:cs="宋体"/>
                <w:color w:val="auto"/>
                <w:szCs w:val="21"/>
                <w:highlight w:val="none"/>
              </w:rPr>
              <w:t>7</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401979AE">
            <w:pPr>
              <w:spacing w:line="340" w:lineRule="exact"/>
              <w:rPr>
                <w:rFonts w:ascii="宋体" w:hAnsi="宋体" w:cs="宋体"/>
                <w:color w:val="auto"/>
                <w:szCs w:val="21"/>
                <w:highlight w:val="none"/>
              </w:rPr>
            </w:pPr>
            <w:r>
              <w:rPr>
                <w:rFonts w:hint="eastAsia" w:ascii="宋体" w:hAnsi="宋体" w:cs="宋体"/>
                <w:color w:val="auto"/>
                <w:szCs w:val="21"/>
                <w:highlight w:val="none"/>
              </w:rPr>
              <w:t>支座</w:t>
            </w:r>
          </w:p>
        </w:tc>
        <w:tc>
          <w:tcPr>
            <w:tcW w:w="6311" w:type="dxa"/>
            <w:tcBorders>
              <w:top w:val="single" w:color="auto" w:sz="4" w:space="0"/>
              <w:left w:val="single" w:color="auto" w:sz="4" w:space="0"/>
              <w:bottom w:val="single" w:color="auto" w:sz="4" w:space="0"/>
              <w:right w:val="single" w:color="auto" w:sz="4" w:space="0"/>
            </w:tcBorders>
            <w:noWrap w:val="0"/>
            <w:vAlign w:val="top"/>
          </w:tcPr>
          <w:p w14:paraId="3D4B40CA">
            <w:pPr>
              <w:spacing w:line="340" w:lineRule="exact"/>
              <w:rPr>
                <w:rFonts w:ascii="宋体" w:hAnsi="宋体" w:cs="宋体"/>
                <w:color w:val="auto"/>
                <w:szCs w:val="21"/>
                <w:highlight w:val="none"/>
              </w:rPr>
            </w:pPr>
            <w:r>
              <w:rPr>
                <w:rFonts w:hint="eastAsia" w:ascii="宋体" w:hAnsi="宋体" w:cs="宋体"/>
                <w:color w:val="auto"/>
                <w:szCs w:val="21"/>
                <w:highlight w:val="none"/>
              </w:rPr>
              <w:t>老化失效、破损、锈蚀、积水、污秽</w:t>
            </w:r>
          </w:p>
        </w:tc>
      </w:tr>
      <w:tr w14:paraId="0F1B1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145FBB80">
            <w:pPr>
              <w:spacing w:line="340" w:lineRule="exact"/>
              <w:rPr>
                <w:rFonts w:ascii="宋体" w:hAnsi="宋体" w:cs="宋体"/>
                <w:color w:val="auto"/>
                <w:szCs w:val="21"/>
                <w:highlight w:val="none"/>
              </w:rPr>
            </w:pPr>
            <w:r>
              <w:rPr>
                <w:rFonts w:hint="eastAsia" w:ascii="宋体" w:hAnsi="宋体" w:cs="宋体"/>
                <w:color w:val="auto"/>
                <w:szCs w:val="21"/>
                <w:highlight w:val="none"/>
              </w:rPr>
              <w:t>8</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6C189311">
            <w:pPr>
              <w:spacing w:line="340" w:lineRule="exact"/>
              <w:rPr>
                <w:rFonts w:ascii="宋体" w:hAnsi="宋体" w:cs="宋体"/>
                <w:color w:val="auto"/>
                <w:szCs w:val="21"/>
                <w:highlight w:val="none"/>
              </w:rPr>
            </w:pPr>
            <w:r>
              <w:rPr>
                <w:rFonts w:hint="eastAsia" w:ascii="宋体" w:hAnsi="宋体" w:cs="宋体"/>
                <w:color w:val="auto"/>
                <w:szCs w:val="21"/>
                <w:highlight w:val="none"/>
              </w:rPr>
              <w:t>人行道</w:t>
            </w:r>
          </w:p>
        </w:tc>
        <w:tc>
          <w:tcPr>
            <w:tcW w:w="6311" w:type="dxa"/>
            <w:tcBorders>
              <w:top w:val="single" w:color="auto" w:sz="4" w:space="0"/>
              <w:left w:val="single" w:color="auto" w:sz="4" w:space="0"/>
              <w:bottom w:val="single" w:color="auto" w:sz="4" w:space="0"/>
              <w:right w:val="single" w:color="auto" w:sz="4" w:space="0"/>
            </w:tcBorders>
            <w:noWrap w:val="0"/>
            <w:vAlign w:val="top"/>
          </w:tcPr>
          <w:p w14:paraId="02071315">
            <w:pPr>
              <w:spacing w:line="340" w:lineRule="exact"/>
              <w:rPr>
                <w:rFonts w:ascii="宋体" w:hAnsi="宋体" w:cs="宋体"/>
                <w:color w:val="auto"/>
                <w:szCs w:val="21"/>
                <w:highlight w:val="none"/>
              </w:rPr>
            </w:pPr>
            <w:r>
              <w:rPr>
                <w:rFonts w:hint="eastAsia" w:ascii="宋体" w:hAnsi="宋体" w:cs="宋体"/>
                <w:color w:val="auto"/>
                <w:szCs w:val="21"/>
                <w:highlight w:val="none"/>
              </w:rPr>
              <w:t>铺装下沉、变形、破损、缺失、盲道不贯通</w:t>
            </w:r>
          </w:p>
        </w:tc>
      </w:tr>
      <w:tr w14:paraId="29D8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5319B16D">
            <w:pPr>
              <w:spacing w:line="340" w:lineRule="exact"/>
              <w:rPr>
                <w:rFonts w:ascii="宋体" w:hAnsi="宋体" w:cs="宋体"/>
                <w:color w:val="auto"/>
                <w:szCs w:val="21"/>
                <w:highlight w:val="none"/>
              </w:rPr>
            </w:pPr>
            <w:r>
              <w:rPr>
                <w:rFonts w:hint="eastAsia" w:ascii="宋体" w:hAnsi="宋体" w:cs="宋体"/>
                <w:color w:val="auto"/>
                <w:szCs w:val="21"/>
                <w:highlight w:val="none"/>
              </w:rPr>
              <w:t>9</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0C8D48C9">
            <w:pPr>
              <w:spacing w:line="340" w:lineRule="exact"/>
              <w:rPr>
                <w:rFonts w:ascii="宋体" w:hAnsi="宋体" w:cs="宋体"/>
                <w:color w:val="auto"/>
                <w:szCs w:val="21"/>
                <w:highlight w:val="none"/>
              </w:rPr>
            </w:pPr>
            <w:r>
              <w:rPr>
                <w:rFonts w:hint="eastAsia" w:ascii="宋体" w:hAnsi="宋体" w:cs="宋体"/>
                <w:color w:val="auto"/>
                <w:szCs w:val="21"/>
                <w:highlight w:val="none"/>
              </w:rPr>
              <w:t>吊杆（拉索）</w:t>
            </w:r>
          </w:p>
        </w:tc>
        <w:tc>
          <w:tcPr>
            <w:tcW w:w="6311" w:type="dxa"/>
            <w:tcBorders>
              <w:top w:val="single" w:color="auto" w:sz="4" w:space="0"/>
              <w:left w:val="single" w:color="auto" w:sz="4" w:space="0"/>
              <w:bottom w:val="single" w:color="auto" w:sz="4" w:space="0"/>
              <w:right w:val="single" w:color="auto" w:sz="4" w:space="0"/>
            </w:tcBorders>
            <w:noWrap w:val="0"/>
            <w:vAlign w:val="top"/>
          </w:tcPr>
          <w:p w14:paraId="6D09424C">
            <w:pPr>
              <w:spacing w:line="340" w:lineRule="exact"/>
              <w:rPr>
                <w:rFonts w:ascii="宋体" w:hAnsi="宋体" w:cs="宋体"/>
                <w:color w:val="auto"/>
                <w:szCs w:val="21"/>
                <w:highlight w:val="none"/>
              </w:rPr>
            </w:pPr>
            <w:r>
              <w:rPr>
                <w:rFonts w:hint="eastAsia" w:ascii="宋体" w:hAnsi="宋体" w:cs="宋体"/>
                <w:color w:val="auto"/>
                <w:szCs w:val="21"/>
                <w:highlight w:val="none"/>
              </w:rPr>
              <w:t>PE开裂、破损、渗油、钢丝锈蚀、杆件变形</w:t>
            </w:r>
          </w:p>
        </w:tc>
      </w:tr>
      <w:tr w14:paraId="3A08D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2EB00187">
            <w:pPr>
              <w:spacing w:line="340" w:lineRule="exact"/>
              <w:rPr>
                <w:rFonts w:ascii="宋体" w:hAnsi="宋体" w:cs="宋体"/>
                <w:color w:val="auto"/>
                <w:szCs w:val="21"/>
                <w:highlight w:val="none"/>
              </w:rPr>
            </w:pPr>
            <w:r>
              <w:rPr>
                <w:rFonts w:hint="eastAsia" w:ascii="宋体" w:hAnsi="宋体" w:cs="宋体"/>
                <w:color w:val="auto"/>
                <w:szCs w:val="21"/>
                <w:highlight w:val="none"/>
              </w:rPr>
              <w:t>10</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6952D5E4">
            <w:pPr>
              <w:spacing w:line="340" w:lineRule="exact"/>
              <w:rPr>
                <w:rFonts w:ascii="宋体" w:hAnsi="宋体" w:cs="宋体"/>
                <w:color w:val="auto"/>
                <w:szCs w:val="21"/>
                <w:highlight w:val="none"/>
              </w:rPr>
            </w:pPr>
            <w:r>
              <w:rPr>
                <w:rFonts w:hint="eastAsia" w:ascii="宋体" w:hAnsi="宋体" w:cs="宋体"/>
                <w:color w:val="auto"/>
                <w:szCs w:val="21"/>
                <w:highlight w:val="none"/>
              </w:rPr>
              <w:t>防撞墙（栏）</w:t>
            </w:r>
          </w:p>
        </w:tc>
        <w:tc>
          <w:tcPr>
            <w:tcW w:w="6311" w:type="dxa"/>
            <w:tcBorders>
              <w:top w:val="single" w:color="auto" w:sz="4" w:space="0"/>
              <w:left w:val="single" w:color="auto" w:sz="4" w:space="0"/>
              <w:bottom w:val="single" w:color="auto" w:sz="4" w:space="0"/>
              <w:right w:val="single" w:color="auto" w:sz="4" w:space="0"/>
            </w:tcBorders>
            <w:noWrap w:val="0"/>
            <w:vAlign w:val="top"/>
          </w:tcPr>
          <w:p w14:paraId="2CA4CA64">
            <w:pPr>
              <w:spacing w:line="340" w:lineRule="exact"/>
              <w:rPr>
                <w:rFonts w:ascii="宋体" w:hAnsi="宋体" w:cs="宋体"/>
                <w:color w:val="auto"/>
                <w:szCs w:val="21"/>
                <w:highlight w:val="none"/>
              </w:rPr>
            </w:pPr>
            <w:r>
              <w:rPr>
                <w:rFonts w:hint="eastAsia" w:ascii="宋体" w:hAnsi="宋体" w:cs="宋体"/>
                <w:color w:val="auto"/>
                <w:szCs w:val="21"/>
                <w:highlight w:val="none"/>
              </w:rPr>
              <w:t>变形、开裂、破损、位移、松动</w:t>
            </w:r>
          </w:p>
        </w:tc>
      </w:tr>
      <w:tr w14:paraId="404D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40724D68">
            <w:pPr>
              <w:spacing w:line="340" w:lineRule="exact"/>
              <w:rPr>
                <w:rFonts w:ascii="宋体" w:hAnsi="宋体" w:cs="宋体"/>
                <w:color w:val="auto"/>
                <w:szCs w:val="21"/>
                <w:highlight w:val="none"/>
              </w:rPr>
            </w:pPr>
            <w:r>
              <w:rPr>
                <w:rFonts w:hint="eastAsia" w:ascii="宋体" w:hAnsi="宋体" w:cs="宋体"/>
                <w:color w:val="auto"/>
                <w:szCs w:val="21"/>
                <w:highlight w:val="none"/>
              </w:rPr>
              <w:t>11</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46C5433A">
            <w:pPr>
              <w:spacing w:line="340" w:lineRule="exact"/>
              <w:rPr>
                <w:rFonts w:ascii="宋体" w:hAnsi="宋体" w:cs="宋体"/>
                <w:color w:val="auto"/>
                <w:szCs w:val="21"/>
                <w:highlight w:val="none"/>
              </w:rPr>
            </w:pPr>
            <w:r>
              <w:rPr>
                <w:rFonts w:hint="eastAsia" w:ascii="宋体" w:hAnsi="宋体" w:cs="宋体"/>
                <w:color w:val="auto"/>
                <w:szCs w:val="21"/>
                <w:highlight w:val="none"/>
              </w:rPr>
              <w:t>声屏障</w:t>
            </w:r>
          </w:p>
        </w:tc>
        <w:tc>
          <w:tcPr>
            <w:tcW w:w="6311" w:type="dxa"/>
            <w:tcBorders>
              <w:top w:val="single" w:color="auto" w:sz="4" w:space="0"/>
              <w:left w:val="single" w:color="auto" w:sz="4" w:space="0"/>
              <w:bottom w:val="single" w:color="auto" w:sz="4" w:space="0"/>
              <w:right w:val="single" w:color="auto" w:sz="4" w:space="0"/>
            </w:tcBorders>
            <w:noWrap w:val="0"/>
            <w:vAlign w:val="top"/>
          </w:tcPr>
          <w:p w14:paraId="47C04155">
            <w:pPr>
              <w:spacing w:line="340" w:lineRule="exact"/>
              <w:rPr>
                <w:rFonts w:ascii="宋体" w:hAnsi="宋体" w:cs="宋体"/>
                <w:color w:val="auto"/>
                <w:szCs w:val="21"/>
                <w:highlight w:val="none"/>
              </w:rPr>
            </w:pPr>
            <w:r>
              <w:rPr>
                <w:rFonts w:hint="eastAsia" w:ascii="宋体" w:hAnsi="宋体" w:cs="宋体"/>
                <w:color w:val="auto"/>
                <w:szCs w:val="21"/>
                <w:highlight w:val="none"/>
              </w:rPr>
              <w:t>破损、变形、松动、缺失、开裂</w:t>
            </w:r>
          </w:p>
        </w:tc>
      </w:tr>
    </w:tbl>
    <w:p w14:paraId="6F00CF35">
      <w:pPr>
        <w:spacing w:line="340" w:lineRule="exact"/>
        <w:rPr>
          <w:rFonts w:hint="eastAsia" w:ascii="宋体" w:hAnsi="宋体" w:cs="宋体"/>
          <w:color w:val="auto"/>
          <w:szCs w:val="21"/>
          <w:highlight w:val="none"/>
        </w:rPr>
      </w:pPr>
    </w:p>
    <w:p w14:paraId="7040C44A">
      <w:pPr>
        <w:spacing w:line="340" w:lineRule="exact"/>
        <w:ind w:firstLine="420"/>
        <w:rPr>
          <w:rFonts w:hint="eastAsia" w:ascii="宋体" w:hAnsi="宋体" w:cs="宋体"/>
          <w:color w:val="auto"/>
          <w:szCs w:val="21"/>
          <w:highlight w:val="none"/>
        </w:rPr>
      </w:pPr>
    </w:p>
    <w:p w14:paraId="21993FBB">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2下部结构存在以下病害时需及时修复</w:t>
      </w:r>
    </w:p>
    <w:tbl>
      <w:tblPr>
        <w:tblStyle w:val="30"/>
        <w:tblW w:w="91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1800"/>
        <w:gridCol w:w="6349"/>
      </w:tblGrid>
      <w:tr w14:paraId="702BD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7973CF08">
            <w:pPr>
              <w:spacing w:line="340" w:lineRule="exact"/>
              <w:rPr>
                <w:rFonts w:ascii="宋体" w:hAnsi="宋体" w:cs="宋体"/>
                <w:color w:val="auto"/>
                <w:szCs w:val="21"/>
                <w:highlight w:val="none"/>
              </w:rPr>
            </w:pPr>
            <w:r>
              <w:rPr>
                <w:rFonts w:hint="eastAsia" w:ascii="宋体" w:hAnsi="宋体" w:cs="宋体"/>
                <w:color w:val="auto"/>
                <w:szCs w:val="21"/>
                <w:highlight w:val="none"/>
              </w:rPr>
              <w:t>序号</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085A2868">
            <w:pPr>
              <w:spacing w:line="340" w:lineRule="exact"/>
              <w:rPr>
                <w:rFonts w:ascii="宋体" w:hAnsi="宋体" w:cs="宋体"/>
                <w:color w:val="auto"/>
                <w:szCs w:val="21"/>
                <w:highlight w:val="none"/>
              </w:rPr>
            </w:pPr>
            <w:r>
              <w:rPr>
                <w:rFonts w:hint="eastAsia" w:ascii="宋体" w:hAnsi="宋体" w:cs="宋体"/>
                <w:color w:val="auto"/>
                <w:szCs w:val="21"/>
                <w:highlight w:val="none"/>
              </w:rPr>
              <w:t>病害部位</w:t>
            </w:r>
          </w:p>
        </w:tc>
        <w:tc>
          <w:tcPr>
            <w:tcW w:w="6349" w:type="dxa"/>
            <w:tcBorders>
              <w:top w:val="single" w:color="auto" w:sz="4" w:space="0"/>
              <w:left w:val="single" w:color="auto" w:sz="4" w:space="0"/>
              <w:bottom w:val="single" w:color="auto" w:sz="4" w:space="0"/>
              <w:right w:val="single" w:color="auto" w:sz="4" w:space="0"/>
            </w:tcBorders>
            <w:noWrap w:val="0"/>
            <w:vAlign w:val="top"/>
          </w:tcPr>
          <w:p w14:paraId="7F54B815">
            <w:pPr>
              <w:spacing w:line="340" w:lineRule="exact"/>
              <w:rPr>
                <w:rFonts w:ascii="宋体" w:hAnsi="宋体" w:cs="宋体"/>
                <w:color w:val="auto"/>
                <w:szCs w:val="21"/>
                <w:highlight w:val="none"/>
              </w:rPr>
            </w:pPr>
            <w:r>
              <w:rPr>
                <w:rFonts w:hint="eastAsia" w:ascii="宋体" w:hAnsi="宋体" w:cs="宋体"/>
                <w:color w:val="auto"/>
                <w:szCs w:val="21"/>
                <w:highlight w:val="none"/>
              </w:rPr>
              <w:t>病害</w:t>
            </w:r>
          </w:p>
        </w:tc>
      </w:tr>
      <w:tr w14:paraId="0A8C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7B7EFCCE">
            <w:pPr>
              <w:spacing w:line="340" w:lineRule="exact"/>
              <w:rPr>
                <w:rFonts w:ascii="宋体" w:hAnsi="宋体" w:cs="宋体"/>
                <w:color w:val="auto"/>
                <w:szCs w:val="21"/>
                <w:highlight w:val="none"/>
              </w:rPr>
            </w:pPr>
            <w:r>
              <w:rPr>
                <w:rFonts w:hint="eastAsia" w:ascii="宋体" w:hAnsi="宋体" w:cs="宋体"/>
                <w:color w:val="auto"/>
                <w:szCs w:val="21"/>
                <w:highlight w:val="none"/>
              </w:rPr>
              <w:t>1</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579C46A4">
            <w:pPr>
              <w:spacing w:line="340" w:lineRule="exact"/>
              <w:rPr>
                <w:rFonts w:ascii="宋体" w:hAnsi="宋体" w:cs="宋体"/>
                <w:color w:val="auto"/>
                <w:szCs w:val="21"/>
                <w:highlight w:val="none"/>
              </w:rPr>
            </w:pPr>
            <w:r>
              <w:rPr>
                <w:rFonts w:hint="eastAsia" w:ascii="宋体" w:hAnsi="宋体" w:cs="宋体"/>
                <w:color w:val="auto"/>
                <w:szCs w:val="21"/>
                <w:highlight w:val="none"/>
              </w:rPr>
              <w:t>墩、台、墙、柱</w:t>
            </w:r>
          </w:p>
        </w:tc>
        <w:tc>
          <w:tcPr>
            <w:tcW w:w="6349" w:type="dxa"/>
            <w:tcBorders>
              <w:top w:val="single" w:color="auto" w:sz="4" w:space="0"/>
              <w:left w:val="single" w:color="auto" w:sz="4" w:space="0"/>
              <w:bottom w:val="single" w:color="auto" w:sz="4" w:space="0"/>
              <w:right w:val="single" w:color="auto" w:sz="4" w:space="0"/>
            </w:tcBorders>
            <w:noWrap w:val="0"/>
            <w:vAlign w:val="top"/>
          </w:tcPr>
          <w:p w14:paraId="03EB6F81">
            <w:pPr>
              <w:spacing w:line="340" w:lineRule="exact"/>
              <w:rPr>
                <w:rFonts w:ascii="宋体" w:hAnsi="宋体" w:cs="宋体"/>
                <w:color w:val="auto"/>
                <w:szCs w:val="21"/>
                <w:highlight w:val="none"/>
              </w:rPr>
            </w:pPr>
            <w:r>
              <w:rPr>
                <w:rFonts w:hint="eastAsia" w:ascii="宋体" w:hAnsi="宋体" w:cs="宋体"/>
                <w:color w:val="auto"/>
                <w:szCs w:val="21"/>
                <w:highlight w:val="none"/>
              </w:rPr>
              <w:t>剥落、锈蚀、破损、开裂、变形、渗水、杂草</w:t>
            </w:r>
          </w:p>
        </w:tc>
      </w:tr>
      <w:tr w14:paraId="0A83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0907E063">
            <w:pPr>
              <w:spacing w:line="340" w:lineRule="exact"/>
              <w:rPr>
                <w:rFonts w:ascii="宋体" w:hAnsi="宋体" w:cs="宋体"/>
                <w:color w:val="auto"/>
                <w:szCs w:val="21"/>
                <w:highlight w:val="none"/>
              </w:rPr>
            </w:pPr>
            <w:r>
              <w:rPr>
                <w:rFonts w:hint="eastAsia" w:ascii="宋体" w:hAnsi="宋体" w:cs="宋体"/>
                <w:color w:val="auto"/>
                <w:szCs w:val="21"/>
                <w:highlight w:val="none"/>
              </w:rPr>
              <w:t>2</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3169DA9B">
            <w:pPr>
              <w:spacing w:line="340" w:lineRule="exact"/>
              <w:rPr>
                <w:rFonts w:ascii="宋体" w:hAnsi="宋体" w:cs="宋体"/>
                <w:color w:val="auto"/>
                <w:szCs w:val="21"/>
                <w:highlight w:val="none"/>
              </w:rPr>
            </w:pPr>
            <w:r>
              <w:rPr>
                <w:rFonts w:hint="eastAsia" w:ascii="宋体" w:hAnsi="宋体" w:cs="宋体"/>
                <w:color w:val="auto"/>
                <w:szCs w:val="21"/>
                <w:highlight w:val="none"/>
              </w:rPr>
              <w:t>基础</w:t>
            </w:r>
          </w:p>
        </w:tc>
        <w:tc>
          <w:tcPr>
            <w:tcW w:w="6349" w:type="dxa"/>
            <w:tcBorders>
              <w:top w:val="single" w:color="auto" w:sz="4" w:space="0"/>
              <w:left w:val="single" w:color="auto" w:sz="4" w:space="0"/>
              <w:bottom w:val="single" w:color="auto" w:sz="4" w:space="0"/>
              <w:right w:val="single" w:color="auto" w:sz="4" w:space="0"/>
            </w:tcBorders>
            <w:noWrap w:val="0"/>
            <w:vAlign w:val="top"/>
          </w:tcPr>
          <w:p w14:paraId="0F886D2D">
            <w:pPr>
              <w:spacing w:line="340" w:lineRule="exact"/>
              <w:rPr>
                <w:rFonts w:ascii="宋体" w:hAnsi="宋体" w:cs="宋体"/>
                <w:color w:val="auto"/>
                <w:szCs w:val="21"/>
                <w:highlight w:val="none"/>
              </w:rPr>
            </w:pPr>
            <w:r>
              <w:rPr>
                <w:rFonts w:hint="eastAsia" w:ascii="宋体" w:hAnsi="宋体" w:cs="宋体"/>
                <w:color w:val="auto"/>
                <w:szCs w:val="21"/>
                <w:highlight w:val="none"/>
              </w:rPr>
              <w:t>冲毁、冻胀、下沉、位移、开裂、掏空</w:t>
            </w:r>
          </w:p>
        </w:tc>
      </w:tr>
      <w:tr w14:paraId="513C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39557DFD">
            <w:pPr>
              <w:spacing w:line="340" w:lineRule="exact"/>
              <w:rPr>
                <w:rFonts w:ascii="宋体" w:hAnsi="宋体" w:cs="宋体"/>
                <w:color w:val="auto"/>
                <w:szCs w:val="21"/>
                <w:highlight w:val="none"/>
              </w:rPr>
            </w:pPr>
            <w:r>
              <w:rPr>
                <w:rFonts w:hint="eastAsia" w:ascii="宋体" w:hAnsi="宋体" w:cs="宋体"/>
                <w:color w:val="auto"/>
                <w:szCs w:val="21"/>
                <w:highlight w:val="none"/>
              </w:rPr>
              <w:t>3</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2F88BDF1">
            <w:pPr>
              <w:spacing w:line="340" w:lineRule="exact"/>
              <w:rPr>
                <w:rFonts w:ascii="宋体" w:hAnsi="宋体" w:cs="宋体"/>
                <w:color w:val="auto"/>
                <w:szCs w:val="21"/>
                <w:highlight w:val="none"/>
              </w:rPr>
            </w:pPr>
            <w:r>
              <w:rPr>
                <w:rFonts w:hint="eastAsia" w:ascii="宋体" w:hAnsi="宋体" w:cs="宋体"/>
                <w:color w:val="auto"/>
                <w:szCs w:val="21"/>
                <w:highlight w:val="none"/>
              </w:rPr>
              <w:t>支座垫石</w:t>
            </w:r>
          </w:p>
        </w:tc>
        <w:tc>
          <w:tcPr>
            <w:tcW w:w="6349" w:type="dxa"/>
            <w:tcBorders>
              <w:top w:val="single" w:color="auto" w:sz="4" w:space="0"/>
              <w:left w:val="single" w:color="auto" w:sz="4" w:space="0"/>
              <w:bottom w:val="single" w:color="auto" w:sz="4" w:space="0"/>
              <w:right w:val="single" w:color="auto" w:sz="4" w:space="0"/>
            </w:tcBorders>
            <w:noWrap w:val="0"/>
            <w:vAlign w:val="top"/>
          </w:tcPr>
          <w:p w14:paraId="2D683BB2">
            <w:pPr>
              <w:spacing w:line="340" w:lineRule="exact"/>
              <w:rPr>
                <w:rFonts w:ascii="宋体" w:hAnsi="宋体" w:cs="宋体"/>
                <w:color w:val="auto"/>
                <w:szCs w:val="21"/>
                <w:highlight w:val="none"/>
              </w:rPr>
            </w:pPr>
            <w:r>
              <w:rPr>
                <w:rFonts w:hint="eastAsia" w:ascii="宋体" w:hAnsi="宋体" w:cs="宋体"/>
                <w:color w:val="auto"/>
                <w:szCs w:val="21"/>
                <w:highlight w:val="none"/>
              </w:rPr>
              <w:t>开裂、破损、变形</w:t>
            </w:r>
          </w:p>
        </w:tc>
      </w:tr>
      <w:tr w14:paraId="19BEE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3209429A">
            <w:pPr>
              <w:spacing w:line="340" w:lineRule="exact"/>
              <w:rPr>
                <w:rFonts w:ascii="宋体" w:hAnsi="宋体" w:cs="宋体"/>
                <w:color w:val="auto"/>
                <w:szCs w:val="21"/>
                <w:highlight w:val="none"/>
              </w:rPr>
            </w:pPr>
            <w:r>
              <w:rPr>
                <w:rFonts w:hint="eastAsia" w:ascii="宋体" w:hAnsi="宋体" w:cs="宋体"/>
                <w:color w:val="auto"/>
                <w:szCs w:val="21"/>
                <w:highlight w:val="none"/>
              </w:rPr>
              <w:t>4</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7B9AC898">
            <w:pPr>
              <w:spacing w:line="340" w:lineRule="exact"/>
              <w:rPr>
                <w:rFonts w:ascii="宋体" w:hAnsi="宋体" w:cs="宋体"/>
                <w:color w:val="auto"/>
                <w:szCs w:val="21"/>
                <w:highlight w:val="none"/>
              </w:rPr>
            </w:pPr>
            <w:r>
              <w:rPr>
                <w:rFonts w:hint="eastAsia" w:ascii="宋体" w:hAnsi="宋体" w:cs="宋体"/>
                <w:color w:val="auto"/>
                <w:szCs w:val="21"/>
                <w:highlight w:val="none"/>
              </w:rPr>
              <w:t>挡块</w:t>
            </w:r>
          </w:p>
        </w:tc>
        <w:tc>
          <w:tcPr>
            <w:tcW w:w="6349" w:type="dxa"/>
            <w:tcBorders>
              <w:top w:val="single" w:color="auto" w:sz="4" w:space="0"/>
              <w:left w:val="single" w:color="auto" w:sz="4" w:space="0"/>
              <w:bottom w:val="single" w:color="auto" w:sz="4" w:space="0"/>
              <w:right w:val="single" w:color="auto" w:sz="4" w:space="0"/>
            </w:tcBorders>
            <w:noWrap w:val="0"/>
            <w:vAlign w:val="top"/>
          </w:tcPr>
          <w:p w14:paraId="610BC2E4">
            <w:pPr>
              <w:spacing w:line="340" w:lineRule="exact"/>
              <w:rPr>
                <w:rFonts w:ascii="宋体" w:hAnsi="宋体" w:cs="宋体"/>
                <w:color w:val="auto"/>
                <w:szCs w:val="21"/>
                <w:highlight w:val="none"/>
              </w:rPr>
            </w:pPr>
            <w:r>
              <w:rPr>
                <w:rFonts w:hint="eastAsia" w:ascii="宋体" w:hAnsi="宋体" w:cs="宋体"/>
                <w:color w:val="auto"/>
                <w:szCs w:val="21"/>
                <w:highlight w:val="none"/>
              </w:rPr>
              <w:t>开裂、破损、变形、露筋</w:t>
            </w:r>
          </w:p>
        </w:tc>
      </w:tr>
      <w:tr w14:paraId="095B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3247C6AE">
            <w:pPr>
              <w:spacing w:line="340" w:lineRule="exact"/>
              <w:rPr>
                <w:rFonts w:ascii="宋体" w:hAnsi="宋体" w:cs="宋体"/>
                <w:color w:val="auto"/>
                <w:szCs w:val="21"/>
                <w:highlight w:val="none"/>
              </w:rPr>
            </w:pPr>
            <w:r>
              <w:rPr>
                <w:rFonts w:hint="eastAsia" w:ascii="宋体" w:hAnsi="宋体" w:cs="宋体"/>
                <w:color w:val="auto"/>
                <w:szCs w:val="21"/>
                <w:highlight w:val="none"/>
              </w:rPr>
              <w:t>5</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471F2F84">
            <w:pPr>
              <w:spacing w:line="340" w:lineRule="exact"/>
              <w:rPr>
                <w:rFonts w:ascii="宋体" w:hAnsi="宋体" w:cs="宋体"/>
                <w:color w:val="auto"/>
                <w:szCs w:val="21"/>
                <w:highlight w:val="none"/>
              </w:rPr>
            </w:pPr>
            <w:r>
              <w:rPr>
                <w:rFonts w:hint="eastAsia" w:ascii="宋体" w:hAnsi="宋体" w:cs="宋体"/>
                <w:color w:val="auto"/>
                <w:szCs w:val="21"/>
                <w:highlight w:val="none"/>
              </w:rPr>
              <w:t>防落梁</w:t>
            </w:r>
          </w:p>
        </w:tc>
        <w:tc>
          <w:tcPr>
            <w:tcW w:w="6349" w:type="dxa"/>
            <w:tcBorders>
              <w:top w:val="single" w:color="auto" w:sz="4" w:space="0"/>
              <w:left w:val="single" w:color="auto" w:sz="4" w:space="0"/>
              <w:bottom w:val="single" w:color="auto" w:sz="4" w:space="0"/>
              <w:right w:val="single" w:color="auto" w:sz="4" w:space="0"/>
            </w:tcBorders>
            <w:noWrap w:val="0"/>
            <w:vAlign w:val="top"/>
          </w:tcPr>
          <w:p w14:paraId="7C7CE98B">
            <w:pPr>
              <w:spacing w:line="340" w:lineRule="exact"/>
              <w:rPr>
                <w:rFonts w:ascii="宋体" w:hAnsi="宋体" w:cs="宋体"/>
                <w:color w:val="auto"/>
                <w:szCs w:val="21"/>
                <w:highlight w:val="none"/>
              </w:rPr>
            </w:pPr>
            <w:r>
              <w:rPr>
                <w:rFonts w:hint="eastAsia" w:ascii="宋体" w:hAnsi="宋体" w:cs="宋体"/>
                <w:color w:val="auto"/>
                <w:szCs w:val="21"/>
                <w:highlight w:val="none"/>
              </w:rPr>
              <w:t>开裂、破损、变形、露筋</w:t>
            </w:r>
          </w:p>
        </w:tc>
      </w:tr>
    </w:tbl>
    <w:p w14:paraId="7E829A12">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3附属构筑物存在以下病害时需及时修复</w:t>
      </w:r>
    </w:p>
    <w:tbl>
      <w:tblPr>
        <w:tblStyle w:val="30"/>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1800"/>
        <w:gridCol w:w="6374"/>
      </w:tblGrid>
      <w:tr w14:paraId="79B8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18A12CA3">
            <w:pPr>
              <w:spacing w:line="340" w:lineRule="exact"/>
              <w:rPr>
                <w:rFonts w:ascii="宋体" w:hAnsi="宋体" w:cs="宋体"/>
                <w:color w:val="auto"/>
                <w:szCs w:val="21"/>
                <w:highlight w:val="none"/>
              </w:rPr>
            </w:pPr>
            <w:r>
              <w:rPr>
                <w:rFonts w:hint="eastAsia" w:ascii="宋体" w:hAnsi="宋体" w:cs="宋体"/>
                <w:color w:val="auto"/>
                <w:szCs w:val="21"/>
                <w:highlight w:val="none"/>
              </w:rPr>
              <w:t>序号</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23F63222">
            <w:pPr>
              <w:spacing w:line="340" w:lineRule="exact"/>
              <w:rPr>
                <w:rFonts w:ascii="宋体" w:hAnsi="宋体" w:cs="宋体"/>
                <w:color w:val="auto"/>
                <w:szCs w:val="21"/>
                <w:highlight w:val="none"/>
              </w:rPr>
            </w:pPr>
            <w:r>
              <w:rPr>
                <w:rFonts w:hint="eastAsia" w:ascii="宋体" w:hAnsi="宋体" w:cs="宋体"/>
                <w:color w:val="auto"/>
                <w:szCs w:val="21"/>
                <w:highlight w:val="none"/>
              </w:rPr>
              <w:t>病害部位</w:t>
            </w:r>
          </w:p>
        </w:tc>
        <w:tc>
          <w:tcPr>
            <w:tcW w:w="6374" w:type="dxa"/>
            <w:tcBorders>
              <w:top w:val="single" w:color="auto" w:sz="4" w:space="0"/>
              <w:left w:val="single" w:color="auto" w:sz="4" w:space="0"/>
              <w:bottom w:val="single" w:color="auto" w:sz="4" w:space="0"/>
              <w:right w:val="single" w:color="auto" w:sz="4" w:space="0"/>
            </w:tcBorders>
            <w:noWrap w:val="0"/>
            <w:vAlign w:val="top"/>
          </w:tcPr>
          <w:p w14:paraId="4700CE53">
            <w:pPr>
              <w:spacing w:line="340" w:lineRule="exact"/>
              <w:rPr>
                <w:rFonts w:ascii="宋体" w:hAnsi="宋体" w:cs="宋体"/>
                <w:color w:val="auto"/>
                <w:szCs w:val="21"/>
                <w:highlight w:val="none"/>
              </w:rPr>
            </w:pPr>
            <w:r>
              <w:rPr>
                <w:rFonts w:hint="eastAsia" w:ascii="宋体" w:hAnsi="宋体" w:cs="宋体"/>
                <w:color w:val="auto"/>
                <w:szCs w:val="21"/>
                <w:highlight w:val="none"/>
              </w:rPr>
              <w:t>病害</w:t>
            </w:r>
          </w:p>
        </w:tc>
      </w:tr>
      <w:tr w14:paraId="7EF2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3D843AA4">
            <w:pPr>
              <w:spacing w:line="340" w:lineRule="exact"/>
              <w:rPr>
                <w:rFonts w:ascii="宋体" w:hAnsi="宋体" w:cs="宋体"/>
                <w:color w:val="auto"/>
                <w:szCs w:val="21"/>
                <w:highlight w:val="none"/>
              </w:rPr>
            </w:pPr>
            <w:r>
              <w:rPr>
                <w:rFonts w:hint="eastAsia" w:ascii="宋体" w:hAnsi="宋体" w:cs="宋体"/>
                <w:color w:val="auto"/>
                <w:szCs w:val="21"/>
                <w:highlight w:val="none"/>
              </w:rPr>
              <w:t>1</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4420DF3F">
            <w:pPr>
              <w:spacing w:line="340" w:lineRule="exact"/>
              <w:rPr>
                <w:rFonts w:ascii="宋体" w:hAnsi="宋体" w:cs="宋体"/>
                <w:color w:val="auto"/>
                <w:szCs w:val="21"/>
                <w:highlight w:val="none"/>
              </w:rPr>
            </w:pPr>
            <w:r>
              <w:rPr>
                <w:rFonts w:hint="eastAsia" w:ascii="宋体" w:hAnsi="宋体" w:cs="宋体"/>
                <w:color w:val="auto"/>
                <w:szCs w:val="21"/>
                <w:highlight w:val="none"/>
              </w:rPr>
              <w:t>栏杆</w:t>
            </w:r>
          </w:p>
        </w:tc>
        <w:tc>
          <w:tcPr>
            <w:tcW w:w="6374" w:type="dxa"/>
            <w:tcBorders>
              <w:top w:val="single" w:color="auto" w:sz="4" w:space="0"/>
              <w:left w:val="single" w:color="auto" w:sz="4" w:space="0"/>
              <w:bottom w:val="single" w:color="auto" w:sz="4" w:space="0"/>
              <w:right w:val="single" w:color="auto" w:sz="4" w:space="0"/>
            </w:tcBorders>
            <w:noWrap w:val="0"/>
            <w:vAlign w:val="top"/>
          </w:tcPr>
          <w:p w14:paraId="47BA6168">
            <w:pPr>
              <w:spacing w:line="340" w:lineRule="exact"/>
              <w:rPr>
                <w:rFonts w:ascii="宋体" w:hAnsi="宋体" w:cs="宋体"/>
                <w:color w:val="auto"/>
                <w:szCs w:val="21"/>
                <w:highlight w:val="none"/>
              </w:rPr>
            </w:pPr>
            <w:r>
              <w:rPr>
                <w:rFonts w:hint="eastAsia" w:ascii="宋体" w:hAnsi="宋体" w:cs="宋体"/>
                <w:color w:val="auto"/>
                <w:szCs w:val="21"/>
                <w:highlight w:val="none"/>
              </w:rPr>
              <w:t>剥落、锈蚀、破损、开裂、松动、变形、缺失</w:t>
            </w:r>
          </w:p>
        </w:tc>
      </w:tr>
      <w:tr w14:paraId="520B3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1CD6EB6E">
            <w:pPr>
              <w:spacing w:line="340" w:lineRule="exact"/>
              <w:rPr>
                <w:rFonts w:ascii="宋体" w:hAnsi="宋体" w:cs="宋体"/>
                <w:color w:val="auto"/>
                <w:szCs w:val="21"/>
                <w:highlight w:val="none"/>
              </w:rPr>
            </w:pPr>
            <w:r>
              <w:rPr>
                <w:rFonts w:hint="eastAsia" w:ascii="宋体" w:hAnsi="宋体" w:cs="宋体"/>
                <w:color w:val="auto"/>
                <w:szCs w:val="21"/>
                <w:highlight w:val="none"/>
              </w:rPr>
              <w:t>2</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19DA94EA">
            <w:pPr>
              <w:spacing w:line="340" w:lineRule="exact"/>
              <w:rPr>
                <w:rFonts w:ascii="宋体" w:hAnsi="宋体" w:cs="宋体"/>
                <w:color w:val="auto"/>
                <w:szCs w:val="21"/>
                <w:highlight w:val="none"/>
              </w:rPr>
            </w:pPr>
            <w:r>
              <w:rPr>
                <w:rFonts w:hint="eastAsia" w:ascii="宋体" w:hAnsi="宋体" w:cs="宋体"/>
                <w:color w:val="auto"/>
                <w:szCs w:val="21"/>
                <w:highlight w:val="none"/>
              </w:rPr>
              <w:t>排水系统</w:t>
            </w:r>
          </w:p>
        </w:tc>
        <w:tc>
          <w:tcPr>
            <w:tcW w:w="6374" w:type="dxa"/>
            <w:tcBorders>
              <w:top w:val="single" w:color="auto" w:sz="4" w:space="0"/>
              <w:left w:val="single" w:color="auto" w:sz="4" w:space="0"/>
              <w:bottom w:val="single" w:color="auto" w:sz="4" w:space="0"/>
              <w:right w:val="single" w:color="auto" w:sz="4" w:space="0"/>
            </w:tcBorders>
            <w:noWrap w:val="0"/>
            <w:vAlign w:val="top"/>
          </w:tcPr>
          <w:p w14:paraId="243B7545">
            <w:pPr>
              <w:spacing w:line="340" w:lineRule="exact"/>
              <w:rPr>
                <w:rFonts w:ascii="宋体" w:hAnsi="宋体" w:cs="宋体"/>
                <w:color w:val="auto"/>
                <w:szCs w:val="21"/>
                <w:highlight w:val="none"/>
              </w:rPr>
            </w:pPr>
            <w:r>
              <w:rPr>
                <w:rFonts w:hint="eastAsia" w:ascii="宋体" w:hAnsi="宋体" w:cs="宋体"/>
                <w:color w:val="auto"/>
                <w:szCs w:val="21"/>
                <w:highlight w:val="none"/>
              </w:rPr>
              <w:t>破损、堵塞、缺失、积水</w:t>
            </w:r>
          </w:p>
        </w:tc>
      </w:tr>
      <w:tr w14:paraId="53FCA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7DD83344">
            <w:pPr>
              <w:spacing w:line="340" w:lineRule="exact"/>
              <w:rPr>
                <w:rFonts w:ascii="宋体" w:hAnsi="宋体" w:cs="宋体"/>
                <w:color w:val="auto"/>
                <w:szCs w:val="21"/>
                <w:highlight w:val="none"/>
              </w:rPr>
            </w:pPr>
            <w:r>
              <w:rPr>
                <w:rFonts w:hint="eastAsia" w:ascii="宋体" w:hAnsi="宋体" w:cs="宋体"/>
                <w:color w:val="auto"/>
                <w:szCs w:val="21"/>
                <w:highlight w:val="none"/>
              </w:rPr>
              <w:t>3</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5C7F0EDC">
            <w:pPr>
              <w:spacing w:line="340" w:lineRule="exact"/>
              <w:rPr>
                <w:rFonts w:ascii="宋体" w:hAnsi="宋体" w:cs="宋体"/>
                <w:color w:val="auto"/>
                <w:szCs w:val="21"/>
                <w:highlight w:val="none"/>
              </w:rPr>
            </w:pPr>
            <w:r>
              <w:rPr>
                <w:rFonts w:hint="eastAsia" w:ascii="宋体" w:hAnsi="宋体" w:cs="宋体"/>
                <w:color w:val="auto"/>
                <w:szCs w:val="21"/>
                <w:highlight w:val="none"/>
              </w:rPr>
              <w:t>挡墙、翼墙、护墙</w:t>
            </w:r>
          </w:p>
        </w:tc>
        <w:tc>
          <w:tcPr>
            <w:tcW w:w="6374" w:type="dxa"/>
            <w:tcBorders>
              <w:top w:val="single" w:color="auto" w:sz="4" w:space="0"/>
              <w:left w:val="single" w:color="auto" w:sz="4" w:space="0"/>
              <w:bottom w:val="single" w:color="auto" w:sz="4" w:space="0"/>
              <w:right w:val="single" w:color="auto" w:sz="4" w:space="0"/>
            </w:tcBorders>
            <w:noWrap w:val="0"/>
            <w:vAlign w:val="top"/>
          </w:tcPr>
          <w:p w14:paraId="4AA63891">
            <w:pPr>
              <w:spacing w:line="340" w:lineRule="exact"/>
              <w:rPr>
                <w:rFonts w:ascii="宋体" w:hAnsi="宋体" w:cs="宋体"/>
                <w:color w:val="auto"/>
                <w:szCs w:val="21"/>
                <w:highlight w:val="none"/>
              </w:rPr>
            </w:pPr>
            <w:r>
              <w:rPr>
                <w:rFonts w:hint="eastAsia" w:ascii="宋体" w:hAnsi="宋体" w:cs="宋体"/>
                <w:color w:val="auto"/>
                <w:szCs w:val="21"/>
                <w:highlight w:val="none"/>
              </w:rPr>
              <w:t>污秽、沉陷、破损、开裂、变形、杂草</w:t>
            </w:r>
          </w:p>
        </w:tc>
      </w:tr>
      <w:tr w14:paraId="1EA9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4E4294E0">
            <w:pPr>
              <w:spacing w:line="340" w:lineRule="exact"/>
              <w:rPr>
                <w:rFonts w:ascii="宋体" w:hAnsi="宋体" w:cs="宋体"/>
                <w:color w:val="auto"/>
                <w:szCs w:val="21"/>
                <w:highlight w:val="none"/>
              </w:rPr>
            </w:pPr>
            <w:r>
              <w:rPr>
                <w:rFonts w:hint="eastAsia" w:ascii="宋体" w:hAnsi="宋体" w:cs="宋体"/>
                <w:color w:val="auto"/>
                <w:szCs w:val="21"/>
                <w:highlight w:val="none"/>
              </w:rPr>
              <w:t>4</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08BB60EA">
            <w:pPr>
              <w:spacing w:line="340" w:lineRule="exact"/>
              <w:rPr>
                <w:rFonts w:ascii="宋体" w:hAnsi="宋体" w:cs="宋体"/>
                <w:color w:val="auto"/>
                <w:szCs w:val="21"/>
                <w:highlight w:val="none"/>
              </w:rPr>
            </w:pPr>
            <w:r>
              <w:rPr>
                <w:rFonts w:hint="eastAsia" w:ascii="宋体" w:hAnsi="宋体" w:cs="宋体"/>
                <w:color w:val="auto"/>
                <w:szCs w:val="21"/>
                <w:highlight w:val="none"/>
              </w:rPr>
              <w:t>锥坡</w:t>
            </w:r>
          </w:p>
        </w:tc>
        <w:tc>
          <w:tcPr>
            <w:tcW w:w="6374" w:type="dxa"/>
            <w:tcBorders>
              <w:top w:val="single" w:color="auto" w:sz="4" w:space="0"/>
              <w:left w:val="single" w:color="auto" w:sz="4" w:space="0"/>
              <w:bottom w:val="single" w:color="auto" w:sz="4" w:space="0"/>
              <w:right w:val="single" w:color="auto" w:sz="4" w:space="0"/>
            </w:tcBorders>
            <w:noWrap w:val="0"/>
            <w:vAlign w:val="top"/>
          </w:tcPr>
          <w:p w14:paraId="2A2C1E33">
            <w:pPr>
              <w:spacing w:line="340" w:lineRule="exact"/>
              <w:rPr>
                <w:rFonts w:ascii="宋体" w:hAnsi="宋体" w:cs="宋体"/>
                <w:color w:val="auto"/>
                <w:szCs w:val="21"/>
                <w:highlight w:val="none"/>
              </w:rPr>
            </w:pPr>
            <w:r>
              <w:rPr>
                <w:rFonts w:hint="eastAsia" w:ascii="宋体" w:hAnsi="宋体" w:cs="宋体"/>
                <w:color w:val="auto"/>
                <w:szCs w:val="21"/>
                <w:highlight w:val="none"/>
              </w:rPr>
              <w:t>污秽、沉陷、破损、开裂、变形、杂草</w:t>
            </w:r>
          </w:p>
        </w:tc>
      </w:tr>
      <w:tr w14:paraId="7AFCE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2824546C">
            <w:pPr>
              <w:spacing w:line="340" w:lineRule="exact"/>
              <w:rPr>
                <w:rFonts w:ascii="宋体" w:hAnsi="宋体" w:cs="宋体"/>
                <w:color w:val="auto"/>
                <w:szCs w:val="21"/>
                <w:highlight w:val="none"/>
              </w:rPr>
            </w:pPr>
            <w:r>
              <w:rPr>
                <w:rFonts w:hint="eastAsia" w:ascii="宋体" w:hAnsi="宋体" w:cs="宋体"/>
                <w:color w:val="auto"/>
                <w:szCs w:val="21"/>
                <w:highlight w:val="none"/>
              </w:rPr>
              <w:t>5</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024E8393">
            <w:pPr>
              <w:spacing w:line="340" w:lineRule="exact"/>
              <w:rPr>
                <w:rFonts w:ascii="宋体" w:hAnsi="宋体" w:cs="宋体"/>
                <w:color w:val="auto"/>
                <w:szCs w:val="21"/>
                <w:highlight w:val="none"/>
              </w:rPr>
            </w:pPr>
            <w:r>
              <w:rPr>
                <w:rFonts w:hint="eastAsia" w:ascii="宋体" w:hAnsi="宋体" w:cs="宋体"/>
                <w:color w:val="auto"/>
                <w:szCs w:val="21"/>
                <w:highlight w:val="none"/>
              </w:rPr>
              <w:t>护岸</w:t>
            </w:r>
          </w:p>
        </w:tc>
        <w:tc>
          <w:tcPr>
            <w:tcW w:w="6374" w:type="dxa"/>
            <w:tcBorders>
              <w:top w:val="single" w:color="auto" w:sz="4" w:space="0"/>
              <w:left w:val="single" w:color="auto" w:sz="4" w:space="0"/>
              <w:bottom w:val="single" w:color="auto" w:sz="4" w:space="0"/>
              <w:right w:val="single" w:color="auto" w:sz="4" w:space="0"/>
            </w:tcBorders>
            <w:noWrap w:val="0"/>
            <w:vAlign w:val="top"/>
          </w:tcPr>
          <w:p w14:paraId="1D13CEE6">
            <w:pPr>
              <w:spacing w:line="340" w:lineRule="exact"/>
              <w:rPr>
                <w:rFonts w:ascii="宋体" w:hAnsi="宋体" w:cs="宋体"/>
                <w:color w:val="auto"/>
                <w:szCs w:val="21"/>
                <w:highlight w:val="none"/>
              </w:rPr>
            </w:pPr>
            <w:r>
              <w:rPr>
                <w:rFonts w:hint="eastAsia" w:ascii="宋体" w:hAnsi="宋体" w:cs="宋体"/>
                <w:color w:val="auto"/>
                <w:szCs w:val="21"/>
                <w:highlight w:val="none"/>
              </w:rPr>
              <w:t>冲刷、沉陷、污秽、破损、开裂、变形、杂草</w:t>
            </w:r>
          </w:p>
        </w:tc>
      </w:tr>
      <w:tr w14:paraId="6F71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4CB44374">
            <w:pPr>
              <w:spacing w:line="340" w:lineRule="exact"/>
              <w:rPr>
                <w:rFonts w:ascii="宋体" w:hAnsi="宋体" w:cs="宋体"/>
                <w:color w:val="auto"/>
                <w:szCs w:val="21"/>
                <w:highlight w:val="none"/>
              </w:rPr>
            </w:pPr>
            <w:r>
              <w:rPr>
                <w:rFonts w:hint="eastAsia" w:ascii="宋体" w:hAnsi="宋体" w:cs="宋体"/>
                <w:color w:val="auto"/>
                <w:szCs w:val="21"/>
                <w:highlight w:val="none"/>
              </w:rPr>
              <w:t>6</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22CCD787">
            <w:pPr>
              <w:spacing w:line="340" w:lineRule="exact"/>
              <w:rPr>
                <w:rFonts w:ascii="宋体" w:hAnsi="宋体" w:cs="宋体"/>
                <w:color w:val="auto"/>
                <w:szCs w:val="21"/>
                <w:highlight w:val="none"/>
              </w:rPr>
            </w:pPr>
            <w:r>
              <w:rPr>
                <w:rFonts w:hint="eastAsia" w:ascii="宋体" w:hAnsi="宋体" w:cs="宋体"/>
                <w:color w:val="auto"/>
                <w:szCs w:val="21"/>
                <w:highlight w:val="none"/>
              </w:rPr>
              <w:t>避雷装置</w:t>
            </w:r>
          </w:p>
        </w:tc>
        <w:tc>
          <w:tcPr>
            <w:tcW w:w="6374" w:type="dxa"/>
            <w:tcBorders>
              <w:top w:val="single" w:color="auto" w:sz="4" w:space="0"/>
              <w:left w:val="single" w:color="auto" w:sz="4" w:space="0"/>
              <w:bottom w:val="single" w:color="auto" w:sz="4" w:space="0"/>
              <w:right w:val="single" w:color="auto" w:sz="4" w:space="0"/>
            </w:tcBorders>
            <w:noWrap w:val="0"/>
            <w:vAlign w:val="top"/>
          </w:tcPr>
          <w:p w14:paraId="072CD6CB">
            <w:pPr>
              <w:spacing w:line="340" w:lineRule="exact"/>
              <w:rPr>
                <w:rFonts w:ascii="宋体" w:hAnsi="宋体" w:cs="宋体"/>
                <w:color w:val="auto"/>
                <w:szCs w:val="21"/>
                <w:highlight w:val="none"/>
              </w:rPr>
            </w:pPr>
            <w:r>
              <w:rPr>
                <w:rFonts w:hint="eastAsia" w:ascii="宋体" w:hAnsi="宋体" w:cs="宋体"/>
                <w:color w:val="auto"/>
                <w:szCs w:val="21"/>
                <w:highlight w:val="none"/>
              </w:rPr>
              <w:t>锈蚀、变形、松动、破损、断裂、失效</w:t>
            </w:r>
          </w:p>
        </w:tc>
      </w:tr>
      <w:tr w14:paraId="3E1BC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47D379CA">
            <w:pPr>
              <w:spacing w:line="340" w:lineRule="exact"/>
              <w:rPr>
                <w:rFonts w:ascii="宋体" w:hAnsi="宋体" w:cs="宋体"/>
                <w:color w:val="auto"/>
                <w:szCs w:val="21"/>
                <w:highlight w:val="none"/>
              </w:rPr>
            </w:pPr>
            <w:r>
              <w:rPr>
                <w:rFonts w:hint="eastAsia" w:ascii="宋体" w:hAnsi="宋体" w:cs="宋体"/>
                <w:color w:val="auto"/>
                <w:szCs w:val="21"/>
                <w:highlight w:val="none"/>
              </w:rPr>
              <w:t>7</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793CFA91">
            <w:pPr>
              <w:spacing w:line="340" w:lineRule="exact"/>
              <w:rPr>
                <w:rFonts w:ascii="宋体" w:hAnsi="宋体" w:cs="宋体"/>
                <w:color w:val="auto"/>
                <w:szCs w:val="21"/>
                <w:highlight w:val="none"/>
              </w:rPr>
            </w:pPr>
            <w:r>
              <w:rPr>
                <w:rFonts w:hint="eastAsia" w:ascii="宋体" w:hAnsi="宋体" w:cs="宋体"/>
                <w:color w:val="auto"/>
                <w:szCs w:val="21"/>
                <w:highlight w:val="none"/>
              </w:rPr>
              <w:t>检修平台</w:t>
            </w:r>
          </w:p>
        </w:tc>
        <w:tc>
          <w:tcPr>
            <w:tcW w:w="6374" w:type="dxa"/>
            <w:tcBorders>
              <w:top w:val="single" w:color="auto" w:sz="4" w:space="0"/>
              <w:left w:val="single" w:color="auto" w:sz="4" w:space="0"/>
              <w:bottom w:val="single" w:color="auto" w:sz="4" w:space="0"/>
              <w:right w:val="single" w:color="auto" w:sz="4" w:space="0"/>
            </w:tcBorders>
            <w:noWrap w:val="0"/>
            <w:vAlign w:val="top"/>
          </w:tcPr>
          <w:p w14:paraId="69721E3B">
            <w:pPr>
              <w:spacing w:line="340" w:lineRule="exact"/>
              <w:rPr>
                <w:rFonts w:ascii="宋体" w:hAnsi="宋体" w:cs="宋体"/>
                <w:color w:val="auto"/>
                <w:szCs w:val="21"/>
                <w:highlight w:val="none"/>
              </w:rPr>
            </w:pPr>
            <w:r>
              <w:rPr>
                <w:rFonts w:hint="eastAsia" w:ascii="宋体" w:hAnsi="宋体" w:cs="宋体"/>
                <w:color w:val="auto"/>
                <w:szCs w:val="21"/>
                <w:highlight w:val="none"/>
              </w:rPr>
              <w:t>锈蚀、松动、变形、倾斜、构件缺失、功能失效</w:t>
            </w:r>
          </w:p>
        </w:tc>
      </w:tr>
    </w:tbl>
    <w:p w14:paraId="0177AA7B">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4.1.5排水</w:t>
      </w:r>
    </w:p>
    <w:tbl>
      <w:tblPr>
        <w:tblStyle w:val="30"/>
        <w:tblW w:w="92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2036"/>
        <w:gridCol w:w="6163"/>
      </w:tblGrid>
      <w:tr w14:paraId="15B45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62FF8B3D">
            <w:pPr>
              <w:spacing w:line="340" w:lineRule="exact"/>
              <w:rPr>
                <w:rFonts w:ascii="宋体" w:hAnsi="宋体" w:cs="宋体"/>
                <w:color w:val="auto"/>
                <w:szCs w:val="21"/>
                <w:highlight w:val="none"/>
              </w:rPr>
            </w:pPr>
            <w:r>
              <w:rPr>
                <w:rFonts w:hint="eastAsia" w:ascii="宋体" w:hAnsi="宋体" w:cs="宋体"/>
                <w:color w:val="auto"/>
                <w:szCs w:val="21"/>
                <w:highlight w:val="none"/>
              </w:rPr>
              <w:t>序号</w:t>
            </w:r>
          </w:p>
        </w:tc>
        <w:tc>
          <w:tcPr>
            <w:tcW w:w="2036" w:type="dxa"/>
            <w:tcBorders>
              <w:top w:val="single" w:color="auto" w:sz="4" w:space="0"/>
              <w:left w:val="single" w:color="auto" w:sz="4" w:space="0"/>
              <w:bottom w:val="single" w:color="auto" w:sz="4" w:space="0"/>
              <w:right w:val="single" w:color="auto" w:sz="4" w:space="0"/>
            </w:tcBorders>
            <w:noWrap w:val="0"/>
            <w:vAlign w:val="top"/>
          </w:tcPr>
          <w:p w14:paraId="4400A489">
            <w:pPr>
              <w:spacing w:line="340" w:lineRule="exact"/>
              <w:rPr>
                <w:rFonts w:ascii="宋体" w:hAnsi="宋体" w:cs="宋体"/>
                <w:color w:val="auto"/>
                <w:szCs w:val="21"/>
                <w:highlight w:val="none"/>
              </w:rPr>
            </w:pPr>
            <w:r>
              <w:rPr>
                <w:rFonts w:hint="eastAsia" w:ascii="宋体" w:hAnsi="宋体" w:cs="宋体"/>
                <w:color w:val="auto"/>
                <w:szCs w:val="21"/>
                <w:highlight w:val="none"/>
              </w:rPr>
              <w:t>病害名称</w:t>
            </w:r>
          </w:p>
        </w:tc>
        <w:tc>
          <w:tcPr>
            <w:tcW w:w="6163" w:type="dxa"/>
            <w:tcBorders>
              <w:top w:val="single" w:color="auto" w:sz="4" w:space="0"/>
              <w:left w:val="single" w:color="auto" w:sz="4" w:space="0"/>
              <w:bottom w:val="single" w:color="auto" w:sz="4" w:space="0"/>
              <w:right w:val="single" w:color="auto" w:sz="4" w:space="0"/>
            </w:tcBorders>
            <w:noWrap w:val="0"/>
            <w:vAlign w:val="top"/>
          </w:tcPr>
          <w:p w14:paraId="0E15E207">
            <w:pPr>
              <w:spacing w:line="340" w:lineRule="exact"/>
              <w:rPr>
                <w:rFonts w:ascii="宋体" w:hAnsi="宋体" w:cs="宋体"/>
                <w:color w:val="auto"/>
                <w:szCs w:val="21"/>
                <w:highlight w:val="none"/>
              </w:rPr>
            </w:pPr>
            <w:r>
              <w:rPr>
                <w:rFonts w:hint="eastAsia" w:ascii="宋体" w:hAnsi="宋体" w:cs="宋体"/>
                <w:color w:val="auto"/>
                <w:szCs w:val="21"/>
                <w:highlight w:val="none"/>
              </w:rPr>
              <w:t>病害</w:t>
            </w:r>
          </w:p>
        </w:tc>
      </w:tr>
      <w:tr w14:paraId="7C71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6" w:type="dxa"/>
            <w:tcBorders>
              <w:top w:val="single" w:color="auto" w:sz="4" w:space="0"/>
              <w:left w:val="single" w:color="auto" w:sz="4" w:space="0"/>
              <w:bottom w:val="single" w:color="auto" w:sz="4" w:space="0"/>
              <w:right w:val="single" w:color="auto" w:sz="4" w:space="0"/>
            </w:tcBorders>
            <w:noWrap w:val="0"/>
            <w:vAlign w:val="top"/>
          </w:tcPr>
          <w:p w14:paraId="377EEE6B">
            <w:pPr>
              <w:spacing w:line="340" w:lineRule="exact"/>
              <w:rPr>
                <w:rFonts w:ascii="宋体" w:hAnsi="宋体" w:cs="宋体"/>
                <w:color w:val="auto"/>
                <w:szCs w:val="21"/>
                <w:highlight w:val="none"/>
              </w:rPr>
            </w:pPr>
            <w:r>
              <w:rPr>
                <w:rFonts w:hint="eastAsia" w:ascii="宋体" w:hAnsi="宋体" w:cs="宋体"/>
                <w:color w:val="auto"/>
                <w:szCs w:val="21"/>
                <w:highlight w:val="none"/>
              </w:rPr>
              <w:t>1</w:t>
            </w:r>
          </w:p>
        </w:tc>
        <w:tc>
          <w:tcPr>
            <w:tcW w:w="2036" w:type="dxa"/>
            <w:tcBorders>
              <w:top w:val="single" w:color="auto" w:sz="4" w:space="0"/>
              <w:left w:val="single" w:color="auto" w:sz="4" w:space="0"/>
              <w:bottom w:val="single" w:color="auto" w:sz="4" w:space="0"/>
              <w:right w:val="single" w:color="auto" w:sz="4" w:space="0"/>
            </w:tcBorders>
            <w:noWrap w:val="0"/>
            <w:vAlign w:val="top"/>
          </w:tcPr>
          <w:p w14:paraId="3BDAAD6F">
            <w:pPr>
              <w:spacing w:line="340" w:lineRule="exact"/>
              <w:rPr>
                <w:rFonts w:ascii="宋体" w:hAnsi="宋体" w:cs="宋体"/>
                <w:color w:val="auto"/>
                <w:szCs w:val="21"/>
                <w:highlight w:val="none"/>
              </w:rPr>
            </w:pPr>
            <w:r>
              <w:rPr>
                <w:rFonts w:hint="eastAsia" w:ascii="宋体" w:hAnsi="宋体" w:cs="宋体"/>
                <w:color w:val="auto"/>
                <w:szCs w:val="21"/>
                <w:highlight w:val="none"/>
              </w:rPr>
              <w:t>检查井、进水井变形、缺损、缺失</w:t>
            </w:r>
          </w:p>
        </w:tc>
        <w:tc>
          <w:tcPr>
            <w:tcW w:w="6163" w:type="dxa"/>
            <w:tcBorders>
              <w:top w:val="single" w:color="auto" w:sz="4" w:space="0"/>
              <w:left w:val="single" w:color="auto" w:sz="4" w:space="0"/>
              <w:bottom w:val="single" w:color="auto" w:sz="4" w:space="0"/>
              <w:right w:val="single" w:color="auto" w:sz="4" w:space="0"/>
            </w:tcBorders>
            <w:noWrap w:val="0"/>
            <w:vAlign w:val="top"/>
          </w:tcPr>
          <w:p w14:paraId="3BE4AD70">
            <w:pPr>
              <w:spacing w:line="340" w:lineRule="exact"/>
              <w:rPr>
                <w:rFonts w:ascii="宋体" w:hAnsi="宋体" w:cs="宋体"/>
                <w:color w:val="auto"/>
                <w:szCs w:val="21"/>
                <w:highlight w:val="none"/>
              </w:rPr>
            </w:pPr>
            <w:r>
              <w:rPr>
                <w:rFonts w:hint="eastAsia" w:ascii="宋体" w:hAnsi="宋体" w:cs="宋体"/>
                <w:color w:val="auto"/>
                <w:szCs w:val="21"/>
                <w:highlight w:val="none"/>
              </w:rPr>
              <w:t>锈蚀、松动、位置不当、断裂、沉陷、倾斜、构件脱落等局部损毁、设施整体缺失空位</w:t>
            </w:r>
          </w:p>
        </w:tc>
      </w:tr>
      <w:tr w14:paraId="748D7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6" w:type="dxa"/>
            <w:tcBorders>
              <w:top w:val="single" w:color="auto" w:sz="4" w:space="0"/>
              <w:left w:val="single" w:color="auto" w:sz="4" w:space="0"/>
              <w:bottom w:val="single" w:color="auto" w:sz="4" w:space="0"/>
              <w:right w:val="single" w:color="auto" w:sz="4" w:space="0"/>
            </w:tcBorders>
            <w:noWrap w:val="0"/>
            <w:vAlign w:val="top"/>
          </w:tcPr>
          <w:p w14:paraId="071934BE">
            <w:pPr>
              <w:spacing w:line="340" w:lineRule="exact"/>
              <w:rPr>
                <w:rFonts w:ascii="宋体" w:hAnsi="宋体" w:cs="宋体"/>
                <w:color w:val="auto"/>
                <w:szCs w:val="21"/>
                <w:highlight w:val="none"/>
              </w:rPr>
            </w:pPr>
            <w:r>
              <w:rPr>
                <w:rFonts w:hint="eastAsia" w:ascii="宋体" w:hAnsi="宋体" w:cs="宋体"/>
                <w:color w:val="auto"/>
                <w:szCs w:val="21"/>
                <w:highlight w:val="none"/>
              </w:rPr>
              <w:t>2</w:t>
            </w:r>
          </w:p>
        </w:tc>
        <w:tc>
          <w:tcPr>
            <w:tcW w:w="2036" w:type="dxa"/>
            <w:tcBorders>
              <w:top w:val="single" w:color="auto" w:sz="4" w:space="0"/>
              <w:left w:val="single" w:color="auto" w:sz="4" w:space="0"/>
              <w:bottom w:val="single" w:color="auto" w:sz="4" w:space="0"/>
              <w:right w:val="single" w:color="auto" w:sz="4" w:space="0"/>
            </w:tcBorders>
            <w:noWrap w:val="0"/>
            <w:vAlign w:val="top"/>
          </w:tcPr>
          <w:p w14:paraId="5944C243">
            <w:pPr>
              <w:spacing w:line="340" w:lineRule="exact"/>
              <w:rPr>
                <w:rFonts w:ascii="宋体" w:hAnsi="宋体" w:cs="宋体"/>
                <w:color w:val="auto"/>
                <w:szCs w:val="21"/>
                <w:highlight w:val="none"/>
              </w:rPr>
            </w:pPr>
            <w:r>
              <w:rPr>
                <w:rFonts w:hint="eastAsia" w:ascii="宋体" w:hAnsi="宋体" w:cs="宋体"/>
                <w:color w:val="auto"/>
                <w:szCs w:val="21"/>
                <w:highlight w:val="none"/>
              </w:rPr>
              <w:t>淤积</w:t>
            </w:r>
          </w:p>
        </w:tc>
        <w:tc>
          <w:tcPr>
            <w:tcW w:w="6163" w:type="dxa"/>
            <w:tcBorders>
              <w:top w:val="single" w:color="auto" w:sz="4" w:space="0"/>
              <w:left w:val="single" w:color="auto" w:sz="4" w:space="0"/>
              <w:bottom w:val="single" w:color="auto" w:sz="4" w:space="0"/>
              <w:right w:val="single" w:color="auto" w:sz="4" w:space="0"/>
            </w:tcBorders>
            <w:noWrap w:val="0"/>
            <w:vAlign w:val="top"/>
          </w:tcPr>
          <w:p w14:paraId="736B4D0A">
            <w:pPr>
              <w:spacing w:line="340" w:lineRule="exact"/>
              <w:rPr>
                <w:rFonts w:ascii="宋体" w:hAnsi="宋体" w:cs="宋体"/>
                <w:color w:val="auto"/>
                <w:szCs w:val="21"/>
                <w:highlight w:val="none"/>
              </w:rPr>
            </w:pPr>
            <w:r>
              <w:rPr>
                <w:rFonts w:hint="eastAsia" w:ascii="宋体" w:hAnsi="宋体" w:cs="宋体"/>
                <w:color w:val="auto"/>
                <w:szCs w:val="21"/>
                <w:highlight w:val="none"/>
              </w:rPr>
              <w:t>管道积泥深度超过管径1/5；有沉泥槽检查井积泥超过管底以下50mm；无沉泥槽检查井积泥超过主管的1/5；有沉泥槽雨水口积泥超过管底以下50mm；无沉泥槽雨水口积泥超过管底以上50mm。</w:t>
            </w:r>
          </w:p>
        </w:tc>
      </w:tr>
    </w:tbl>
    <w:p w14:paraId="3F6AF0E0">
      <w:pPr>
        <w:spacing w:line="340" w:lineRule="exact"/>
        <w:rPr>
          <w:rFonts w:ascii="宋体" w:hAnsi="宋体" w:cs="宋体"/>
          <w:color w:val="auto"/>
          <w:szCs w:val="21"/>
          <w:highlight w:val="none"/>
        </w:rPr>
      </w:pPr>
      <w:r>
        <w:rPr>
          <w:rFonts w:hint="eastAsia" w:ascii="宋体" w:hAnsi="宋体" w:cs="宋体"/>
          <w:color w:val="auto"/>
          <w:szCs w:val="21"/>
          <w:highlight w:val="none"/>
        </w:rPr>
        <w:t>4.2 维修质量要求</w:t>
      </w:r>
    </w:p>
    <w:p w14:paraId="255F68CC">
      <w:pPr>
        <w:spacing w:line="340" w:lineRule="exact"/>
        <w:rPr>
          <w:rFonts w:ascii="宋体" w:hAnsi="宋体" w:cs="宋体"/>
          <w:color w:val="auto"/>
          <w:szCs w:val="21"/>
          <w:highlight w:val="none"/>
        </w:rPr>
      </w:pPr>
      <w:r>
        <w:rPr>
          <w:rFonts w:hint="eastAsia" w:ascii="宋体" w:hAnsi="宋体" w:cs="宋体"/>
          <w:color w:val="auto"/>
          <w:szCs w:val="21"/>
          <w:highlight w:val="none"/>
        </w:rPr>
        <w:t>养护维修责任单位应按《城镇道路养护技术规范》（CJJ 36-2016）《城市桥梁养护技术标准》（CJJ 99-2017）、《城镇排水管渠与泵站运行、维护及安全技术规程》（CJJ 68-2016）的要求对道路病害进行维修,符合下表的要求:</w:t>
      </w:r>
    </w:p>
    <w:p w14:paraId="602E6F4B">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4.2.1沥青混凝土道路</w:t>
      </w:r>
    </w:p>
    <w:tbl>
      <w:tblPr>
        <w:tblStyle w:val="30"/>
        <w:tblW w:w="92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1800"/>
        <w:gridCol w:w="6411"/>
      </w:tblGrid>
      <w:tr w14:paraId="36DF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38A88067">
            <w:pPr>
              <w:spacing w:line="340" w:lineRule="exact"/>
              <w:rPr>
                <w:rFonts w:ascii="宋体" w:hAnsi="宋体" w:cs="宋体"/>
                <w:color w:val="auto"/>
                <w:szCs w:val="21"/>
                <w:highlight w:val="none"/>
              </w:rPr>
            </w:pPr>
            <w:r>
              <w:rPr>
                <w:rFonts w:hint="eastAsia" w:ascii="宋体" w:hAnsi="宋体" w:cs="宋体"/>
                <w:color w:val="auto"/>
                <w:szCs w:val="21"/>
                <w:highlight w:val="none"/>
              </w:rPr>
              <w:t>序号</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27196710">
            <w:pPr>
              <w:spacing w:line="340" w:lineRule="exact"/>
              <w:rPr>
                <w:rFonts w:ascii="宋体" w:hAnsi="宋体" w:cs="宋体"/>
                <w:color w:val="auto"/>
                <w:szCs w:val="21"/>
                <w:highlight w:val="none"/>
              </w:rPr>
            </w:pPr>
            <w:r>
              <w:rPr>
                <w:rFonts w:hint="eastAsia" w:ascii="宋体" w:hAnsi="宋体" w:cs="宋体"/>
                <w:color w:val="auto"/>
                <w:szCs w:val="21"/>
                <w:highlight w:val="none"/>
              </w:rPr>
              <w:t>项目</w:t>
            </w:r>
          </w:p>
        </w:tc>
        <w:tc>
          <w:tcPr>
            <w:tcW w:w="6411" w:type="dxa"/>
            <w:tcBorders>
              <w:top w:val="single" w:color="auto" w:sz="4" w:space="0"/>
              <w:left w:val="single" w:color="auto" w:sz="4" w:space="0"/>
              <w:bottom w:val="single" w:color="auto" w:sz="4" w:space="0"/>
              <w:right w:val="single" w:color="auto" w:sz="4" w:space="0"/>
            </w:tcBorders>
            <w:noWrap w:val="0"/>
            <w:vAlign w:val="top"/>
          </w:tcPr>
          <w:p w14:paraId="5AC0A10A">
            <w:pPr>
              <w:spacing w:line="340" w:lineRule="exact"/>
              <w:rPr>
                <w:rFonts w:ascii="宋体" w:hAnsi="宋体" w:cs="宋体"/>
                <w:color w:val="auto"/>
                <w:szCs w:val="21"/>
                <w:highlight w:val="none"/>
              </w:rPr>
            </w:pPr>
            <w:r>
              <w:rPr>
                <w:rFonts w:hint="eastAsia" w:ascii="宋体" w:hAnsi="宋体" w:cs="宋体"/>
                <w:color w:val="auto"/>
                <w:szCs w:val="21"/>
                <w:highlight w:val="none"/>
              </w:rPr>
              <w:t>规定值及允许偏差</w:t>
            </w:r>
          </w:p>
        </w:tc>
      </w:tr>
      <w:tr w14:paraId="5A9C1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2BB58C9D">
            <w:pPr>
              <w:spacing w:line="340" w:lineRule="exact"/>
              <w:rPr>
                <w:rFonts w:ascii="宋体" w:hAnsi="宋体" w:cs="宋体"/>
                <w:color w:val="auto"/>
                <w:szCs w:val="21"/>
                <w:highlight w:val="none"/>
              </w:rPr>
            </w:pPr>
            <w:r>
              <w:rPr>
                <w:rFonts w:hint="eastAsia" w:ascii="宋体" w:hAnsi="宋体" w:cs="宋体"/>
                <w:color w:val="auto"/>
                <w:szCs w:val="21"/>
                <w:highlight w:val="none"/>
              </w:rPr>
              <w:t>1</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40626059">
            <w:pPr>
              <w:spacing w:line="340" w:lineRule="exact"/>
              <w:rPr>
                <w:rFonts w:ascii="宋体" w:hAnsi="宋体" w:cs="宋体"/>
                <w:color w:val="auto"/>
                <w:szCs w:val="21"/>
                <w:highlight w:val="none"/>
              </w:rPr>
            </w:pPr>
            <w:r>
              <w:rPr>
                <w:rFonts w:hint="eastAsia" w:ascii="宋体" w:hAnsi="宋体" w:cs="宋体"/>
                <w:color w:val="auto"/>
                <w:szCs w:val="21"/>
                <w:highlight w:val="none"/>
              </w:rPr>
              <w:t>凿边</w:t>
            </w:r>
          </w:p>
        </w:tc>
        <w:tc>
          <w:tcPr>
            <w:tcW w:w="6411" w:type="dxa"/>
            <w:tcBorders>
              <w:top w:val="single" w:color="auto" w:sz="4" w:space="0"/>
              <w:left w:val="single" w:color="auto" w:sz="4" w:space="0"/>
              <w:bottom w:val="single" w:color="auto" w:sz="4" w:space="0"/>
              <w:right w:val="single" w:color="auto" w:sz="4" w:space="0"/>
            </w:tcBorders>
            <w:noWrap w:val="0"/>
            <w:vAlign w:val="top"/>
          </w:tcPr>
          <w:p w14:paraId="02F50AA6">
            <w:pPr>
              <w:spacing w:line="340" w:lineRule="exact"/>
              <w:rPr>
                <w:rFonts w:ascii="宋体" w:hAnsi="宋体" w:cs="宋体"/>
                <w:color w:val="auto"/>
                <w:szCs w:val="21"/>
                <w:highlight w:val="none"/>
              </w:rPr>
            </w:pPr>
            <w:r>
              <w:rPr>
                <w:rFonts w:hint="eastAsia" w:ascii="宋体" w:hAnsi="宋体" w:cs="宋体"/>
                <w:color w:val="auto"/>
                <w:szCs w:val="21"/>
                <w:highlight w:val="none"/>
              </w:rPr>
              <w:t>四周用切割机切割,整齐不斜</w:t>
            </w:r>
            <w:r>
              <w:rPr>
                <w:rFonts w:hint="eastAsia" w:ascii="宋体" w:hAnsi="宋体" w:cs="宋体"/>
                <w:color w:val="auto"/>
                <w:szCs w:val="21"/>
                <w:highlight w:val="none"/>
                <w:lang w:eastAsia="zh-CN"/>
              </w:rPr>
              <w:t>；</w:t>
            </w:r>
            <w:r>
              <w:rPr>
                <w:rFonts w:hint="eastAsia" w:ascii="宋体" w:hAnsi="宋体" w:cs="宋体"/>
                <w:color w:val="auto"/>
                <w:szCs w:val="21"/>
                <w:highlight w:val="none"/>
              </w:rPr>
              <w:t>如采铣刨机或其他机械施工,边口应整齐不斜</w:t>
            </w:r>
            <w:r>
              <w:rPr>
                <w:rFonts w:hint="eastAsia" w:ascii="宋体" w:hAnsi="宋体" w:cs="宋体"/>
                <w:color w:val="auto"/>
                <w:szCs w:val="21"/>
                <w:highlight w:val="none"/>
                <w:lang w:eastAsia="zh-CN"/>
              </w:rPr>
              <w:t>；</w:t>
            </w:r>
            <w:r>
              <w:rPr>
                <w:rFonts w:hint="eastAsia" w:ascii="宋体" w:hAnsi="宋体" w:cs="宋体"/>
                <w:color w:val="auto"/>
                <w:szCs w:val="21"/>
                <w:highlight w:val="none"/>
              </w:rPr>
              <w:t>四周修凿垂直,凿边宽度不小于50mm、深度不小于30mm</w:t>
            </w:r>
          </w:p>
        </w:tc>
      </w:tr>
      <w:tr w14:paraId="6C97F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6A48CC3E">
            <w:pPr>
              <w:spacing w:line="340" w:lineRule="exact"/>
              <w:rPr>
                <w:rFonts w:ascii="宋体" w:hAnsi="宋体" w:cs="宋体"/>
                <w:color w:val="auto"/>
                <w:szCs w:val="21"/>
                <w:highlight w:val="none"/>
              </w:rPr>
            </w:pPr>
            <w:r>
              <w:rPr>
                <w:rFonts w:hint="eastAsia" w:ascii="宋体" w:hAnsi="宋体" w:cs="宋体"/>
                <w:color w:val="auto"/>
                <w:szCs w:val="21"/>
                <w:highlight w:val="none"/>
              </w:rPr>
              <w:t>2</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67DDAB30">
            <w:pPr>
              <w:spacing w:line="340" w:lineRule="exact"/>
              <w:rPr>
                <w:rFonts w:ascii="宋体" w:hAnsi="宋体" w:cs="宋体"/>
                <w:color w:val="auto"/>
                <w:szCs w:val="21"/>
                <w:highlight w:val="none"/>
              </w:rPr>
            </w:pPr>
            <w:r>
              <w:rPr>
                <w:rFonts w:hint="eastAsia" w:ascii="宋体" w:hAnsi="宋体" w:cs="宋体"/>
                <w:color w:val="auto"/>
                <w:szCs w:val="21"/>
                <w:highlight w:val="none"/>
              </w:rPr>
              <w:t>铺筑</w:t>
            </w:r>
          </w:p>
        </w:tc>
        <w:tc>
          <w:tcPr>
            <w:tcW w:w="6411" w:type="dxa"/>
            <w:tcBorders>
              <w:top w:val="single" w:color="auto" w:sz="4" w:space="0"/>
              <w:left w:val="single" w:color="auto" w:sz="4" w:space="0"/>
              <w:bottom w:val="single" w:color="auto" w:sz="4" w:space="0"/>
              <w:right w:val="single" w:color="auto" w:sz="4" w:space="0"/>
            </w:tcBorders>
            <w:noWrap w:val="0"/>
            <w:vAlign w:val="top"/>
          </w:tcPr>
          <w:p w14:paraId="2800FC12">
            <w:pPr>
              <w:spacing w:line="340" w:lineRule="exact"/>
              <w:rPr>
                <w:rFonts w:ascii="宋体" w:hAnsi="宋体" w:cs="宋体"/>
                <w:color w:val="auto"/>
                <w:szCs w:val="21"/>
                <w:highlight w:val="none"/>
              </w:rPr>
            </w:pPr>
            <w:r>
              <w:rPr>
                <w:rFonts w:hint="eastAsia" w:ascii="宋体" w:hAnsi="宋体" w:cs="宋体"/>
                <w:color w:val="auto"/>
                <w:szCs w:val="21"/>
                <w:highlight w:val="none"/>
              </w:rPr>
              <w:t>基础铺筑密实,防止渗透积水，面层铺筑厚度误差-5mm、+10mm</w:t>
            </w:r>
            <w:r>
              <w:rPr>
                <w:color w:val="auto"/>
                <w:highlight w:val="none"/>
              </w:rPr>
              <w:t>；</w:t>
            </w:r>
            <w:r>
              <w:rPr>
                <w:rFonts w:hint="eastAsia" w:ascii="宋体" w:hAnsi="宋体" w:cs="宋体"/>
                <w:color w:val="auto"/>
                <w:szCs w:val="21"/>
                <w:highlight w:val="none"/>
              </w:rPr>
              <w:t>混凝土厚度细粒式不得低于30mm、粗粒不得低于50mm、中粒不得低于40mm</w:t>
            </w:r>
            <w:r>
              <w:rPr>
                <w:color w:val="auto"/>
                <w:highlight w:val="none"/>
              </w:rPr>
              <w:t>；</w:t>
            </w:r>
            <w:r>
              <w:rPr>
                <w:rFonts w:hint="eastAsia" w:ascii="宋体" w:hAnsi="宋体" w:cs="宋体"/>
                <w:color w:val="auto"/>
                <w:szCs w:val="21"/>
                <w:highlight w:val="none"/>
              </w:rPr>
              <w:t>表面粗细均匀,无毛细裂缝,碾压紧密,无明显轮迹</w:t>
            </w:r>
          </w:p>
        </w:tc>
      </w:tr>
      <w:tr w14:paraId="27B93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325EA200">
            <w:pPr>
              <w:spacing w:line="340" w:lineRule="exact"/>
              <w:rPr>
                <w:rFonts w:ascii="宋体" w:hAnsi="宋体" w:cs="宋体"/>
                <w:color w:val="auto"/>
                <w:szCs w:val="21"/>
                <w:highlight w:val="none"/>
              </w:rPr>
            </w:pPr>
            <w:r>
              <w:rPr>
                <w:rFonts w:hint="eastAsia" w:ascii="宋体" w:hAnsi="宋体" w:cs="宋体"/>
                <w:color w:val="auto"/>
                <w:szCs w:val="21"/>
                <w:highlight w:val="none"/>
              </w:rPr>
              <w:t>3</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72A020DF">
            <w:pPr>
              <w:spacing w:line="340" w:lineRule="exact"/>
              <w:rPr>
                <w:rFonts w:ascii="宋体" w:hAnsi="宋体" w:cs="宋体"/>
                <w:color w:val="auto"/>
                <w:szCs w:val="21"/>
                <w:highlight w:val="none"/>
              </w:rPr>
            </w:pPr>
            <w:r>
              <w:rPr>
                <w:rFonts w:hint="eastAsia" w:ascii="宋体" w:hAnsi="宋体" w:cs="宋体"/>
                <w:color w:val="auto"/>
                <w:szCs w:val="21"/>
                <w:highlight w:val="none"/>
              </w:rPr>
              <w:t>平整度</w:t>
            </w:r>
          </w:p>
        </w:tc>
        <w:tc>
          <w:tcPr>
            <w:tcW w:w="6411" w:type="dxa"/>
            <w:tcBorders>
              <w:top w:val="single" w:color="auto" w:sz="4" w:space="0"/>
              <w:left w:val="single" w:color="auto" w:sz="4" w:space="0"/>
              <w:bottom w:val="single" w:color="auto" w:sz="4" w:space="0"/>
              <w:right w:val="single" w:color="auto" w:sz="4" w:space="0"/>
            </w:tcBorders>
            <w:noWrap w:val="0"/>
            <w:vAlign w:val="top"/>
          </w:tcPr>
          <w:p w14:paraId="5BD843BA">
            <w:pPr>
              <w:spacing w:line="340" w:lineRule="exact"/>
              <w:rPr>
                <w:rFonts w:ascii="宋体" w:hAnsi="宋体" w:cs="宋体"/>
                <w:color w:val="auto"/>
                <w:szCs w:val="21"/>
                <w:highlight w:val="none"/>
              </w:rPr>
            </w:pPr>
            <w:r>
              <w:rPr>
                <w:rFonts w:hint="eastAsia" w:ascii="宋体" w:hAnsi="宋体" w:cs="宋体"/>
                <w:color w:val="auto"/>
                <w:szCs w:val="21"/>
                <w:highlight w:val="none"/>
              </w:rPr>
              <w:t>路面平整,人工摊铺不大于7mm,机械摊铺不大于5mm(3米尺)</w:t>
            </w:r>
          </w:p>
        </w:tc>
      </w:tr>
      <w:tr w14:paraId="6F70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3FD671F6">
            <w:pPr>
              <w:spacing w:line="340" w:lineRule="exact"/>
              <w:rPr>
                <w:rFonts w:ascii="宋体" w:hAnsi="宋体" w:cs="宋体"/>
                <w:color w:val="auto"/>
                <w:szCs w:val="21"/>
                <w:highlight w:val="none"/>
              </w:rPr>
            </w:pPr>
            <w:r>
              <w:rPr>
                <w:rFonts w:hint="eastAsia" w:ascii="宋体" w:hAnsi="宋体" w:cs="宋体"/>
                <w:color w:val="auto"/>
                <w:szCs w:val="21"/>
                <w:highlight w:val="none"/>
              </w:rPr>
              <w:t>4</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5D920947">
            <w:pPr>
              <w:spacing w:line="340" w:lineRule="exact"/>
              <w:rPr>
                <w:rFonts w:ascii="宋体" w:hAnsi="宋体" w:cs="宋体"/>
                <w:color w:val="auto"/>
                <w:szCs w:val="21"/>
                <w:highlight w:val="none"/>
              </w:rPr>
            </w:pPr>
            <w:r>
              <w:rPr>
                <w:rFonts w:hint="eastAsia" w:ascii="宋体" w:hAnsi="宋体" w:cs="宋体"/>
                <w:color w:val="auto"/>
                <w:szCs w:val="21"/>
                <w:highlight w:val="none"/>
              </w:rPr>
              <w:t>接茬</w:t>
            </w:r>
          </w:p>
        </w:tc>
        <w:tc>
          <w:tcPr>
            <w:tcW w:w="6411" w:type="dxa"/>
            <w:tcBorders>
              <w:top w:val="single" w:color="auto" w:sz="4" w:space="0"/>
              <w:left w:val="single" w:color="auto" w:sz="4" w:space="0"/>
              <w:bottom w:val="single" w:color="auto" w:sz="4" w:space="0"/>
              <w:right w:val="single" w:color="auto" w:sz="4" w:space="0"/>
            </w:tcBorders>
            <w:noWrap w:val="0"/>
            <w:vAlign w:val="top"/>
          </w:tcPr>
          <w:p w14:paraId="6321C971">
            <w:pPr>
              <w:spacing w:line="340" w:lineRule="exact"/>
              <w:rPr>
                <w:rFonts w:ascii="宋体" w:hAnsi="宋体" w:cs="宋体"/>
                <w:color w:val="auto"/>
                <w:szCs w:val="21"/>
                <w:highlight w:val="none"/>
              </w:rPr>
            </w:pPr>
            <w:r>
              <w:rPr>
                <w:rFonts w:hint="eastAsia" w:ascii="宋体" w:hAnsi="宋体" w:cs="宋体"/>
                <w:color w:val="auto"/>
                <w:szCs w:val="21"/>
                <w:highlight w:val="none"/>
              </w:rPr>
              <w:t>接茬密实,无起壳松散</w:t>
            </w:r>
            <w:r>
              <w:rPr>
                <w:color w:val="auto"/>
                <w:highlight w:val="none"/>
              </w:rPr>
              <w:t>；</w:t>
            </w:r>
            <w:r>
              <w:rPr>
                <w:rFonts w:hint="eastAsia" w:ascii="宋体" w:hAnsi="宋体" w:cs="宋体"/>
                <w:color w:val="auto"/>
                <w:szCs w:val="21"/>
                <w:highlight w:val="none"/>
              </w:rPr>
              <w:t>与平石相接不得低于平石,高不得低于5mm</w:t>
            </w:r>
            <w:r>
              <w:rPr>
                <w:color w:val="auto"/>
                <w:highlight w:val="none"/>
              </w:rPr>
              <w:t>；</w:t>
            </w:r>
            <w:r>
              <w:rPr>
                <w:rFonts w:hint="eastAsia" w:ascii="宋体" w:hAnsi="宋体" w:cs="宋体"/>
                <w:color w:val="auto"/>
                <w:szCs w:val="21"/>
                <w:highlight w:val="none"/>
              </w:rPr>
              <w:t xml:space="preserve"> 新老接茬密实,平顺齐直,不得低于原路面,高不得大于5mm(1米尺)</w:t>
            </w:r>
          </w:p>
        </w:tc>
      </w:tr>
      <w:tr w14:paraId="3B07D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2852CDD3">
            <w:pPr>
              <w:spacing w:line="340" w:lineRule="exact"/>
              <w:rPr>
                <w:rFonts w:ascii="宋体" w:hAnsi="宋体" w:cs="宋体"/>
                <w:color w:val="auto"/>
                <w:szCs w:val="21"/>
                <w:highlight w:val="none"/>
              </w:rPr>
            </w:pPr>
            <w:r>
              <w:rPr>
                <w:rFonts w:hint="eastAsia" w:ascii="宋体" w:hAnsi="宋体" w:cs="宋体"/>
                <w:color w:val="auto"/>
                <w:szCs w:val="21"/>
                <w:highlight w:val="none"/>
              </w:rPr>
              <w:t>5</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6F6EEE60">
            <w:pPr>
              <w:spacing w:line="340" w:lineRule="exact"/>
              <w:rPr>
                <w:rFonts w:ascii="宋体" w:hAnsi="宋体" w:cs="宋体"/>
                <w:color w:val="auto"/>
                <w:szCs w:val="21"/>
                <w:highlight w:val="none"/>
              </w:rPr>
            </w:pPr>
            <w:r>
              <w:rPr>
                <w:rFonts w:hint="eastAsia" w:ascii="宋体" w:hAnsi="宋体" w:cs="宋体"/>
                <w:color w:val="auto"/>
                <w:szCs w:val="21"/>
                <w:highlight w:val="none"/>
              </w:rPr>
              <w:t>路框差</w:t>
            </w:r>
          </w:p>
        </w:tc>
        <w:tc>
          <w:tcPr>
            <w:tcW w:w="6411" w:type="dxa"/>
            <w:tcBorders>
              <w:top w:val="single" w:color="auto" w:sz="4" w:space="0"/>
              <w:left w:val="single" w:color="auto" w:sz="4" w:space="0"/>
              <w:bottom w:val="single" w:color="auto" w:sz="4" w:space="0"/>
              <w:right w:val="single" w:color="auto" w:sz="4" w:space="0"/>
            </w:tcBorders>
            <w:noWrap w:val="0"/>
            <w:vAlign w:val="top"/>
          </w:tcPr>
          <w:p w14:paraId="17E695FC">
            <w:pPr>
              <w:spacing w:line="34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各类井框周围路面无沉陷,与路面高差不得大于5mm(1米尺)</w:t>
            </w:r>
            <w:r>
              <w:rPr>
                <w:rFonts w:hint="eastAsia" w:ascii="宋体" w:hAnsi="宋体" w:cs="宋体"/>
                <w:color w:val="auto"/>
                <w:szCs w:val="21"/>
                <w:highlight w:val="none"/>
                <w:lang w:eastAsia="zh-CN"/>
              </w:rPr>
              <w:t>。</w:t>
            </w:r>
          </w:p>
        </w:tc>
      </w:tr>
      <w:tr w14:paraId="5F38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516B1EAF">
            <w:pPr>
              <w:spacing w:line="340" w:lineRule="exact"/>
              <w:rPr>
                <w:rFonts w:ascii="宋体" w:hAnsi="宋体" w:cs="宋体"/>
                <w:color w:val="auto"/>
                <w:szCs w:val="21"/>
                <w:highlight w:val="none"/>
              </w:rPr>
            </w:pPr>
            <w:r>
              <w:rPr>
                <w:rFonts w:hint="eastAsia" w:ascii="宋体" w:hAnsi="宋体" w:cs="宋体"/>
                <w:color w:val="auto"/>
                <w:szCs w:val="21"/>
                <w:highlight w:val="none"/>
              </w:rPr>
              <w:t>6</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119DFA61">
            <w:pPr>
              <w:spacing w:line="340" w:lineRule="exact"/>
              <w:rPr>
                <w:rFonts w:ascii="宋体" w:hAnsi="宋体" w:cs="宋体"/>
                <w:color w:val="auto"/>
                <w:szCs w:val="21"/>
                <w:highlight w:val="none"/>
              </w:rPr>
            </w:pPr>
            <w:r>
              <w:rPr>
                <w:rFonts w:hint="eastAsia" w:ascii="宋体" w:hAnsi="宋体" w:cs="宋体"/>
                <w:color w:val="auto"/>
                <w:szCs w:val="21"/>
                <w:highlight w:val="none"/>
              </w:rPr>
              <w:t>横坡度</w:t>
            </w:r>
          </w:p>
        </w:tc>
        <w:tc>
          <w:tcPr>
            <w:tcW w:w="6411" w:type="dxa"/>
            <w:tcBorders>
              <w:top w:val="single" w:color="auto" w:sz="4" w:space="0"/>
              <w:left w:val="single" w:color="auto" w:sz="4" w:space="0"/>
              <w:bottom w:val="single" w:color="auto" w:sz="4" w:space="0"/>
              <w:right w:val="single" w:color="auto" w:sz="4" w:space="0"/>
            </w:tcBorders>
            <w:noWrap w:val="0"/>
            <w:vAlign w:val="top"/>
          </w:tcPr>
          <w:p w14:paraId="02324409">
            <w:pPr>
              <w:spacing w:line="34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与原路面横坡相一致,不得有积水</w:t>
            </w:r>
            <w:r>
              <w:rPr>
                <w:rFonts w:hint="eastAsia" w:ascii="宋体" w:hAnsi="宋体" w:cs="宋体"/>
                <w:color w:val="auto"/>
                <w:szCs w:val="21"/>
                <w:highlight w:val="none"/>
                <w:lang w:eastAsia="zh-CN"/>
              </w:rPr>
              <w:t>。</w:t>
            </w:r>
          </w:p>
        </w:tc>
      </w:tr>
    </w:tbl>
    <w:p w14:paraId="5E303A10">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4.2.2水泥混凝土道路</w:t>
      </w:r>
    </w:p>
    <w:tbl>
      <w:tblPr>
        <w:tblStyle w:val="30"/>
        <w:tblW w:w="92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1800"/>
        <w:gridCol w:w="6411"/>
      </w:tblGrid>
      <w:tr w14:paraId="0FB9A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1822CBD4">
            <w:pPr>
              <w:spacing w:line="340" w:lineRule="exact"/>
              <w:rPr>
                <w:rFonts w:ascii="宋体" w:hAnsi="宋体" w:cs="宋体"/>
                <w:color w:val="auto"/>
                <w:szCs w:val="21"/>
                <w:highlight w:val="none"/>
              </w:rPr>
            </w:pPr>
            <w:r>
              <w:rPr>
                <w:rFonts w:hint="eastAsia" w:ascii="宋体" w:hAnsi="宋体" w:cs="宋体"/>
                <w:color w:val="auto"/>
                <w:szCs w:val="21"/>
                <w:highlight w:val="none"/>
              </w:rPr>
              <w:t>序号</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1B507455">
            <w:pPr>
              <w:spacing w:line="340" w:lineRule="exact"/>
              <w:rPr>
                <w:rFonts w:ascii="宋体" w:hAnsi="宋体" w:cs="宋体"/>
                <w:color w:val="auto"/>
                <w:szCs w:val="21"/>
                <w:highlight w:val="none"/>
              </w:rPr>
            </w:pPr>
            <w:r>
              <w:rPr>
                <w:rFonts w:hint="eastAsia" w:ascii="宋体" w:hAnsi="宋体" w:cs="宋体"/>
                <w:color w:val="auto"/>
                <w:szCs w:val="21"/>
                <w:highlight w:val="none"/>
              </w:rPr>
              <w:t>项目</w:t>
            </w:r>
          </w:p>
        </w:tc>
        <w:tc>
          <w:tcPr>
            <w:tcW w:w="6411" w:type="dxa"/>
            <w:tcBorders>
              <w:top w:val="single" w:color="auto" w:sz="4" w:space="0"/>
              <w:left w:val="single" w:color="auto" w:sz="4" w:space="0"/>
              <w:bottom w:val="single" w:color="auto" w:sz="4" w:space="0"/>
              <w:right w:val="single" w:color="auto" w:sz="4" w:space="0"/>
            </w:tcBorders>
            <w:noWrap w:val="0"/>
            <w:vAlign w:val="top"/>
          </w:tcPr>
          <w:p w14:paraId="677F77C4">
            <w:pPr>
              <w:spacing w:line="34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规定值及允许偏差</w:t>
            </w:r>
            <w:r>
              <w:rPr>
                <w:rFonts w:hint="eastAsia" w:ascii="宋体" w:hAnsi="宋体" w:cs="宋体"/>
                <w:color w:val="auto"/>
                <w:szCs w:val="21"/>
                <w:highlight w:val="none"/>
                <w:lang w:eastAsia="zh-CN"/>
              </w:rPr>
              <w:t>。</w:t>
            </w:r>
          </w:p>
        </w:tc>
      </w:tr>
      <w:tr w14:paraId="174D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1FE2E5BD">
            <w:pPr>
              <w:spacing w:line="340" w:lineRule="exact"/>
              <w:rPr>
                <w:rFonts w:ascii="宋体" w:hAnsi="宋体" w:cs="宋体"/>
                <w:color w:val="auto"/>
                <w:szCs w:val="21"/>
                <w:highlight w:val="none"/>
              </w:rPr>
            </w:pPr>
            <w:r>
              <w:rPr>
                <w:rFonts w:hint="eastAsia" w:ascii="宋体" w:hAnsi="宋体" w:cs="宋体"/>
                <w:color w:val="auto"/>
                <w:szCs w:val="21"/>
                <w:highlight w:val="none"/>
              </w:rPr>
              <w:t>1</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74ECA3A7">
            <w:pPr>
              <w:spacing w:line="340" w:lineRule="exact"/>
              <w:rPr>
                <w:rFonts w:ascii="宋体" w:hAnsi="宋体" w:cs="宋体"/>
                <w:color w:val="auto"/>
                <w:szCs w:val="21"/>
                <w:highlight w:val="none"/>
              </w:rPr>
            </w:pPr>
            <w:r>
              <w:rPr>
                <w:rFonts w:hint="eastAsia" w:ascii="宋体" w:hAnsi="宋体" w:cs="宋体"/>
                <w:color w:val="auto"/>
                <w:szCs w:val="21"/>
                <w:highlight w:val="none"/>
              </w:rPr>
              <w:t>切割</w:t>
            </w:r>
          </w:p>
        </w:tc>
        <w:tc>
          <w:tcPr>
            <w:tcW w:w="6411" w:type="dxa"/>
            <w:tcBorders>
              <w:top w:val="single" w:color="auto" w:sz="4" w:space="0"/>
              <w:left w:val="single" w:color="auto" w:sz="4" w:space="0"/>
              <w:bottom w:val="single" w:color="auto" w:sz="4" w:space="0"/>
              <w:right w:val="single" w:color="auto" w:sz="4" w:space="0"/>
            </w:tcBorders>
            <w:noWrap w:val="0"/>
            <w:vAlign w:val="top"/>
          </w:tcPr>
          <w:p w14:paraId="04C39C46">
            <w:pPr>
              <w:spacing w:line="34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四周切割整齐垂直,不得附有损伤碎片,切角不得小于90℃</w:t>
            </w:r>
            <w:r>
              <w:rPr>
                <w:rFonts w:hint="eastAsia" w:ascii="宋体" w:hAnsi="宋体" w:cs="宋体"/>
                <w:color w:val="auto"/>
                <w:szCs w:val="21"/>
                <w:highlight w:val="none"/>
                <w:lang w:eastAsia="zh-CN"/>
              </w:rPr>
              <w:t>。</w:t>
            </w:r>
          </w:p>
        </w:tc>
      </w:tr>
      <w:tr w14:paraId="25CBC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63D33CDA">
            <w:pPr>
              <w:spacing w:line="340" w:lineRule="exact"/>
              <w:rPr>
                <w:rFonts w:ascii="宋体" w:hAnsi="宋体" w:cs="宋体"/>
                <w:color w:val="auto"/>
                <w:szCs w:val="21"/>
                <w:highlight w:val="none"/>
              </w:rPr>
            </w:pPr>
            <w:r>
              <w:rPr>
                <w:rFonts w:hint="eastAsia" w:ascii="宋体" w:hAnsi="宋体" w:cs="宋体"/>
                <w:color w:val="auto"/>
                <w:szCs w:val="21"/>
                <w:highlight w:val="none"/>
              </w:rPr>
              <w:t>2</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71768CC5">
            <w:pPr>
              <w:spacing w:line="340" w:lineRule="exact"/>
              <w:rPr>
                <w:rFonts w:ascii="宋体" w:hAnsi="宋体" w:cs="宋体"/>
                <w:color w:val="auto"/>
                <w:szCs w:val="21"/>
                <w:highlight w:val="none"/>
              </w:rPr>
            </w:pPr>
            <w:r>
              <w:rPr>
                <w:rFonts w:hint="eastAsia" w:ascii="宋体" w:hAnsi="宋体" w:cs="宋体"/>
                <w:color w:val="auto"/>
                <w:szCs w:val="21"/>
                <w:highlight w:val="none"/>
              </w:rPr>
              <w:t>铺筑</w:t>
            </w:r>
          </w:p>
        </w:tc>
        <w:tc>
          <w:tcPr>
            <w:tcW w:w="6411" w:type="dxa"/>
            <w:tcBorders>
              <w:top w:val="single" w:color="auto" w:sz="4" w:space="0"/>
              <w:left w:val="single" w:color="auto" w:sz="4" w:space="0"/>
              <w:bottom w:val="single" w:color="auto" w:sz="4" w:space="0"/>
              <w:right w:val="single" w:color="auto" w:sz="4" w:space="0"/>
            </w:tcBorders>
            <w:noWrap w:val="0"/>
            <w:vAlign w:val="top"/>
          </w:tcPr>
          <w:p w14:paraId="302D2E14">
            <w:pPr>
              <w:spacing w:line="34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抗压、抗折强度不得低于原路面强度,板厚允许误差-5mm、+10mm</w:t>
            </w:r>
            <w:r>
              <w:rPr>
                <w:color w:val="auto"/>
                <w:highlight w:val="none"/>
              </w:rPr>
              <w:t>；</w:t>
            </w:r>
            <w:r>
              <w:rPr>
                <w:rFonts w:hint="eastAsia" w:ascii="宋体" w:hAnsi="宋体" w:cs="宋体"/>
                <w:color w:val="auto"/>
                <w:szCs w:val="21"/>
                <w:highlight w:val="none"/>
              </w:rPr>
              <w:t xml:space="preserve"> 路面无露骨、麻面,板边蜂窝麻面不得大于3%,面层拉毛应整齐</w:t>
            </w:r>
            <w:r>
              <w:rPr>
                <w:rFonts w:hint="eastAsia" w:ascii="宋体" w:hAnsi="宋体" w:cs="宋体"/>
                <w:color w:val="auto"/>
                <w:szCs w:val="21"/>
                <w:highlight w:val="none"/>
                <w:lang w:eastAsia="zh-CN"/>
              </w:rPr>
              <w:t>。</w:t>
            </w:r>
          </w:p>
        </w:tc>
      </w:tr>
      <w:tr w14:paraId="33BD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098098E2">
            <w:pPr>
              <w:spacing w:line="340" w:lineRule="exact"/>
              <w:rPr>
                <w:rFonts w:ascii="宋体" w:hAnsi="宋体" w:cs="宋体"/>
                <w:color w:val="auto"/>
                <w:szCs w:val="21"/>
                <w:highlight w:val="none"/>
              </w:rPr>
            </w:pPr>
            <w:r>
              <w:rPr>
                <w:rFonts w:hint="eastAsia" w:ascii="宋体" w:hAnsi="宋体" w:cs="宋体"/>
                <w:color w:val="auto"/>
                <w:szCs w:val="21"/>
                <w:highlight w:val="none"/>
              </w:rPr>
              <w:t>3</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0E8CCF9E">
            <w:pPr>
              <w:spacing w:line="340" w:lineRule="exact"/>
              <w:rPr>
                <w:rFonts w:ascii="宋体" w:hAnsi="宋体" w:cs="宋体"/>
                <w:color w:val="auto"/>
                <w:szCs w:val="21"/>
                <w:highlight w:val="none"/>
              </w:rPr>
            </w:pPr>
            <w:r>
              <w:rPr>
                <w:rFonts w:hint="eastAsia" w:ascii="宋体" w:hAnsi="宋体" w:cs="宋体"/>
                <w:color w:val="auto"/>
                <w:szCs w:val="21"/>
                <w:highlight w:val="none"/>
              </w:rPr>
              <w:t>平整度</w:t>
            </w:r>
          </w:p>
        </w:tc>
        <w:tc>
          <w:tcPr>
            <w:tcW w:w="6411" w:type="dxa"/>
            <w:tcBorders>
              <w:top w:val="single" w:color="auto" w:sz="4" w:space="0"/>
              <w:left w:val="single" w:color="auto" w:sz="4" w:space="0"/>
              <w:bottom w:val="single" w:color="auto" w:sz="4" w:space="0"/>
              <w:right w:val="single" w:color="auto" w:sz="4" w:space="0"/>
            </w:tcBorders>
            <w:noWrap w:val="0"/>
            <w:vAlign w:val="top"/>
          </w:tcPr>
          <w:p w14:paraId="4D5B0F97">
            <w:pPr>
              <w:spacing w:line="340" w:lineRule="exact"/>
              <w:rPr>
                <w:rFonts w:ascii="宋体" w:hAnsi="宋体" w:cs="宋体"/>
                <w:color w:val="auto"/>
                <w:szCs w:val="21"/>
                <w:highlight w:val="none"/>
              </w:rPr>
            </w:pPr>
            <w:r>
              <w:rPr>
                <w:rFonts w:hint="eastAsia" w:ascii="宋体" w:hAnsi="宋体" w:cs="宋体"/>
                <w:color w:val="auto"/>
                <w:szCs w:val="21"/>
                <w:highlight w:val="none"/>
              </w:rPr>
              <w:t>路面平整度高差不得大于3mm(3米尺)</w:t>
            </w:r>
          </w:p>
        </w:tc>
      </w:tr>
      <w:tr w14:paraId="44DC3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4257C2A8">
            <w:pPr>
              <w:spacing w:line="340" w:lineRule="exact"/>
              <w:rPr>
                <w:rFonts w:ascii="宋体" w:hAnsi="宋体" w:cs="宋体"/>
                <w:color w:val="auto"/>
                <w:szCs w:val="21"/>
                <w:highlight w:val="none"/>
              </w:rPr>
            </w:pPr>
            <w:r>
              <w:rPr>
                <w:rFonts w:hint="eastAsia" w:ascii="宋体" w:hAnsi="宋体" w:cs="宋体"/>
                <w:color w:val="auto"/>
                <w:szCs w:val="21"/>
                <w:highlight w:val="none"/>
              </w:rPr>
              <w:t>4</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57F783DA">
            <w:pPr>
              <w:spacing w:line="340" w:lineRule="exact"/>
              <w:rPr>
                <w:rFonts w:ascii="宋体" w:hAnsi="宋体" w:cs="宋体"/>
                <w:color w:val="auto"/>
                <w:szCs w:val="21"/>
                <w:highlight w:val="none"/>
              </w:rPr>
            </w:pPr>
            <w:r>
              <w:rPr>
                <w:rFonts w:hint="eastAsia" w:ascii="宋体" w:hAnsi="宋体" w:cs="宋体"/>
                <w:color w:val="auto"/>
                <w:szCs w:val="21"/>
                <w:highlight w:val="none"/>
              </w:rPr>
              <w:t>抗滑</w:t>
            </w:r>
          </w:p>
        </w:tc>
        <w:tc>
          <w:tcPr>
            <w:tcW w:w="6411" w:type="dxa"/>
            <w:tcBorders>
              <w:top w:val="single" w:color="auto" w:sz="4" w:space="0"/>
              <w:left w:val="single" w:color="auto" w:sz="4" w:space="0"/>
              <w:bottom w:val="single" w:color="auto" w:sz="4" w:space="0"/>
              <w:right w:val="single" w:color="auto" w:sz="4" w:space="0"/>
            </w:tcBorders>
            <w:noWrap w:val="0"/>
            <w:vAlign w:val="top"/>
          </w:tcPr>
          <w:p w14:paraId="2931DA04">
            <w:pPr>
              <w:spacing w:line="340" w:lineRule="exact"/>
              <w:rPr>
                <w:rFonts w:ascii="宋体" w:hAnsi="宋体" w:cs="宋体"/>
                <w:color w:val="auto"/>
                <w:szCs w:val="21"/>
                <w:highlight w:val="none"/>
              </w:rPr>
            </w:pPr>
            <w:r>
              <w:rPr>
                <w:rFonts w:hint="eastAsia" w:ascii="宋体" w:hAnsi="宋体" w:cs="宋体"/>
                <w:color w:val="auto"/>
                <w:szCs w:val="21"/>
                <w:highlight w:val="none"/>
              </w:rPr>
              <w:t>抗滑值BPN≥45,或横向力系数SFC≥0.38;</w:t>
            </w:r>
          </w:p>
        </w:tc>
      </w:tr>
      <w:tr w14:paraId="470C3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1783622A">
            <w:pPr>
              <w:spacing w:line="340" w:lineRule="exact"/>
              <w:rPr>
                <w:rFonts w:ascii="宋体" w:hAnsi="宋体" w:cs="宋体"/>
                <w:color w:val="auto"/>
                <w:szCs w:val="21"/>
                <w:highlight w:val="none"/>
              </w:rPr>
            </w:pPr>
            <w:r>
              <w:rPr>
                <w:rFonts w:hint="eastAsia" w:ascii="宋体" w:hAnsi="宋体" w:cs="宋体"/>
                <w:color w:val="auto"/>
                <w:szCs w:val="21"/>
                <w:highlight w:val="none"/>
              </w:rPr>
              <w:t>5</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51745E73">
            <w:pPr>
              <w:spacing w:line="340" w:lineRule="exact"/>
              <w:rPr>
                <w:rFonts w:ascii="宋体" w:hAnsi="宋体" w:cs="宋体"/>
                <w:color w:val="auto"/>
                <w:szCs w:val="21"/>
                <w:highlight w:val="none"/>
              </w:rPr>
            </w:pPr>
            <w:r>
              <w:rPr>
                <w:rFonts w:hint="eastAsia" w:ascii="宋体" w:hAnsi="宋体" w:cs="宋体"/>
                <w:color w:val="auto"/>
                <w:szCs w:val="21"/>
                <w:highlight w:val="none"/>
              </w:rPr>
              <w:t>相邻板差</w:t>
            </w:r>
          </w:p>
        </w:tc>
        <w:tc>
          <w:tcPr>
            <w:tcW w:w="6411" w:type="dxa"/>
            <w:tcBorders>
              <w:top w:val="single" w:color="auto" w:sz="4" w:space="0"/>
              <w:left w:val="single" w:color="auto" w:sz="4" w:space="0"/>
              <w:bottom w:val="single" w:color="auto" w:sz="4" w:space="0"/>
              <w:right w:val="single" w:color="auto" w:sz="4" w:space="0"/>
            </w:tcBorders>
            <w:noWrap w:val="0"/>
            <w:vAlign w:val="top"/>
          </w:tcPr>
          <w:p w14:paraId="75BE03D7">
            <w:pPr>
              <w:spacing w:line="340" w:lineRule="exact"/>
              <w:rPr>
                <w:rFonts w:ascii="宋体" w:hAnsi="宋体" w:cs="宋体"/>
                <w:color w:val="auto"/>
                <w:szCs w:val="21"/>
                <w:highlight w:val="none"/>
              </w:rPr>
            </w:pPr>
            <w:r>
              <w:rPr>
                <w:rFonts w:hint="eastAsia" w:ascii="宋体" w:hAnsi="宋体" w:cs="宋体"/>
                <w:color w:val="auto"/>
                <w:szCs w:val="21"/>
                <w:highlight w:val="none"/>
              </w:rPr>
              <w:t>新板块接边,高差不得大于5mm;</w:t>
            </w:r>
          </w:p>
        </w:tc>
      </w:tr>
      <w:tr w14:paraId="3A9F4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267285A8">
            <w:pPr>
              <w:spacing w:line="340" w:lineRule="exact"/>
              <w:rPr>
                <w:rFonts w:ascii="宋体" w:hAnsi="宋体" w:cs="宋体"/>
                <w:color w:val="auto"/>
                <w:szCs w:val="21"/>
                <w:highlight w:val="none"/>
              </w:rPr>
            </w:pPr>
            <w:r>
              <w:rPr>
                <w:rFonts w:hint="eastAsia" w:ascii="宋体" w:hAnsi="宋体" w:cs="宋体"/>
                <w:color w:val="auto"/>
                <w:szCs w:val="21"/>
                <w:highlight w:val="none"/>
              </w:rPr>
              <w:t>6</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0ABD2E33">
            <w:pPr>
              <w:spacing w:line="340" w:lineRule="exact"/>
              <w:rPr>
                <w:rFonts w:ascii="宋体" w:hAnsi="宋体" w:cs="宋体"/>
                <w:color w:val="auto"/>
                <w:szCs w:val="21"/>
                <w:highlight w:val="none"/>
              </w:rPr>
            </w:pPr>
            <w:r>
              <w:rPr>
                <w:rFonts w:hint="eastAsia" w:ascii="宋体" w:hAnsi="宋体" w:cs="宋体"/>
                <w:color w:val="auto"/>
                <w:szCs w:val="21"/>
                <w:highlight w:val="none"/>
              </w:rPr>
              <w:t>伸缩缝</w:t>
            </w:r>
          </w:p>
        </w:tc>
        <w:tc>
          <w:tcPr>
            <w:tcW w:w="6411" w:type="dxa"/>
            <w:tcBorders>
              <w:top w:val="single" w:color="auto" w:sz="4" w:space="0"/>
              <w:left w:val="single" w:color="auto" w:sz="4" w:space="0"/>
              <w:bottom w:val="single" w:color="auto" w:sz="4" w:space="0"/>
              <w:right w:val="single" w:color="auto" w:sz="4" w:space="0"/>
            </w:tcBorders>
            <w:noWrap w:val="0"/>
            <w:vAlign w:val="top"/>
          </w:tcPr>
          <w:p w14:paraId="31E041C7">
            <w:pPr>
              <w:spacing w:line="340" w:lineRule="exact"/>
              <w:rPr>
                <w:rFonts w:ascii="宋体" w:hAnsi="宋体" w:cs="宋体"/>
                <w:color w:val="auto"/>
                <w:szCs w:val="21"/>
                <w:highlight w:val="none"/>
              </w:rPr>
            </w:pPr>
            <w:r>
              <w:rPr>
                <w:rFonts w:hint="eastAsia" w:ascii="宋体" w:hAnsi="宋体" w:cs="宋体"/>
                <w:color w:val="auto"/>
                <w:szCs w:val="21"/>
                <w:highlight w:val="none"/>
              </w:rPr>
              <w:t>顺直、深度、宽度不得小于原规定; 嵌缝密实,高差不得大于3mm(1米尺)</w:t>
            </w:r>
          </w:p>
        </w:tc>
      </w:tr>
      <w:tr w14:paraId="3B18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785CFE31">
            <w:pPr>
              <w:spacing w:line="340" w:lineRule="exact"/>
              <w:rPr>
                <w:rFonts w:ascii="宋体" w:hAnsi="宋体" w:cs="宋体"/>
                <w:color w:val="auto"/>
                <w:szCs w:val="21"/>
                <w:highlight w:val="none"/>
              </w:rPr>
            </w:pPr>
            <w:r>
              <w:rPr>
                <w:rFonts w:hint="eastAsia" w:ascii="宋体" w:hAnsi="宋体" w:cs="宋体"/>
                <w:color w:val="auto"/>
                <w:szCs w:val="21"/>
                <w:highlight w:val="none"/>
              </w:rPr>
              <w:t>7</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235A1C9B">
            <w:pPr>
              <w:spacing w:line="340" w:lineRule="exact"/>
              <w:rPr>
                <w:rFonts w:ascii="宋体" w:hAnsi="宋体" w:cs="宋体"/>
                <w:color w:val="auto"/>
                <w:szCs w:val="21"/>
                <w:highlight w:val="none"/>
              </w:rPr>
            </w:pPr>
            <w:r>
              <w:rPr>
                <w:rFonts w:hint="eastAsia" w:ascii="宋体" w:hAnsi="宋体" w:cs="宋体"/>
                <w:color w:val="auto"/>
                <w:szCs w:val="21"/>
                <w:highlight w:val="none"/>
              </w:rPr>
              <w:t>路框差</w:t>
            </w:r>
          </w:p>
        </w:tc>
        <w:tc>
          <w:tcPr>
            <w:tcW w:w="6411" w:type="dxa"/>
            <w:tcBorders>
              <w:top w:val="single" w:color="auto" w:sz="4" w:space="0"/>
              <w:left w:val="single" w:color="auto" w:sz="4" w:space="0"/>
              <w:bottom w:val="single" w:color="auto" w:sz="4" w:space="0"/>
              <w:right w:val="single" w:color="auto" w:sz="4" w:space="0"/>
            </w:tcBorders>
            <w:noWrap w:val="0"/>
            <w:vAlign w:val="top"/>
          </w:tcPr>
          <w:p w14:paraId="6A4CB9BF">
            <w:pPr>
              <w:spacing w:line="340" w:lineRule="exact"/>
              <w:rPr>
                <w:rFonts w:ascii="宋体" w:hAnsi="宋体" w:cs="宋体"/>
                <w:color w:val="auto"/>
                <w:szCs w:val="21"/>
                <w:highlight w:val="none"/>
              </w:rPr>
            </w:pPr>
            <w:r>
              <w:rPr>
                <w:rFonts w:hint="eastAsia" w:ascii="宋体" w:hAnsi="宋体" w:cs="宋体"/>
                <w:color w:val="auto"/>
                <w:szCs w:val="21"/>
                <w:highlight w:val="none"/>
              </w:rPr>
              <w:t>座框四周宜设置混凝土保护边,与路面高差不得大于3mm(1米尺)</w:t>
            </w:r>
          </w:p>
        </w:tc>
      </w:tr>
      <w:tr w14:paraId="5D3D3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19946F61">
            <w:pPr>
              <w:spacing w:line="340" w:lineRule="exact"/>
              <w:rPr>
                <w:rFonts w:ascii="宋体" w:hAnsi="宋体" w:cs="宋体"/>
                <w:color w:val="auto"/>
                <w:szCs w:val="21"/>
                <w:highlight w:val="none"/>
              </w:rPr>
            </w:pPr>
            <w:r>
              <w:rPr>
                <w:rFonts w:hint="eastAsia" w:ascii="宋体" w:hAnsi="宋体" w:cs="宋体"/>
                <w:color w:val="auto"/>
                <w:szCs w:val="21"/>
                <w:highlight w:val="none"/>
              </w:rPr>
              <w:t>8</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2BCF4686">
            <w:pPr>
              <w:spacing w:line="340" w:lineRule="exact"/>
              <w:rPr>
                <w:rFonts w:ascii="宋体" w:hAnsi="宋体" w:cs="宋体"/>
                <w:color w:val="auto"/>
                <w:szCs w:val="21"/>
                <w:highlight w:val="none"/>
              </w:rPr>
            </w:pPr>
            <w:r>
              <w:rPr>
                <w:rFonts w:hint="eastAsia" w:ascii="宋体" w:hAnsi="宋体" w:cs="宋体"/>
                <w:color w:val="auto"/>
                <w:szCs w:val="21"/>
                <w:highlight w:val="none"/>
              </w:rPr>
              <w:t>横坡度</w:t>
            </w:r>
          </w:p>
        </w:tc>
        <w:tc>
          <w:tcPr>
            <w:tcW w:w="6411" w:type="dxa"/>
            <w:tcBorders>
              <w:top w:val="single" w:color="auto" w:sz="4" w:space="0"/>
              <w:left w:val="single" w:color="auto" w:sz="4" w:space="0"/>
              <w:bottom w:val="single" w:color="auto" w:sz="4" w:space="0"/>
              <w:right w:val="single" w:color="auto" w:sz="4" w:space="0"/>
            </w:tcBorders>
            <w:noWrap w:val="0"/>
            <w:vAlign w:val="top"/>
          </w:tcPr>
          <w:p w14:paraId="1D557FF4">
            <w:pPr>
              <w:spacing w:line="340" w:lineRule="exact"/>
              <w:rPr>
                <w:rFonts w:ascii="宋体" w:hAnsi="宋体" w:cs="宋体"/>
                <w:color w:val="auto"/>
                <w:szCs w:val="21"/>
                <w:highlight w:val="none"/>
              </w:rPr>
            </w:pPr>
            <w:r>
              <w:rPr>
                <w:rFonts w:hint="eastAsia" w:ascii="宋体" w:hAnsi="宋体" w:cs="宋体"/>
                <w:color w:val="auto"/>
                <w:szCs w:val="21"/>
                <w:highlight w:val="none"/>
              </w:rPr>
              <w:t>与原路面横坡相一致,不得有积水</w:t>
            </w:r>
          </w:p>
        </w:tc>
      </w:tr>
    </w:tbl>
    <w:p w14:paraId="205C3849">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4.2.3人行道　　　　</w:t>
      </w:r>
    </w:p>
    <w:tbl>
      <w:tblPr>
        <w:tblStyle w:val="30"/>
        <w:tblW w:w="92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019"/>
        <w:gridCol w:w="6424"/>
      </w:tblGrid>
      <w:tr w14:paraId="3051E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top"/>
          </w:tcPr>
          <w:p w14:paraId="487217CC">
            <w:pPr>
              <w:spacing w:line="340" w:lineRule="exact"/>
              <w:rPr>
                <w:rFonts w:ascii="宋体" w:hAnsi="宋体" w:cs="宋体"/>
                <w:color w:val="auto"/>
                <w:szCs w:val="21"/>
                <w:highlight w:val="none"/>
              </w:rPr>
            </w:pPr>
            <w:r>
              <w:rPr>
                <w:rFonts w:hint="eastAsia" w:ascii="宋体" w:hAnsi="宋体" w:cs="宋体"/>
                <w:color w:val="auto"/>
                <w:szCs w:val="21"/>
                <w:highlight w:val="none"/>
              </w:rPr>
              <w:t>序号</w:t>
            </w:r>
          </w:p>
        </w:tc>
        <w:tc>
          <w:tcPr>
            <w:tcW w:w="2019" w:type="dxa"/>
            <w:tcBorders>
              <w:top w:val="single" w:color="auto" w:sz="4" w:space="0"/>
              <w:left w:val="single" w:color="auto" w:sz="4" w:space="0"/>
              <w:bottom w:val="single" w:color="auto" w:sz="4" w:space="0"/>
              <w:right w:val="single" w:color="auto" w:sz="4" w:space="0"/>
            </w:tcBorders>
            <w:noWrap w:val="0"/>
            <w:vAlign w:val="top"/>
          </w:tcPr>
          <w:p w14:paraId="62352C81">
            <w:pPr>
              <w:spacing w:line="340" w:lineRule="exact"/>
              <w:rPr>
                <w:rFonts w:ascii="宋体" w:hAnsi="宋体" w:cs="宋体"/>
                <w:color w:val="auto"/>
                <w:szCs w:val="21"/>
                <w:highlight w:val="none"/>
              </w:rPr>
            </w:pPr>
            <w:r>
              <w:rPr>
                <w:rFonts w:hint="eastAsia" w:ascii="宋体" w:hAnsi="宋体" w:cs="宋体"/>
                <w:color w:val="auto"/>
                <w:szCs w:val="21"/>
                <w:highlight w:val="none"/>
              </w:rPr>
              <w:t>项目</w:t>
            </w:r>
          </w:p>
        </w:tc>
        <w:tc>
          <w:tcPr>
            <w:tcW w:w="6424" w:type="dxa"/>
            <w:tcBorders>
              <w:top w:val="single" w:color="auto" w:sz="4" w:space="0"/>
              <w:left w:val="single" w:color="auto" w:sz="4" w:space="0"/>
              <w:bottom w:val="single" w:color="auto" w:sz="4" w:space="0"/>
              <w:right w:val="single" w:color="auto" w:sz="4" w:space="0"/>
            </w:tcBorders>
            <w:noWrap w:val="0"/>
            <w:vAlign w:val="top"/>
          </w:tcPr>
          <w:p w14:paraId="758B3935">
            <w:pPr>
              <w:spacing w:line="340" w:lineRule="exact"/>
              <w:rPr>
                <w:rFonts w:ascii="宋体" w:hAnsi="宋体" w:cs="宋体"/>
                <w:color w:val="auto"/>
                <w:szCs w:val="21"/>
                <w:highlight w:val="none"/>
              </w:rPr>
            </w:pPr>
            <w:r>
              <w:rPr>
                <w:rFonts w:hint="eastAsia" w:ascii="宋体" w:hAnsi="宋体" w:cs="宋体"/>
                <w:color w:val="auto"/>
                <w:szCs w:val="21"/>
                <w:highlight w:val="none"/>
              </w:rPr>
              <w:t>规定值及允许偏差</w:t>
            </w:r>
          </w:p>
        </w:tc>
      </w:tr>
      <w:tr w14:paraId="56D8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top"/>
          </w:tcPr>
          <w:p w14:paraId="3A4B3A18">
            <w:pPr>
              <w:spacing w:line="340" w:lineRule="exact"/>
              <w:rPr>
                <w:rFonts w:ascii="宋体" w:hAnsi="宋体" w:cs="宋体"/>
                <w:color w:val="auto"/>
                <w:szCs w:val="21"/>
                <w:highlight w:val="none"/>
              </w:rPr>
            </w:pPr>
            <w:r>
              <w:rPr>
                <w:rFonts w:hint="eastAsia" w:ascii="宋体" w:hAnsi="宋体" w:cs="宋体"/>
                <w:color w:val="auto"/>
                <w:szCs w:val="21"/>
                <w:highlight w:val="none"/>
              </w:rPr>
              <w:t>1</w:t>
            </w:r>
          </w:p>
        </w:tc>
        <w:tc>
          <w:tcPr>
            <w:tcW w:w="2019" w:type="dxa"/>
            <w:tcBorders>
              <w:top w:val="single" w:color="auto" w:sz="4" w:space="0"/>
              <w:left w:val="single" w:color="auto" w:sz="4" w:space="0"/>
              <w:bottom w:val="single" w:color="auto" w:sz="4" w:space="0"/>
              <w:right w:val="single" w:color="auto" w:sz="4" w:space="0"/>
            </w:tcBorders>
            <w:noWrap w:val="0"/>
            <w:vAlign w:val="top"/>
          </w:tcPr>
          <w:p w14:paraId="52C8EA06">
            <w:pPr>
              <w:spacing w:line="340" w:lineRule="exact"/>
              <w:rPr>
                <w:rFonts w:ascii="宋体" w:hAnsi="宋体" w:cs="宋体"/>
                <w:color w:val="auto"/>
                <w:szCs w:val="21"/>
                <w:highlight w:val="none"/>
              </w:rPr>
            </w:pPr>
            <w:r>
              <w:rPr>
                <w:rFonts w:hint="eastAsia" w:ascii="宋体" w:hAnsi="宋体" w:cs="宋体"/>
                <w:color w:val="auto"/>
                <w:szCs w:val="21"/>
                <w:highlight w:val="none"/>
              </w:rPr>
              <w:t>铺筑</w:t>
            </w:r>
          </w:p>
        </w:tc>
        <w:tc>
          <w:tcPr>
            <w:tcW w:w="6424" w:type="dxa"/>
            <w:tcBorders>
              <w:top w:val="single" w:color="auto" w:sz="4" w:space="0"/>
              <w:left w:val="single" w:color="auto" w:sz="4" w:space="0"/>
              <w:bottom w:val="single" w:color="auto" w:sz="4" w:space="0"/>
              <w:right w:val="single" w:color="auto" w:sz="4" w:space="0"/>
            </w:tcBorders>
            <w:noWrap w:val="0"/>
            <w:vAlign w:val="top"/>
          </w:tcPr>
          <w:p w14:paraId="2180F792">
            <w:pPr>
              <w:spacing w:line="340" w:lineRule="exact"/>
              <w:rPr>
                <w:rFonts w:ascii="宋体" w:hAnsi="宋体" w:cs="宋体"/>
                <w:color w:val="auto"/>
                <w:szCs w:val="21"/>
                <w:highlight w:val="none"/>
              </w:rPr>
            </w:pPr>
            <w:r>
              <w:rPr>
                <w:rFonts w:hint="eastAsia" w:ascii="宋体" w:hAnsi="宋体" w:cs="宋体"/>
                <w:color w:val="auto"/>
                <w:szCs w:val="21"/>
                <w:highlight w:val="none"/>
              </w:rPr>
              <w:t>预制块、块石铺筑平整不松动,缝隙饱满; 纵横缝顺直,排列整齐,纵向偏差不得大于10mm;(10米线量)</w:t>
            </w:r>
          </w:p>
        </w:tc>
      </w:tr>
      <w:tr w14:paraId="5FAE9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top"/>
          </w:tcPr>
          <w:p w14:paraId="43D4D509">
            <w:pPr>
              <w:spacing w:line="340" w:lineRule="exact"/>
              <w:rPr>
                <w:rFonts w:ascii="宋体" w:hAnsi="宋体" w:cs="宋体"/>
                <w:color w:val="auto"/>
                <w:szCs w:val="21"/>
                <w:highlight w:val="none"/>
              </w:rPr>
            </w:pPr>
            <w:r>
              <w:rPr>
                <w:rFonts w:hint="eastAsia" w:ascii="宋体" w:hAnsi="宋体" w:cs="宋体"/>
                <w:color w:val="auto"/>
                <w:szCs w:val="21"/>
                <w:highlight w:val="none"/>
              </w:rPr>
              <w:t>2</w:t>
            </w:r>
          </w:p>
        </w:tc>
        <w:tc>
          <w:tcPr>
            <w:tcW w:w="2019" w:type="dxa"/>
            <w:tcBorders>
              <w:top w:val="single" w:color="auto" w:sz="4" w:space="0"/>
              <w:left w:val="single" w:color="auto" w:sz="4" w:space="0"/>
              <w:bottom w:val="single" w:color="auto" w:sz="4" w:space="0"/>
              <w:right w:val="single" w:color="auto" w:sz="4" w:space="0"/>
            </w:tcBorders>
            <w:noWrap w:val="0"/>
            <w:vAlign w:val="top"/>
          </w:tcPr>
          <w:p w14:paraId="6DB5E144">
            <w:pPr>
              <w:spacing w:line="340" w:lineRule="exact"/>
              <w:rPr>
                <w:rFonts w:ascii="宋体" w:hAnsi="宋体" w:cs="宋体"/>
                <w:color w:val="auto"/>
                <w:szCs w:val="21"/>
                <w:highlight w:val="none"/>
              </w:rPr>
            </w:pPr>
            <w:r>
              <w:rPr>
                <w:rFonts w:hint="eastAsia" w:ascii="宋体" w:hAnsi="宋体" w:cs="宋体"/>
                <w:color w:val="auto"/>
                <w:szCs w:val="21"/>
                <w:highlight w:val="none"/>
              </w:rPr>
              <w:t>面层材料</w:t>
            </w:r>
          </w:p>
        </w:tc>
        <w:tc>
          <w:tcPr>
            <w:tcW w:w="6424" w:type="dxa"/>
            <w:tcBorders>
              <w:top w:val="single" w:color="auto" w:sz="4" w:space="0"/>
              <w:left w:val="single" w:color="auto" w:sz="4" w:space="0"/>
              <w:bottom w:val="single" w:color="auto" w:sz="4" w:space="0"/>
              <w:right w:val="single" w:color="auto" w:sz="4" w:space="0"/>
            </w:tcBorders>
            <w:noWrap w:val="0"/>
            <w:vAlign w:val="top"/>
          </w:tcPr>
          <w:p w14:paraId="0536B7E9">
            <w:pPr>
              <w:spacing w:line="340" w:lineRule="exact"/>
              <w:rPr>
                <w:rFonts w:ascii="宋体" w:hAnsi="宋体" w:cs="宋体"/>
                <w:color w:val="auto"/>
                <w:szCs w:val="21"/>
                <w:highlight w:val="none"/>
              </w:rPr>
            </w:pPr>
            <w:r>
              <w:rPr>
                <w:rFonts w:hint="eastAsia" w:ascii="宋体" w:hAnsi="宋体" w:cs="宋体"/>
                <w:color w:val="auto"/>
                <w:szCs w:val="21"/>
                <w:highlight w:val="none"/>
              </w:rPr>
              <w:t>面层材料应防滑、透水、透气</w:t>
            </w:r>
          </w:p>
        </w:tc>
      </w:tr>
      <w:tr w14:paraId="62E38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top"/>
          </w:tcPr>
          <w:p w14:paraId="5829A250">
            <w:pPr>
              <w:spacing w:line="340" w:lineRule="exact"/>
              <w:rPr>
                <w:rFonts w:ascii="宋体" w:hAnsi="宋体" w:cs="宋体"/>
                <w:color w:val="auto"/>
                <w:szCs w:val="21"/>
                <w:highlight w:val="none"/>
              </w:rPr>
            </w:pPr>
            <w:r>
              <w:rPr>
                <w:rFonts w:hint="eastAsia" w:ascii="宋体" w:hAnsi="宋体" w:cs="宋体"/>
                <w:color w:val="auto"/>
                <w:szCs w:val="21"/>
                <w:highlight w:val="none"/>
              </w:rPr>
              <w:t>3</w:t>
            </w:r>
          </w:p>
        </w:tc>
        <w:tc>
          <w:tcPr>
            <w:tcW w:w="2019" w:type="dxa"/>
            <w:tcBorders>
              <w:top w:val="single" w:color="auto" w:sz="4" w:space="0"/>
              <w:left w:val="single" w:color="auto" w:sz="4" w:space="0"/>
              <w:bottom w:val="single" w:color="auto" w:sz="4" w:space="0"/>
              <w:right w:val="single" w:color="auto" w:sz="4" w:space="0"/>
            </w:tcBorders>
            <w:noWrap w:val="0"/>
            <w:vAlign w:val="top"/>
          </w:tcPr>
          <w:p w14:paraId="618D19CA">
            <w:pPr>
              <w:spacing w:line="340" w:lineRule="exact"/>
              <w:rPr>
                <w:rFonts w:ascii="宋体" w:hAnsi="宋体" w:cs="宋体"/>
                <w:color w:val="auto"/>
                <w:szCs w:val="21"/>
                <w:highlight w:val="none"/>
              </w:rPr>
            </w:pPr>
            <w:r>
              <w:rPr>
                <w:rFonts w:hint="eastAsia" w:ascii="宋体" w:hAnsi="宋体" w:cs="宋体"/>
                <w:color w:val="auto"/>
                <w:szCs w:val="21"/>
                <w:highlight w:val="none"/>
              </w:rPr>
              <w:t>强度</w:t>
            </w:r>
          </w:p>
        </w:tc>
        <w:tc>
          <w:tcPr>
            <w:tcW w:w="6424" w:type="dxa"/>
            <w:tcBorders>
              <w:top w:val="single" w:color="auto" w:sz="4" w:space="0"/>
              <w:left w:val="single" w:color="auto" w:sz="4" w:space="0"/>
              <w:bottom w:val="single" w:color="auto" w:sz="4" w:space="0"/>
              <w:right w:val="single" w:color="auto" w:sz="4" w:space="0"/>
            </w:tcBorders>
            <w:noWrap w:val="0"/>
            <w:vAlign w:val="top"/>
          </w:tcPr>
          <w:p w14:paraId="07CDEF9E">
            <w:pPr>
              <w:spacing w:line="340" w:lineRule="exact"/>
              <w:rPr>
                <w:rFonts w:ascii="宋体" w:hAnsi="宋体" w:cs="宋体"/>
                <w:color w:val="auto"/>
                <w:szCs w:val="21"/>
                <w:highlight w:val="none"/>
              </w:rPr>
            </w:pPr>
            <w:r>
              <w:rPr>
                <w:rFonts w:hint="eastAsia" w:ascii="宋体" w:hAnsi="宋体" w:cs="宋体"/>
                <w:color w:val="auto"/>
                <w:szCs w:val="21"/>
                <w:highlight w:val="none"/>
              </w:rPr>
              <w:t>现浇水泥人行道强度、厚度符合设计要求,振捣结实; 表面无露骨,麻面,厚度偏差+10mm 、-5mm</w:t>
            </w:r>
          </w:p>
        </w:tc>
      </w:tr>
      <w:tr w14:paraId="7F14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top"/>
          </w:tcPr>
          <w:p w14:paraId="7FC131BE">
            <w:pPr>
              <w:spacing w:line="340" w:lineRule="exact"/>
              <w:rPr>
                <w:rFonts w:ascii="宋体" w:hAnsi="宋体" w:cs="宋体"/>
                <w:color w:val="auto"/>
                <w:szCs w:val="21"/>
                <w:highlight w:val="none"/>
              </w:rPr>
            </w:pPr>
            <w:r>
              <w:rPr>
                <w:rFonts w:hint="eastAsia" w:ascii="宋体" w:hAnsi="宋体" w:cs="宋体"/>
                <w:color w:val="auto"/>
                <w:szCs w:val="21"/>
                <w:highlight w:val="none"/>
              </w:rPr>
              <w:t>4</w:t>
            </w:r>
          </w:p>
        </w:tc>
        <w:tc>
          <w:tcPr>
            <w:tcW w:w="2019" w:type="dxa"/>
            <w:tcBorders>
              <w:top w:val="single" w:color="auto" w:sz="4" w:space="0"/>
              <w:left w:val="single" w:color="auto" w:sz="4" w:space="0"/>
              <w:bottom w:val="single" w:color="auto" w:sz="4" w:space="0"/>
              <w:right w:val="single" w:color="auto" w:sz="4" w:space="0"/>
            </w:tcBorders>
            <w:noWrap w:val="0"/>
            <w:vAlign w:val="top"/>
          </w:tcPr>
          <w:p w14:paraId="04730C62">
            <w:pPr>
              <w:spacing w:line="340" w:lineRule="exact"/>
              <w:rPr>
                <w:rFonts w:ascii="宋体" w:hAnsi="宋体" w:cs="宋体"/>
                <w:color w:val="auto"/>
                <w:szCs w:val="21"/>
                <w:highlight w:val="none"/>
              </w:rPr>
            </w:pPr>
            <w:r>
              <w:rPr>
                <w:rFonts w:hint="eastAsia" w:ascii="宋体" w:hAnsi="宋体" w:cs="宋体"/>
                <w:color w:val="auto"/>
                <w:szCs w:val="21"/>
                <w:highlight w:val="none"/>
              </w:rPr>
              <w:t>平整度</w:t>
            </w:r>
          </w:p>
        </w:tc>
        <w:tc>
          <w:tcPr>
            <w:tcW w:w="6424" w:type="dxa"/>
            <w:tcBorders>
              <w:top w:val="single" w:color="auto" w:sz="4" w:space="0"/>
              <w:left w:val="single" w:color="auto" w:sz="4" w:space="0"/>
              <w:bottom w:val="single" w:color="auto" w:sz="4" w:space="0"/>
              <w:right w:val="single" w:color="auto" w:sz="4" w:space="0"/>
            </w:tcBorders>
            <w:noWrap w:val="0"/>
            <w:vAlign w:val="top"/>
          </w:tcPr>
          <w:p w14:paraId="168FDE12">
            <w:pPr>
              <w:spacing w:line="340" w:lineRule="exact"/>
              <w:rPr>
                <w:rFonts w:ascii="宋体" w:hAnsi="宋体" w:cs="宋体"/>
                <w:color w:val="auto"/>
                <w:szCs w:val="21"/>
                <w:highlight w:val="none"/>
              </w:rPr>
            </w:pPr>
            <w:r>
              <w:rPr>
                <w:rFonts w:hint="eastAsia" w:ascii="宋体" w:hAnsi="宋体" w:cs="宋体"/>
                <w:color w:val="auto"/>
                <w:szCs w:val="21"/>
                <w:highlight w:val="none"/>
              </w:rPr>
              <w:t>高差不得大于5mm(3米尺)</w:t>
            </w:r>
          </w:p>
        </w:tc>
      </w:tr>
      <w:tr w14:paraId="6712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top"/>
          </w:tcPr>
          <w:p w14:paraId="1145AF3C">
            <w:pPr>
              <w:spacing w:line="340" w:lineRule="exact"/>
              <w:rPr>
                <w:rFonts w:ascii="宋体" w:hAnsi="宋体" w:cs="宋体"/>
                <w:color w:val="auto"/>
                <w:szCs w:val="21"/>
                <w:highlight w:val="none"/>
              </w:rPr>
            </w:pPr>
            <w:r>
              <w:rPr>
                <w:rFonts w:hint="eastAsia" w:ascii="宋体" w:hAnsi="宋体" w:cs="宋体"/>
                <w:color w:val="auto"/>
                <w:szCs w:val="21"/>
                <w:highlight w:val="none"/>
              </w:rPr>
              <w:t>5</w:t>
            </w:r>
          </w:p>
        </w:tc>
        <w:tc>
          <w:tcPr>
            <w:tcW w:w="2019" w:type="dxa"/>
            <w:tcBorders>
              <w:top w:val="single" w:color="auto" w:sz="4" w:space="0"/>
              <w:left w:val="single" w:color="auto" w:sz="4" w:space="0"/>
              <w:bottom w:val="single" w:color="auto" w:sz="4" w:space="0"/>
              <w:right w:val="single" w:color="auto" w:sz="4" w:space="0"/>
            </w:tcBorders>
            <w:noWrap w:val="0"/>
            <w:vAlign w:val="top"/>
          </w:tcPr>
          <w:p w14:paraId="0EAE6EE7">
            <w:pPr>
              <w:spacing w:line="340" w:lineRule="exact"/>
              <w:rPr>
                <w:rFonts w:ascii="宋体" w:hAnsi="宋体" w:cs="宋体"/>
                <w:color w:val="auto"/>
                <w:szCs w:val="21"/>
                <w:highlight w:val="none"/>
              </w:rPr>
            </w:pPr>
            <w:r>
              <w:rPr>
                <w:rFonts w:hint="eastAsia" w:ascii="宋体" w:hAnsi="宋体" w:cs="宋体"/>
                <w:color w:val="auto"/>
                <w:szCs w:val="21"/>
                <w:highlight w:val="none"/>
              </w:rPr>
              <w:t>路框差</w:t>
            </w:r>
          </w:p>
        </w:tc>
        <w:tc>
          <w:tcPr>
            <w:tcW w:w="6424" w:type="dxa"/>
            <w:tcBorders>
              <w:top w:val="single" w:color="auto" w:sz="4" w:space="0"/>
              <w:left w:val="single" w:color="auto" w:sz="4" w:space="0"/>
              <w:bottom w:val="single" w:color="auto" w:sz="4" w:space="0"/>
              <w:right w:val="single" w:color="auto" w:sz="4" w:space="0"/>
            </w:tcBorders>
            <w:noWrap w:val="0"/>
            <w:vAlign w:val="top"/>
          </w:tcPr>
          <w:p w14:paraId="2D8FB359">
            <w:pPr>
              <w:spacing w:line="340" w:lineRule="exact"/>
              <w:rPr>
                <w:rFonts w:ascii="宋体" w:hAnsi="宋体" w:cs="宋体"/>
                <w:color w:val="auto"/>
                <w:szCs w:val="21"/>
                <w:highlight w:val="none"/>
              </w:rPr>
            </w:pPr>
            <w:r>
              <w:rPr>
                <w:rFonts w:hint="eastAsia" w:ascii="宋体" w:hAnsi="宋体" w:cs="宋体"/>
                <w:color w:val="auto"/>
                <w:szCs w:val="21"/>
                <w:highlight w:val="none"/>
              </w:rPr>
              <w:t>检查井及井盖框与人行道路面高差不得大于5mm；现浇水泥人行道不得大于3mm(1米尺)</w:t>
            </w:r>
          </w:p>
        </w:tc>
      </w:tr>
      <w:tr w14:paraId="306A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top"/>
          </w:tcPr>
          <w:p w14:paraId="26CEABBF">
            <w:pPr>
              <w:spacing w:line="340" w:lineRule="exact"/>
              <w:rPr>
                <w:rFonts w:ascii="宋体" w:hAnsi="宋体" w:cs="宋体"/>
                <w:color w:val="auto"/>
                <w:szCs w:val="21"/>
                <w:highlight w:val="none"/>
              </w:rPr>
            </w:pPr>
            <w:r>
              <w:rPr>
                <w:rFonts w:hint="eastAsia" w:ascii="宋体" w:hAnsi="宋体" w:cs="宋体"/>
                <w:color w:val="auto"/>
                <w:szCs w:val="21"/>
                <w:highlight w:val="none"/>
              </w:rPr>
              <w:t>6</w:t>
            </w:r>
          </w:p>
        </w:tc>
        <w:tc>
          <w:tcPr>
            <w:tcW w:w="2019" w:type="dxa"/>
            <w:tcBorders>
              <w:top w:val="single" w:color="auto" w:sz="4" w:space="0"/>
              <w:left w:val="single" w:color="auto" w:sz="4" w:space="0"/>
              <w:bottom w:val="single" w:color="auto" w:sz="4" w:space="0"/>
              <w:right w:val="single" w:color="auto" w:sz="4" w:space="0"/>
            </w:tcBorders>
            <w:noWrap w:val="0"/>
            <w:vAlign w:val="top"/>
          </w:tcPr>
          <w:p w14:paraId="16CA3A60">
            <w:pPr>
              <w:spacing w:line="340" w:lineRule="exact"/>
              <w:rPr>
                <w:rFonts w:ascii="宋体" w:hAnsi="宋体" w:cs="宋体"/>
                <w:color w:val="auto"/>
                <w:szCs w:val="21"/>
                <w:highlight w:val="none"/>
              </w:rPr>
            </w:pPr>
            <w:r>
              <w:rPr>
                <w:rFonts w:hint="eastAsia" w:ascii="宋体" w:hAnsi="宋体" w:cs="宋体"/>
                <w:color w:val="auto"/>
                <w:szCs w:val="21"/>
                <w:highlight w:val="none"/>
              </w:rPr>
              <w:t>接茬</w:t>
            </w:r>
          </w:p>
        </w:tc>
        <w:tc>
          <w:tcPr>
            <w:tcW w:w="6424" w:type="dxa"/>
            <w:tcBorders>
              <w:top w:val="single" w:color="auto" w:sz="4" w:space="0"/>
              <w:left w:val="single" w:color="auto" w:sz="4" w:space="0"/>
              <w:bottom w:val="single" w:color="auto" w:sz="4" w:space="0"/>
              <w:right w:val="single" w:color="auto" w:sz="4" w:space="0"/>
            </w:tcBorders>
            <w:noWrap w:val="0"/>
            <w:vAlign w:val="top"/>
          </w:tcPr>
          <w:p w14:paraId="69F7FA92">
            <w:pPr>
              <w:spacing w:line="340" w:lineRule="exact"/>
              <w:rPr>
                <w:rFonts w:ascii="宋体" w:hAnsi="宋体" w:cs="宋体"/>
                <w:color w:val="auto"/>
                <w:szCs w:val="21"/>
                <w:highlight w:val="none"/>
              </w:rPr>
            </w:pPr>
            <w:r>
              <w:rPr>
                <w:rFonts w:hint="eastAsia" w:ascii="宋体" w:hAnsi="宋体" w:cs="宋体"/>
                <w:color w:val="auto"/>
                <w:szCs w:val="21"/>
                <w:highlight w:val="none"/>
              </w:rPr>
              <w:t>人行道面应高于侧石顶面5mm; 新老接茬齐平,高差不得大于5mm(1米尺)</w:t>
            </w:r>
          </w:p>
        </w:tc>
      </w:tr>
      <w:tr w14:paraId="457A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top"/>
          </w:tcPr>
          <w:p w14:paraId="5C534564">
            <w:pPr>
              <w:spacing w:line="340" w:lineRule="exact"/>
              <w:rPr>
                <w:rFonts w:ascii="宋体" w:hAnsi="宋体" w:cs="宋体"/>
                <w:color w:val="auto"/>
                <w:szCs w:val="21"/>
                <w:highlight w:val="none"/>
              </w:rPr>
            </w:pPr>
            <w:r>
              <w:rPr>
                <w:rFonts w:hint="eastAsia" w:ascii="宋体" w:hAnsi="宋体" w:cs="宋体"/>
                <w:color w:val="auto"/>
                <w:szCs w:val="21"/>
                <w:highlight w:val="none"/>
              </w:rPr>
              <w:t>7</w:t>
            </w:r>
          </w:p>
        </w:tc>
        <w:tc>
          <w:tcPr>
            <w:tcW w:w="2019" w:type="dxa"/>
            <w:tcBorders>
              <w:top w:val="single" w:color="auto" w:sz="4" w:space="0"/>
              <w:left w:val="single" w:color="auto" w:sz="4" w:space="0"/>
              <w:bottom w:val="single" w:color="auto" w:sz="4" w:space="0"/>
              <w:right w:val="single" w:color="auto" w:sz="4" w:space="0"/>
            </w:tcBorders>
            <w:noWrap w:val="0"/>
            <w:vAlign w:val="top"/>
          </w:tcPr>
          <w:p w14:paraId="7AFF2C6A">
            <w:pPr>
              <w:spacing w:line="340" w:lineRule="exact"/>
              <w:rPr>
                <w:rFonts w:ascii="宋体" w:hAnsi="宋体" w:cs="宋体"/>
                <w:color w:val="auto"/>
                <w:szCs w:val="21"/>
                <w:highlight w:val="none"/>
              </w:rPr>
            </w:pPr>
            <w:r>
              <w:rPr>
                <w:rFonts w:hint="eastAsia" w:ascii="宋体" w:hAnsi="宋体" w:cs="宋体"/>
                <w:color w:val="auto"/>
                <w:szCs w:val="21"/>
                <w:highlight w:val="none"/>
              </w:rPr>
              <w:t>凿边及滚边</w:t>
            </w:r>
          </w:p>
        </w:tc>
        <w:tc>
          <w:tcPr>
            <w:tcW w:w="6424" w:type="dxa"/>
            <w:tcBorders>
              <w:top w:val="single" w:color="auto" w:sz="4" w:space="0"/>
              <w:left w:val="single" w:color="auto" w:sz="4" w:space="0"/>
              <w:bottom w:val="single" w:color="auto" w:sz="4" w:space="0"/>
              <w:right w:val="single" w:color="auto" w:sz="4" w:space="0"/>
            </w:tcBorders>
            <w:noWrap w:val="0"/>
            <w:vAlign w:val="top"/>
          </w:tcPr>
          <w:p w14:paraId="2346BAC9">
            <w:pPr>
              <w:spacing w:line="340" w:lineRule="exact"/>
              <w:rPr>
                <w:rFonts w:ascii="宋体" w:hAnsi="宋体" w:cs="宋体"/>
                <w:color w:val="auto"/>
                <w:szCs w:val="21"/>
                <w:highlight w:val="none"/>
              </w:rPr>
            </w:pPr>
            <w:r>
              <w:rPr>
                <w:rFonts w:hint="eastAsia" w:ascii="宋体" w:hAnsi="宋体" w:cs="宋体"/>
                <w:color w:val="auto"/>
                <w:szCs w:val="21"/>
                <w:highlight w:val="none"/>
              </w:rPr>
              <w:t>现浇人行道四周凿边整齐不斜,四周不得有损伤碎石; 纵横划线垂直齐整、缝宽和缝深均匀,滚花整齐</w:t>
            </w:r>
          </w:p>
        </w:tc>
      </w:tr>
      <w:tr w14:paraId="2F21C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top"/>
          </w:tcPr>
          <w:p w14:paraId="4B707F9C">
            <w:pPr>
              <w:spacing w:line="340" w:lineRule="exact"/>
              <w:rPr>
                <w:rFonts w:ascii="宋体" w:hAnsi="宋体" w:cs="宋体"/>
                <w:color w:val="auto"/>
                <w:szCs w:val="21"/>
                <w:highlight w:val="none"/>
              </w:rPr>
            </w:pPr>
            <w:r>
              <w:rPr>
                <w:rFonts w:hint="eastAsia" w:ascii="宋体" w:hAnsi="宋体" w:cs="宋体"/>
                <w:color w:val="auto"/>
                <w:szCs w:val="21"/>
                <w:highlight w:val="none"/>
              </w:rPr>
              <w:t>8</w:t>
            </w:r>
          </w:p>
        </w:tc>
        <w:tc>
          <w:tcPr>
            <w:tcW w:w="2019" w:type="dxa"/>
            <w:tcBorders>
              <w:top w:val="single" w:color="auto" w:sz="4" w:space="0"/>
              <w:left w:val="single" w:color="auto" w:sz="4" w:space="0"/>
              <w:bottom w:val="single" w:color="auto" w:sz="4" w:space="0"/>
              <w:right w:val="single" w:color="auto" w:sz="4" w:space="0"/>
            </w:tcBorders>
            <w:noWrap w:val="0"/>
            <w:vAlign w:val="top"/>
          </w:tcPr>
          <w:p w14:paraId="6401C03C">
            <w:pPr>
              <w:spacing w:line="340" w:lineRule="exact"/>
              <w:rPr>
                <w:rFonts w:ascii="宋体" w:hAnsi="宋体" w:cs="宋体"/>
                <w:color w:val="auto"/>
                <w:szCs w:val="21"/>
                <w:highlight w:val="none"/>
              </w:rPr>
            </w:pPr>
            <w:r>
              <w:rPr>
                <w:rFonts w:hint="eastAsia" w:ascii="宋体" w:hAnsi="宋体" w:cs="宋体"/>
                <w:color w:val="auto"/>
                <w:szCs w:val="21"/>
                <w:highlight w:val="none"/>
              </w:rPr>
              <w:t>盲道位置</w:t>
            </w:r>
          </w:p>
        </w:tc>
        <w:tc>
          <w:tcPr>
            <w:tcW w:w="6424" w:type="dxa"/>
            <w:tcBorders>
              <w:top w:val="single" w:color="auto" w:sz="4" w:space="0"/>
              <w:left w:val="single" w:color="auto" w:sz="4" w:space="0"/>
              <w:bottom w:val="single" w:color="auto" w:sz="4" w:space="0"/>
              <w:right w:val="single" w:color="auto" w:sz="4" w:space="0"/>
            </w:tcBorders>
            <w:noWrap w:val="0"/>
            <w:vAlign w:val="top"/>
          </w:tcPr>
          <w:p w14:paraId="1D5B4669">
            <w:pPr>
              <w:spacing w:line="340" w:lineRule="exact"/>
              <w:rPr>
                <w:rFonts w:ascii="宋体" w:hAnsi="宋体" w:cs="宋体"/>
                <w:color w:val="auto"/>
                <w:szCs w:val="21"/>
                <w:highlight w:val="none"/>
              </w:rPr>
            </w:pPr>
            <w:r>
              <w:rPr>
                <w:rFonts w:hint="eastAsia" w:ascii="宋体" w:hAnsi="宋体" w:cs="宋体"/>
                <w:color w:val="auto"/>
                <w:szCs w:val="21"/>
                <w:highlight w:val="none"/>
              </w:rPr>
              <w:t>设置盲道的人行道宽度不宜小于3500mm ; 避开各类地面障碍物并距人行道边线250~600mm; 盲道中应无障碍物,检查井盖框高低差不超过10mm</w:t>
            </w:r>
          </w:p>
        </w:tc>
      </w:tr>
      <w:tr w14:paraId="7D80D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top"/>
          </w:tcPr>
          <w:p w14:paraId="053A25E9">
            <w:pPr>
              <w:spacing w:line="340" w:lineRule="exact"/>
              <w:rPr>
                <w:rFonts w:ascii="宋体" w:hAnsi="宋体" w:cs="宋体"/>
                <w:color w:val="auto"/>
                <w:szCs w:val="21"/>
                <w:highlight w:val="none"/>
              </w:rPr>
            </w:pPr>
            <w:r>
              <w:rPr>
                <w:rFonts w:hint="eastAsia" w:ascii="宋体" w:hAnsi="宋体" w:cs="宋体"/>
                <w:color w:val="auto"/>
                <w:szCs w:val="21"/>
                <w:highlight w:val="none"/>
              </w:rPr>
              <w:t>9</w:t>
            </w:r>
          </w:p>
        </w:tc>
        <w:tc>
          <w:tcPr>
            <w:tcW w:w="2019" w:type="dxa"/>
            <w:tcBorders>
              <w:top w:val="single" w:color="auto" w:sz="4" w:space="0"/>
              <w:left w:val="single" w:color="auto" w:sz="4" w:space="0"/>
              <w:bottom w:val="single" w:color="auto" w:sz="4" w:space="0"/>
              <w:right w:val="single" w:color="auto" w:sz="4" w:space="0"/>
            </w:tcBorders>
            <w:noWrap w:val="0"/>
            <w:vAlign w:val="top"/>
          </w:tcPr>
          <w:p w14:paraId="660DB408">
            <w:pPr>
              <w:spacing w:line="340" w:lineRule="exact"/>
              <w:rPr>
                <w:rFonts w:ascii="宋体" w:hAnsi="宋体" w:cs="宋体"/>
                <w:color w:val="auto"/>
                <w:szCs w:val="21"/>
                <w:highlight w:val="none"/>
              </w:rPr>
            </w:pPr>
            <w:r>
              <w:rPr>
                <w:rFonts w:hint="eastAsia" w:ascii="宋体" w:hAnsi="宋体" w:cs="宋体"/>
                <w:color w:val="auto"/>
                <w:szCs w:val="21"/>
                <w:highlight w:val="none"/>
              </w:rPr>
              <w:t>盲道宽度</w:t>
            </w:r>
          </w:p>
        </w:tc>
        <w:tc>
          <w:tcPr>
            <w:tcW w:w="6424" w:type="dxa"/>
            <w:tcBorders>
              <w:top w:val="single" w:color="auto" w:sz="4" w:space="0"/>
              <w:left w:val="single" w:color="auto" w:sz="4" w:space="0"/>
              <w:bottom w:val="single" w:color="auto" w:sz="4" w:space="0"/>
              <w:right w:val="single" w:color="auto" w:sz="4" w:space="0"/>
            </w:tcBorders>
            <w:noWrap w:val="0"/>
            <w:vAlign w:val="top"/>
          </w:tcPr>
          <w:p w14:paraId="1521A0B8">
            <w:pPr>
              <w:spacing w:line="340" w:lineRule="exact"/>
              <w:rPr>
                <w:rFonts w:ascii="宋体" w:hAnsi="宋体" w:cs="宋体"/>
                <w:color w:val="auto"/>
                <w:szCs w:val="21"/>
                <w:highlight w:val="none"/>
              </w:rPr>
            </w:pPr>
            <w:r>
              <w:rPr>
                <w:rFonts w:hint="eastAsia" w:ascii="宋体" w:hAnsi="宋体" w:cs="宋体"/>
                <w:color w:val="auto"/>
                <w:szCs w:val="21"/>
                <w:highlight w:val="none"/>
              </w:rPr>
              <w:t>人行道设盲道宽度宜为300—600mm; 人行道转弯处的全宽式无障碍物坡道形式,设置提示盲道</w:t>
            </w:r>
            <w:r>
              <w:rPr>
                <w:rFonts w:hint="eastAsia" w:ascii="宋体" w:hAnsi="宋体" w:cs="宋体"/>
                <w:color w:val="auto"/>
                <w:szCs w:val="21"/>
                <w:highlight w:val="none"/>
                <w:lang w:eastAsia="zh-CN"/>
              </w:rPr>
              <w:t>，</w:t>
            </w:r>
            <w:r>
              <w:rPr>
                <w:rFonts w:hint="eastAsia" w:ascii="宋体" w:hAnsi="宋体" w:cs="宋体"/>
                <w:color w:val="auto"/>
                <w:szCs w:val="21"/>
                <w:highlight w:val="none"/>
              </w:rPr>
              <w:t>宽度应大于行进盲道的宽度</w:t>
            </w:r>
          </w:p>
        </w:tc>
      </w:tr>
      <w:tr w14:paraId="6F32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top"/>
          </w:tcPr>
          <w:p w14:paraId="1BD17316">
            <w:pPr>
              <w:spacing w:line="340" w:lineRule="exact"/>
              <w:rPr>
                <w:rFonts w:ascii="宋体" w:hAnsi="宋体" w:cs="宋体"/>
                <w:color w:val="auto"/>
                <w:szCs w:val="21"/>
                <w:highlight w:val="none"/>
              </w:rPr>
            </w:pPr>
            <w:r>
              <w:rPr>
                <w:rFonts w:hint="eastAsia" w:ascii="宋体" w:hAnsi="宋体" w:cs="宋体"/>
                <w:color w:val="auto"/>
                <w:szCs w:val="21"/>
                <w:highlight w:val="none"/>
              </w:rPr>
              <w:t>10</w:t>
            </w:r>
          </w:p>
        </w:tc>
        <w:tc>
          <w:tcPr>
            <w:tcW w:w="2019" w:type="dxa"/>
            <w:tcBorders>
              <w:top w:val="single" w:color="auto" w:sz="4" w:space="0"/>
              <w:left w:val="single" w:color="auto" w:sz="4" w:space="0"/>
              <w:bottom w:val="single" w:color="auto" w:sz="4" w:space="0"/>
              <w:right w:val="single" w:color="auto" w:sz="4" w:space="0"/>
            </w:tcBorders>
            <w:noWrap w:val="0"/>
            <w:vAlign w:val="top"/>
          </w:tcPr>
          <w:p w14:paraId="7745E720">
            <w:pPr>
              <w:spacing w:line="340" w:lineRule="exact"/>
              <w:rPr>
                <w:rFonts w:ascii="宋体" w:hAnsi="宋体" w:cs="宋体"/>
                <w:color w:val="auto"/>
                <w:szCs w:val="21"/>
                <w:highlight w:val="none"/>
              </w:rPr>
            </w:pPr>
            <w:r>
              <w:rPr>
                <w:rFonts w:hint="eastAsia" w:ascii="宋体" w:hAnsi="宋体" w:cs="宋体"/>
                <w:color w:val="auto"/>
                <w:szCs w:val="21"/>
                <w:highlight w:val="none"/>
              </w:rPr>
              <w:t>无障碍坡道坡度</w:t>
            </w:r>
          </w:p>
        </w:tc>
        <w:tc>
          <w:tcPr>
            <w:tcW w:w="6424" w:type="dxa"/>
            <w:tcBorders>
              <w:top w:val="single" w:color="auto" w:sz="4" w:space="0"/>
              <w:left w:val="single" w:color="auto" w:sz="4" w:space="0"/>
              <w:bottom w:val="single" w:color="auto" w:sz="4" w:space="0"/>
              <w:right w:val="single" w:color="auto" w:sz="4" w:space="0"/>
            </w:tcBorders>
            <w:noWrap w:val="0"/>
            <w:vAlign w:val="top"/>
          </w:tcPr>
          <w:p w14:paraId="44D7826C">
            <w:pPr>
              <w:spacing w:line="340" w:lineRule="exact"/>
              <w:rPr>
                <w:rFonts w:ascii="宋体" w:hAnsi="宋体" w:cs="宋体"/>
                <w:color w:val="auto"/>
                <w:szCs w:val="21"/>
                <w:highlight w:val="none"/>
              </w:rPr>
            </w:pPr>
            <w:r>
              <w:rPr>
                <w:rFonts w:hint="eastAsia" w:ascii="宋体" w:hAnsi="宋体" w:cs="宋体"/>
                <w:color w:val="auto"/>
                <w:szCs w:val="21"/>
                <w:highlight w:val="none"/>
              </w:rPr>
              <w:t>缘石坡道正面坡、两面坡的坡度不得大于1:12</w:t>
            </w:r>
            <w:r>
              <w:rPr>
                <w:color w:val="auto"/>
                <w:highlight w:val="none"/>
              </w:rPr>
              <w:t>；</w:t>
            </w:r>
            <w:r>
              <w:rPr>
                <w:rFonts w:hint="eastAsia" w:ascii="宋体" w:hAnsi="宋体" w:cs="宋体"/>
                <w:color w:val="auto"/>
                <w:szCs w:val="21"/>
                <w:highlight w:val="none"/>
              </w:rPr>
              <w:t xml:space="preserve"> 缓坡道正面坡的坡度不得大于1:20</w:t>
            </w:r>
          </w:p>
        </w:tc>
      </w:tr>
      <w:tr w14:paraId="1A7F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top"/>
          </w:tcPr>
          <w:p w14:paraId="413D7642">
            <w:pPr>
              <w:spacing w:line="340" w:lineRule="exact"/>
              <w:rPr>
                <w:rFonts w:ascii="宋体" w:hAnsi="宋体" w:cs="宋体"/>
                <w:color w:val="auto"/>
                <w:szCs w:val="21"/>
                <w:highlight w:val="none"/>
              </w:rPr>
            </w:pPr>
            <w:r>
              <w:rPr>
                <w:rFonts w:hint="eastAsia" w:ascii="宋体" w:hAnsi="宋体" w:cs="宋体"/>
                <w:color w:val="auto"/>
                <w:szCs w:val="21"/>
                <w:highlight w:val="none"/>
              </w:rPr>
              <w:t>11</w:t>
            </w:r>
          </w:p>
        </w:tc>
        <w:tc>
          <w:tcPr>
            <w:tcW w:w="2019" w:type="dxa"/>
            <w:tcBorders>
              <w:top w:val="single" w:color="auto" w:sz="4" w:space="0"/>
              <w:left w:val="single" w:color="auto" w:sz="4" w:space="0"/>
              <w:bottom w:val="single" w:color="auto" w:sz="4" w:space="0"/>
              <w:right w:val="single" w:color="auto" w:sz="4" w:space="0"/>
            </w:tcBorders>
            <w:noWrap w:val="0"/>
            <w:vAlign w:val="top"/>
          </w:tcPr>
          <w:p w14:paraId="4A73D40C">
            <w:pPr>
              <w:spacing w:line="340" w:lineRule="exact"/>
              <w:rPr>
                <w:rFonts w:ascii="宋体" w:hAnsi="宋体" w:cs="宋体"/>
                <w:color w:val="auto"/>
                <w:szCs w:val="21"/>
                <w:highlight w:val="none"/>
              </w:rPr>
            </w:pPr>
            <w:r>
              <w:rPr>
                <w:rFonts w:hint="eastAsia" w:ascii="宋体" w:hAnsi="宋体" w:cs="宋体"/>
                <w:color w:val="auto"/>
                <w:szCs w:val="21"/>
                <w:highlight w:val="none"/>
              </w:rPr>
              <w:t>无障碍坡道高度</w:t>
            </w:r>
          </w:p>
        </w:tc>
        <w:tc>
          <w:tcPr>
            <w:tcW w:w="6424" w:type="dxa"/>
            <w:tcBorders>
              <w:top w:val="single" w:color="auto" w:sz="4" w:space="0"/>
              <w:left w:val="single" w:color="auto" w:sz="4" w:space="0"/>
              <w:bottom w:val="single" w:color="auto" w:sz="4" w:space="0"/>
              <w:right w:val="single" w:color="auto" w:sz="4" w:space="0"/>
            </w:tcBorders>
            <w:noWrap w:val="0"/>
            <w:vAlign w:val="top"/>
          </w:tcPr>
          <w:p w14:paraId="19BADC49">
            <w:pPr>
              <w:spacing w:line="340" w:lineRule="exact"/>
              <w:rPr>
                <w:rFonts w:ascii="宋体" w:hAnsi="宋体" w:cs="宋体"/>
                <w:color w:val="auto"/>
                <w:szCs w:val="21"/>
                <w:highlight w:val="none"/>
              </w:rPr>
            </w:pPr>
            <w:r>
              <w:rPr>
                <w:rFonts w:hint="eastAsia" w:ascii="宋体" w:hAnsi="宋体" w:cs="宋体"/>
                <w:color w:val="auto"/>
                <w:szCs w:val="21"/>
                <w:highlight w:val="none"/>
              </w:rPr>
              <w:t>缘石坡道正面坡中缘石外露高度不得大于20mm</w:t>
            </w:r>
          </w:p>
        </w:tc>
      </w:tr>
      <w:tr w14:paraId="2DEC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top"/>
          </w:tcPr>
          <w:p w14:paraId="7735255F">
            <w:pPr>
              <w:spacing w:line="340" w:lineRule="exact"/>
              <w:rPr>
                <w:rFonts w:ascii="宋体" w:hAnsi="宋体" w:cs="宋体"/>
                <w:color w:val="auto"/>
                <w:szCs w:val="21"/>
                <w:highlight w:val="none"/>
              </w:rPr>
            </w:pPr>
            <w:r>
              <w:rPr>
                <w:rFonts w:hint="eastAsia" w:ascii="宋体" w:hAnsi="宋体" w:cs="宋体"/>
                <w:color w:val="auto"/>
                <w:szCs w:val="21"/>
                <w:highlight w:val="none"/>
              </w:rPr>
              <w:t>12</w:t>
            </w:r>
          </w:p>
        </w:tc>
        <w:tc>
          <w:tcPr>
            <w:tcW w:w="2019" w:type="dxa"/>
            <w:tcBorders>
              <w:top w:val="single" w:color="auto" w:sz="4" w:space="0"/>
              <w:left w:val="single" w:color="auto" w:sz="4" w:space="0"/>
              <w:bottom w:val="single" w:color="auto" w:sz="4" w:space="0"/>
              <w:right w:val="single" w:color="auto" w:sz="4" w:space="0"/>
            </w:tcBorders>
            <w:noWrap w:val="0"/>
            <w:vAlign w:val="top"/>
          </w:tcPr>
          <w:p w14:paraId="36ACA127">
            <w:pPr>
              <w:spacing w:line="340" w:lineRule="exact"/>
              <w:rPr>
                <w:rFonts w:ascii="宋体" w:hAnsi="宋体" w:cs="宋体"/>
                <w:color w:val="auto"/>
                <w:szCs w:val="21"/>
                <w:highlight w:val="none"/>
              </w:rPr>
            </w:pPr>
            <w:r>
              <w:rPr>
                <w:rFonts w:hint="eastAsia" w:ascii="宋体" w:hAnsi="宋体" w:cs="宋体"/>
                <w:color w:val="auto"/>
                <w:szCs w:val="21"/>
                <w:highlight w:val="none"/>
              </w:rPr>
              <w:t>无障碍坡道宽度</w:t>
            </w:r>
          </w:p>
        </w:tc>
        <w:tc>
          <w:tcPr>
            <w:tcW w:w="6424" w:type="dxa"/>
            <w:tcBorders>
              <w:top w:val="single" w:color="auto" w:sz="4" w:space="0"/>
              <w:left w:val="single" w:color="auto" w:sz="4" w:space="0"/>
              <w:bottom w:val="single" w:color="auto" w:sz="4" w:space="0"/>
              <w:right w:val="single" w:color="auto" w:sz="4" w:space="0"/>
            </w:tcBorders>
            <w:noWrap w:val="0"/>
            <w:vAlign w:val="top"/>
          </w:tcPr>
          <w:p w14:paraId="0A834059">
            <w:pPr>
              <w:spacing w:line="340" w:lineRule="exact"/>
              <w:rPr>
                <w:rFonts w:ascii="宋体" w:hAnsi="宋体" w:cs="宋体"/>
                <w:color w:val="auto"/>
                <w:szCs w:val="21"/>
                <w:highlight w:val="none"/>
              </w:rPr>
            </w:pPr>
            <w:r>
              <w:rPr>
                <w:rFonts w:hint="eastAsia" w:ascii="宋体" w:hAnsi="宋体" w:cs="宋体"/>
                <w:color w:val="auto"/>
                <w:szCs w:val="21"/>
                <w:highlight w:val="none"/>
              </w:rPr>
              <w:t>三面坡缘石坡道的正面坡道宽度不得小于1200mm;扇面式缘石坡道的下口宽度不得小于1500mm;转角处缘石坡道的上口宽度不得小于2000mm;其他形式的缘石坡道的宽度不应小于1200mm</w:t>
            </w:r>
          </w:p>
        </w:tc>
      </w:tr>
      <w:tr w14:paraId="2DC8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top"/>
          </w:tcPr>
          <w:p w14:paraId="6A080ADA">
            <w:pPr>
              <w:spacing w:line="340" w:lineRule="exact"/>
              <w:rPr>
                <w:rFonts w:ascii="宋体" w:hAnsi="宋体" w:cs="宋体"/>
                <w:color w:val="auto"/>
                <w:szCs w:val="21"/>
                <w:highlight w:val="none"/>
              </w:rPr>
            </w:pPr>
            <w:r>
              <w:rPr>
                <w:rFonts w:hint="eastAsia" w:ascii="宋体" w:hAnsi="宋体" w:cs="宋体"/>
                <w:color w:val="auto"/>
                <w:szCs w:val="21"/>
                <w:highlight w:val="none"/>
              </w:rPr>
              <w:t>13</w:t>
            </w:r>
          </w:p>
        </w:tc>
        <w:tc>
          <w:tcPr>
            <w:tcW w:w="2019" w:type="dxa"/>
            <w:tcBorders>
              <w:top w:val="single" w:color="auto" w:sz="4" w:space="0"/>
              <w:left w:val="single" w:color="auto" w:sz="4" w:space="0"/>
              <w:bottom w:val="single" w:color="auto" w:sz="4" w:space="0"/>
              <w:right w:val="single" w:color="auto" w:sz="4" w:space="0"/>
            </w:tcBorders>
            <w:noWrap w:val="0"/>
            <w:vAlign w:val="top"/>
          </w:tcPr>
          <w:p w14:paraId="3D6C420D">
            <w:pPr>
              <w:spacing w:line="340" w:lineRule="exact"/>
              <w:rPr>
                <w:rFonts w:ascii="宋体" w:hAnsi="宋体" w:cs="宋体"/>
                <w:color w:val="auto"/>
                <w:szCs w:val="21"/>
                <w:highlight w:val="none"/>
              </w:rPr>
            </w:pPr>
            <w:r>
              <w:rPr>
                <w:rFonts w:hint="eastAsia" w:ascii="宋体" w:hAnsi="宋体" w:cs="宋体"/>
                <w:color w:val="auto"/>
                <w:szCs w:val="21"/>
                <w:highlight w:val="none"/>
              </w:rPr>
              <w:t>无障碍坡道坡面</w:t>
            </w:r>
          </w:p>
        </w:tc>
        <w:tc>
          <w:tcPr>
            <w:tcW w:w="6424" w:type="dxa"/>
            <w:tcBorders>
              <w:top w:val="single" w:color="auto" w:sz="4" w:space="0"/>
              <w:left w:val="single" w:color="auto" w:sz="4" w:space="0"/>
              <w:bottom w:val="single" w:color="auto" w:sz="4" w:space="0"/>
              <w:right w:val="single" w:color="auto" w:sz="4" w:space="0"/>
            </w:tcBorders>
            <w:noWrap w:val="0"/>
            <w:vAlign w:val="top"/>
          </w:tcPr>
          <w:p w14:paraId="693E897D">
            <w:pPr>
              <w:spacing w:line="340" w:lineRule="exact"/>
              <w:rPr>
                <w:rFonts w:ascii="宋体" w:hAnsi="宋体" w:cs="宋体"/>
                <w:color w:val="auto"/>
                <w:szCs w:val="21"/>
                <w:highlight w:val="none"/>
              </w:rPr>
            </w:pPr>
            <w:r>
              <w:rPr>
                <w:rFonts w:hint="eastAsia" w:ascii="宋体" w:hAnsi="宋体" w:cs="宋体"/>
                <w:color w:val="auto"/>
                <w:szCs w:val="21"/>
                <w:highlight w:val="none"/>
              </w:rPr>
              <w:t>坡面平整,且不应光滑</w:t>
            </w:r>
          </w:p>
        </w:tc>
      </w:tr>
      <w:tr w14:paraId="090B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top"/>
          </w:tcPr>
          <w:p w14:paraId="16E95C0E">
            <w:pPr>
              <w:spacing w:line="340" w:lineRule="exact"/>
              <w:rPr>
                <w:rFonts w:ascii="宋体" w:hAnsi="宋体" w:cs="宋体"/>
                <w:color w:val="auto"/>
                <w:szCs w:val="21"/>
                <w:highlight w:val="none"/>
              </w:rPr>
            </w:pPr>
            <w:r>
              <w:rPr>
                <w:rFonts w:hint="eastAsia" w:ascii="宋体" w:hAnsi="宋体" w:cs="宋体"/>
                <w:color w:val="auto"/>
                <w:szCs w:val="21"/>
                <w:highlight w:val="none"/>
              </w:rPr>
              <w:t>14</w:t>
            </w:r>
          </w:p>
        </w:tc>
        <w:tc>
          <w:tcPr>
            <w:tcW w:w="2019" w:type="dxa"/>
            <w:tcBorders>
              <w:top w:val="single" w:color="auto" w:sz="4" w:space="0"/>
              <w:left w:val="single" w:color="auto" w:sz="4" w:space="0"/>
              <w:bottom w:val="single" w:color="auto" w:sz="4" w:space="0"/>
              <w:right w:val="single" w:color="auto" w:sz="4" w:space="0"/>
            </w:tcBorders>
            <w:noWrap w:val="0"/>
            <w:vAlign w:val="top"/>
          </w:tcPr>
          <w:p w14:paraId="77456EBA">
            <w:pPr>
              <w:spacing w:line="340" w:lineRule="exact"/>
              <w:rPr>
                <w:rFonts w:ascii="宋体" w:hAnsi="宋体" w:cs="宋体"/>
                <w:color w:val="auto"/>
                <w:szCs w:val="21"/>
                <w:highlight w:val="none"/>
              </w:rPr>
            </w:pPr>
            <w:r>
              <w:rPr>
                <w:rFonts w:hint="eastAsia" w:ascii="宋体" w:hAnsi="宋体" w:cs="宋体"/>
                <w:color w:val="auto"/>
                <w:szCs w:val="21"/>
                <w:highlight w:val="none"/>
              </w:rPr>
              <w:t>块料人行道平整度</w:t>
            </w:r>
          </w:p>
        </w:tc>
        <w:tc>
          <w:tcPr>
            <w:tcW w:w="6424" w:type="dxa"/>
            <w:tcBorders>
              <w:top w:val="single" w:color="auto" w:sz="4" w:space="0"/>
              <w:left w:val="single" w:color="auto" w:sz="4" w:space="0"/>
              <w:bottom w:val="single" w:color="auto" w:sz="4" w:space="0"/>
              <w:right w:val="single" w:color="auto" w:sz="4" w:space="0"/>
            </w:tcBorders>
            <w:noWrap w:val="0"/>
            <w:vAlign w:val="top"/>
          </w:tcPr>
          <w:p w14:paraId="7D367848">
            <w:pPr>
              <w:spacing w:line="340" w:lineRule="exact"/>
              <w:rPr>
                <w:rFonts w:ascii="宋体" w:hAnsi="宋体" w:cs="宋体"/>
                <w:color w:val="auto"/>
                <w:szCs w:val="21"/>
                <w:highlight w:val="none"/>
              </w:rPr>
            </w:pPr>
            <w:r>
              <w:rPr>
                <w:rFonts w:hint="eastAsia" w:ascii="宋体" w:hAnsi="宋体" w:cs="宋体"/>
                <w:color w:val="auto"/>
                <w:szCs w:val="21"/>
                <w:highlight w:val="none"/>
              </w:rPr>
              <w:t>大理石、花岗石不得超过5mm；彩色预制块、广场砖不得超过7mm(3米尺)</w:t>
            </w:r>
          </w:p>
        </w:tc>
      </w:tr>
      <w:tr w14:paraId="7F37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top"/>
          </w:tcPr>
          <w:p w14:paraId="7E53A785">
            <w:pPr>
              <w:spacing w:line="340" w:lineRule="exact"/>
              <w:rPr>
                <w:rFonts w:ascii="宋体" w:hAnsi="宋体" w:cs="宋体"/>
                <w:color w:val="auto"/>
                <w:szCs w:val="21"/>
                <w:highlight w:val="none"/>
              </w:rPr>
            </w:pPr>
            <w:r>
              <w:rPr>
                <w:rFonts w:hint="eastAsia" w:ascii="宋体" w:hAnsi="宋体" w:cs="宋体"/>
                <w:color w:val="auto"/>
                <w:szCs w:val="21"/>
                <w:highlight w:val="none"/>
              </w:rPr>
              <w:t>15</w:t>
            </w:r>
          </w:p>
        </w:tc>
        <w:tc>
          <w:tcPr>
            <w:tcW w:w="2019" w:type="dxa"/>
            <w:tcBorders>
              <w:top w:val="single" w:color="auto" w:sz="4" w:space="0"/>
              <w:left w:val="single" w:color="auto" w:sz="4" w:space="0"/>
              <w:bottom w:val="single" w:color="auto" w:sz="4" w:space="0"/>
              <w:right w:val="single" w:color="auto" w:sz="4" w:space="0"/>
            </w:tcBorders>
            <w:noWrap w:val="0"/>
            <w:vAlign w:val="top"/>
          </w:tcPr>
          <w:p w14:paraId="6C3378DD">
            <w:pPr>
              <w:spacing w:line="340" w:lineRule="exact"/>
              <w:rPr>
                <w:rFonts w:ascii="宋体" w:hAnsi="宋体" w:cs="宋体"/>
                <w:color w:val="auto"/>
                <w:szCs w:val="21"/>
                <w:highlight w:val="none"/>
              </w:rPr>
            </w:pPr>
            <w:r>
              <w:rPr>
                <w:rFonts w:hint="eastAsia" w:ascii="宋体" w:hAnsi="宋体" w:cs="宋体"/>
                <w:color w:val="auto"/>
                <w:szCs w:val="21"/>
                <w:highlight w:val="none"/>
              </w:rPr>
              <w:t>块料人行道相邻块高差</w:t>
            </w:r>
          </w:p>
        </w:tc>
        <w:tc>
          <w:tcPr>
            <w:tcW w:w="6424" w:type="dxa"/>
            <w:tcBorders>
              <w:top w:val="single" w:color="auto" w:sz="4" w:space="0"/>
              <w:left w:val="single" w:color="auto" w:sz="4" w:space="0"/>
              <w:bottom w:val="single" w:color="auto" w:sz="4" w:space="0"/>
              <w:right w:val="single" w:color="auto" w:sz="4" w:space="0"/>
            </w:tcBorders>
            <w:noWrap w:val="0"/>
            <w:vAlign w:val="top"/>
          </w:tcPr>
          <w:p w14:paraId="0FDF01BE">
            <w:pPr>
              <w:spacing w:line="340" w:lineRule="exact"/>
              <w:rPr>
                <w:rFonts w:ascii="宋体" w:hAnsi="宋体" w:cs="宋体"/>
                <w:color w:val="auto"/>
                <w:szCs w:val="21"/>
                <w:highlight w:val="none"/>
              </w:rPr>
            </w:pPr>
            <w:r>
              <w:rPr>
                <w:rFonts w:hint="eastAsia" w:ascii="宋体" w:hAnsi="宋体" w:cs="宋体"/>
                <w:color w:val="auto"/>
                <w:szCs w:val="21"/>
                <w:highlight w:val="none"/>
              </w:rPr>
              <w:t>大理石、花岗石毛面不得超过2mm；彩色预制块、广场砖不得超过2mm</w:t>
            </w:r>
          </w:p>
        </w:tc>
      </w:tr>
      <w:tr w14:paraId="36EA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top"/>
          </w:tcPr>
          <w:p w14:paraId="322BCB7C">
            <w:pPr>
              <w:spacing w:line="340" w:lineRule="exact"/>
              <w:rPr>
                <w:rFonts w:ascii="宋体" w:hAnsi="宋体" w:cs="宋体"/>
                <w:color w:val="auto"/>
                <w:szCs w:val="21"/>
                <w:highlight w:val="none"/>
              </w:rPr>
            </w:pPr>
            <w:r>
              <w:rPr>
                <w:rFonts w:hint="eastAsia" w:ascii="宋体" w:hAnsi="宋体" w:cs="宋体"/>
                <w:color w:val="auto"/>
                <w:szCs w:val="21"/>
                <w:highlight w:val="none"/>
              </w:rPr>
              <w:t>16</w:t>
            </w:r>
          </w:p>
        </w:tc>
        <w:tc>
          <w:tcPr>
            <w:tcW w:w="2019" w:type="dxa"/>
            <w:tcBorders>
              <w:top w:val="single" w:color="auto" w:sz="4" w:space="0"/>
              <w:left w:val="single" w:color="auto" w:sz="4" w:space="0"/>
              <w:bottom w:val="single" w:color="auto" w:sz="4" w:space="0"/>
              <w:right w:val="single" w:color="auto" w:sz="4" w:space="0"/>
            </w:tcBorders>
            <w:noWrap w:val="0"/>
            <w:vAlign w:val="top"/>
          </w:tcPr>
          <w:p w14:paraId="6BD7400C">
            <w:pPr>
              <w:spacing w:line="340" w:lineRule="exact"/>
              <w:rPr>
                <w:rFonts w:ascii="宋体" w:hAnsi="宋体" w:cs="宋体"/>
                <w:color w:val="auto"/>
                <w:szCs w:val="21"/>
                <w:highlight w:val="none"/>
              </w:rPr>
            </w:pPr>
            <w:r>
              <w:rPr>
                <w:rFonts w:hint="eastAsia" w:ascii="宋体" w:hAnsi="宋体" w:cs="宋体"/>
                <w:color w:val="auto"/>
                <w:szCs w:val="21"/>
                <w:highlight w:val="none"/>
              </w:rPr>
              <w:t>块料人行道路框差</w:t>
            </w:r>
          </w:p>
        </w:tc>
        <w:tc>
          <w:tcPr>
            <w:tcW w:w="6424" w:type="dxa"/>
            <w:tcBorders>
              <w:top w:val="single" w:color="auto" w:sz="4" w:space="0"/>
              <w:left w:val="single" w:color="auto" w:sz="4" w:space="0"/>
              <w:bottom w:val="single" w:color="auto" w:sz="4" w:space="0"/>
              <w:right w:val="single" w:color="auto" w:sz="4" w:space="0"/>
            </w:tcBorders>
            <w:noWrap w:val="0"/>
            <w:vAlign w:val="top"/>
          </w:tcPr>
          <w:p w14:paraId="44DA8735">
            <w:pPr>
              <w:spacing w:line="340" w:lineRule="exact"/>
              <w:rPr>
                <w:rFonts w:ascii="宋体" w:hAnsi="宋体" w:cs="宋体"/>
                <w:color w:val="auto"/>
                <w:szCs w:val="21"/>
                <w:highlight w:val="none"/>
              </w:rPr>
            </w:pPr>
            <w:r>
              <w:rPr>
                <w:rFonts w:hint="eastAsia" w:ascii="宋体" w:hAnsi="宋体" w:cs="宋体"/>
                <w:color w:val="auto"/>
                <w:szCs w:val="21"/>
                <w:highlight w:val="none"/>
              </w:rPr>
              <w:t>大理石、花岗石2mm；彩色预制块、广场砖3mm</w:t>
            </w:r>
          </w:p>
        </w:tc>
      </w:tr>
      <w:tr w14:paraId="29C30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top"/>
          </w:tcPr>
          <w:p w14:paraId="76EA6869">
            <w:pPr>
              <w:spacing w:line="340" w:lineRule="exact"/>
              <w:rPr>
                <w:rFonts w:ascii="宋体" w:hAnsi="宋体" w:cs="宋体"/>
                <w:color w:val="auto"/>
                <w:szCs w:val="21"/>
                <w:highlight w:val="none"/>
              </w:rPr>
            </w:pPr>
            <w:r>
              <w:rPr>
                <w:rFonts w:hint="eastAsia" w:ascii="宋体" w:hAnsi="宋体" w:cs="宋体"/>
                <w:color w:val="auto"/>
                <w:szCs w:val="21"/>
                <w:highlight w:val="none"/>
              </w:rPr>
              <w:t>17</w:t>
            </w:r>
          </w:p>
        </w:tc>
        <w:tc>
          <w:tcPr>
            <w:tcW w:w="2019" w:type="dxa"/>
            <w:tcBorders>
              <w:top w:val="single" w:color="auto" w:sz="4" w:space="0"/>
              <w:left w:val="single" w:color="auto" w:sz="4" w:space="0"/>
              <w:bottom w:val="single" w:color="auto" w:sz="4" w:space="0"/>
              <w:right w:val="single" w:color="auto" w:sz="4" w:space="0"/>
            </w:tcBorders>
            <w:noWrap w:val="0"/>
            <w:vAlign w:val="top"/>
          </w:tcPr>
          <w:p w14:paraId="6BC4C184">
            <w:pPr>
              <w:spacing w:line="340" w:lineRule="exact"/>
              <w:rPr>
                <w:rFonts w:ascii="宋体" w:hAnsi="宋体" w:cs="宋体"/>
                <w:color w:val="auto"/>
                <w:szCs w:val="21"/>
                <w:highlight w:val="none"/>
              </w:rPr>
            </w:pPr>
            <w:r>
              <w:rPr>
                <w:rFonts w:hint="eastAsia" w:ascii="宋体" w:hAnsi="宋体" w:cs="宋体"/>
                <w:color w:val="auto"/>
                <w:szCs w:val="21"/>
                <w:highlight w:val="none"/>
              </w:rPr>
              <w:t>块料人行道缝宽误差</w:t>
            </w:r>
          </w:p>
        </w:tc>
        <w:tc>
          <w:tcPr>
            <w:tcW w:w="6424" w:type="dxa"/>
            <w:tcBorders>
              <w:top w:val="single" w:color="auto" w:sz="4" w:space="0"/>
              <w:left w:val="single" w:color="auto" w:sz="4" w:space="0"/>
              <w:bottom w:val="single" w:color="auto" w:sz="4" w:space="0"/>
              <w:right w:val="single" w:color="auto" w:sz="4" w:space="0"/>
            </w:tcBorders>
            <w:noWrap w:val="0"/>
            <w:vAlign w:val="top"/>
          </w:tcPr>
          <w:p w14:paraId="33829D20">
            <w:pPr>
              <w:spacing w:line="340" w:lineRule="exact"/>
              <w:rPr>
                <w:rFonts w:ascii="宋体" w:hAnsi="宋体" w:cs="宋体"/>
                <w:color w:val="auto"/>
                <w:szCs w:val="21"/>
                <w:highlight w:val="none"/>
              </w:rPr>
            </w:pPr>
            <w:r>
              <w:rPr>
                <w:rFonts w:hint="eastAsia" w:ascii="宋体" w:hAnsi="宋体" w:cs="宋体"/>
                <w:color w:val="auto"/>
                <w:szCs w:val="21"/>
                <w:highlight w:val="none"/>
              </w:rPr>
              <w:t>大理石、花岗石±2mm；彩色预制块、广场砖±2mm(10米线)</w:t>
            </w:r>
          </w:p>
        </w:tc>
      </w:tr>
      <w:tr w14:paraId="0DAD8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top"/>
          </w:tcPr>
          <w:p w14:paraId="5A04A331">
            <w:pPr>
              <w:spacing w:line="340" w:lineRule="exact"/>
              <w:rPr>
                <w:rFonts w:ascii="宋体" w:hAnsi="宋体" w:cs="宋体"/>
                <w:color w:val="auto"/>
                <w:szCs w:val="21"/>
                <w:highlight w:val="none"/>
              </w:rPr>
            </w:pPr>
            <w:r>
              <w:rPr>
                <w:rFonts w:hint="eastAsia" w:ascii="宋体" w:hAnsi="宋体" w:cs="宋体"/>
                <w:color w:val="auto"/>
                <w:szCs w:val="21"/>
                <w:highlight w:val="none"/>
              </w:rPr>
              <w:t>18</w:t>
            </w:r>
          </w:p>
        </w:tc>
        <w:tc>
          <w:tcPr>
            <w:tcW w:w="2019" w:type="dxa"/>
            <w:tcBorders>
              <w:top w:val="single" w:color="auto" w:sz="4" w:space="0"/>
              <w:left w:val="single" w:color="auto" w:sz="4" w:space="0"/>
              <w:bottom w:val="single" w:color="auto" w:sz="4" w:space="0"/>
              <w:right w:val="single" w:color="auto" w:sz="4" w:space="0"/>
            </w:tcBorders>
            <w:noWrap w:val="0"/>
            <w:vAlign w:val="top"/>
          </w:tcPr>
          <w:p w14:paraId="6216A95F">
            <w:pPr>
              <w:spacing w:line="340" w:lineRule="exact"/>
              <w:rPr>
                <w:rFonts w:ascii="宋体" w:hAnsi="宋体" w:cs="宋体"/>
                <w:color w:val="auto"/>
                <w:szCs w:val="21"/>
                <w:highlight w:val="none"/>
              </w:rPr>
            </w:pPr>
            <w:r>
              <w:rPr>
                <w:rFonts w:hint="eastAsia" w:ascii="宋体" w:hAnsi="宋体" w:cs="宋体"/>
                <w:color w:val="auto"/>
                <w:szCs w:val="21"/>
                <w:highlight w:val="none"/>
              </w:rPr>
              <w:t>块料人行道纵横缝线、中心偏差</w:t>
            </w:r>
          </w:p>
        </w:tc>
        <w:tc>
          <w:tcPr>
            <w:tcW w:w="6424" w:type="dxa"/>
            <w:tcBorders>
              <w:top w:val="single" w:color="auto" w:sz="4" w:space="0"/>
              <w:left w:val="single" w:color="auto" w:sz="4" w:space="0"/>
              <w:bottom w:val="single" w:color="auto" w:sz="4" w:space="0"/>
              <w:right w:val="single" w:color="auto" w:sz="4" w:space="0"/>
            </w:tcBorders>
            <w:noWrap w:val="0"/>
            <w:vAlign w:val="top"/>
          </w:tcPr>
          <w:p w14:paraId="186BE1D8">
            <w:pPr>
              <w:spacing w:line="340" w:lineRule="exact"/>
              <w:rPr>
                <w:rFonts w:ascii="宋体" w:hAnsi="宋体" w:cs="宋体"/>
                <w:color w:val="auto"/>
                <w:szCs w:val="21"/>
                <w:highlight w:val="none"/>
              </w:rPr>
            </w:pPr>
            <w:r>
              <w:rPr>
                <w:rFonts w:hint="eastAsia" w:ascii="宋体" w:hAnsi="宋体" w:cs="宋体"/>
                <w:color w:val="auto"/>
                <w:szCs w:val="21"/>
                <w:highlight w:val="none"/>
              </w:rPr>
              <w:t>大理石、花岗石±1mm；彩色预制块、广场砖±2mm(10米线)</w:t>
            </w:r>
          </w:p>
        </w:tc>
      </w:tr>
      <w:tr w14:paraId="67D39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top"/>
          </w:tcPr>
          <w:p w14:paraId="6BBD62AB">
            <w:pPr>
              <w:spacing w:line="340" w:lineRule="exact"/>
              <w:rPr>
                <w:rFonts w:ascii="宋体" w:hAnsi="宋体" w:cs="宋体"/>
                <w:color w:val="auto"/>
                <w:szCs w:val="21"/>
                <w:highlight w:val="none"/>
              </w:rPr>
            </w:pPr>
            <w:r>
              <w:rPr>
                <w:rFonts w:hint="eastAsia" w:ascii="宋体" w:hAnsi="宋体" w:cs="宋体"/>
                <w:color w:val="auto"/>
                <w:szCs w:val="21"/>
                <w:highlight w:val="none"/>
              </w:rPr>
              <w:t>19</w:t>
            </w:r>
          </w:p>
        </w:tc>
        <w:tc>
          <w:tcPr>
            <w:tcW w:w="2019" w:type="dxa"/>
            <w:tcBorders>
              <w:top w:val="single" w:color="auto" w:sz="4" w:space="0"/>
              <w:left w:val="single" w:color="auto" w:sz="4" w:space="0"/>
              <w:bottom w:val="single" w:color="auto" w:sz="4" w:space="0"/>
              <w:right w:val="single" w:color="auto" w:sz="4" w:space="0"/>
            </w:tcBorders>
            <w:noWrap w:val="0"/>
            <w:vAlign w:val="top"/>
          </w:tcPr>
          <w:p w14:paraId="17B8AECA">
            <w:pPr>
              <w:spacing w:line="340" w:lineRule="exact"/>
              <w:rPr>
                <w:rFonts w:ascii="宋体" w:hAnsi="宋体" w:cs="宋体"/>
                <w:color w:val="auto"/>
                <w:szCs w:val="21"/>
                <w:highlight w:val="none"/>
              </w:rPr>
            </w:pPr>
            <w:r>
              <w:rPr>
                <w:rFonts w:hint="eastAsia" w:ascii="宋体" w:hAnsi="宋体" w:cs="宋体"/>
                <w:color w:val="auto"/>
                <w:szCs w:val="21"/>
                <w:highlight w:val="none"/>
              </w:rPr>
              <w:t>块料人行道</w:t>
            </w:r>
          </w:p>
        </w:tc>
        <w:tc>
          <w:tcPr>
            <w:tcW w:w="6424" w:type="dxa"/>
            <w:tcBorders>
              <w:top w:val="single" w:color="auto" w:sz="4" w:space="0"/>
              <w:left w:val="single" w:color="auto" w:sz="4" w:space="0"/>
              <w:bottom w:val="single" w:color="auto" w:sz="4" w:space="0"/>
              <w:right w:val="single" w:color="auto" w:sz="4" w:space="0"/>
            </w:tcBorders>
            <w:noWrap w:val="0"/>
            <w:vAlign w:val="top"/>
          </w:tcPr>
          <w:p w14:paraId="5F4D732B">
            <w:pPr>
              <w:spacing w:line="340" w:lineRule="exact"/>
              <w:rPr>
                <w:rFonts w:ascii="宋体" w:hAnsi="宋体" w:cs="宋体"/>
                <w:color w:val="auto"/>
                <w:szCs w:val="21"/>
                <w:highlight w:val="none"/>
              </w:rPr>
            </w:pPr>
          </w:p>
        </w:tc>
      </w:tr>
    </w:tbl>
    <w:p w14:paraId="42F0F99C">
      <w:pPr>
        <w:spacing w:line="340" w:lineRule="exact"/>
        <w:rPr>
          <w:rFonts w:ascii="宋体" w:hAnsi="宋体" w:cs="宋体"/>
          <w:color w:val="auto"/>
          <w:szCs w:val="21"/>
          <w:highlight w:val="none"/>
        </w:rPr>
      </w:pPr>
      <w:r>
        <w:rPr>
          <w:rFonts w:hint="eastAsia" w:ascii="宋体" w:hAnsi="宋体" w:cs="宋体"/>
          <w:color w:val="auto"/>
          <w:szCs w:val="21"/>
          <w:highlight w:val="none"/>
        </w:rPr>
        <w:t>注：块料人行道指大理石、花岗石、彩色预制块、广场砖等　　　</w:t>
      </w:r>
      <w:r>
        <w:rPr>
          <w:rFonts w:hint="eastAsia" w:ascii="宋体" w:hAnsi="宋体" w:cs="宋体"/>
          <w:color w:val="auto"/>
          <w:szCs w:val="21"/>
          <w:highlight w:val="none"/>
        </w:rPr>
        <w:br w:type="textWrapping" w:clear="all"/>
      </w:r>
      <w:r>
        <w:rPr>
          <w:rFonts w:hint="eastAsia" w:ascii="宋体" w:hAnsi="宋体" w:cs="宋体"/>
          <w:color w:val="auto"/>
          <w:szCs w:val="21"/>
          <w:highlight w:val="none"/>
        </w:rPr>
        <w:t>　　4.2.4排水构筑物</w:t>
      </w:r>
    </w:p>
    <w:tbl>
      <w:tblPr>
        <w:tblStyle w:val="30"/>
        <w:tblW w:w="92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1800"/>
        <w:gridCol w:w="6411"/>
      </w:tblGrid>
      <w:tr w14:paraId="59506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104A450D">
            <w:pPr>
              <w:spacing w:line="340" w:lineRule="exact"/>
              <w:rPr>
                <w:rFonts w:ascii="宋体" w:hAnsi="宋体" w:cs="宋体"/>
                <w:color w:val="auto"/>
                <w:szCs w:val="21"/>
                <w:highlight w:val="none"/>
              </w:rPr>
            </w:pPr>
            <w:r>
              <w:rPr>
                <w:rFonts w:hint="eastAsia" w:ascii="宋体" w:hAnsi="宋体" w:cs="宋体"/>
                <w:color w:val="auto"/>
                <w:szCs w:val="21"/>
                <w:highlight w:val="none"/>
              </w:rPr>
              <w:t>序号</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41A08B5E">
            <w:pPr>
              <w:spacing w:line="340" w:lineRule="exact"/>
              <w:rPr>
                <w:rFonts w:ascii="宋体" w:hAnsi="宋体" w:cs="宋体"/>
                <w:color w:val="auto"/>
                <w:szCs w:val="21"/>
                <w:highlight w:val="none"/>
              </w:rPr>
            </w:pPr>
            <w:r>
              <w:rPr>
                <w:rFonts w:hint="eastAsia" w:ascii="宋体" w:hAnsi="宋体" w:cs="宋体"/>
                <w:color w:val="auto"/>
                <w:szCs w:val="21"/>
                <w:highlight w:val="none"/>
              </w:rPr>
              <w:t>项目</w:t>
            </w:r>
          </w:p>
        </w:tc>
        <w:tc>
          <w:tcPr>
            <w:tcW w:w="6411" w:type="dxa"/>
            <w:tcBorders>
              <w:top w:val="single" w:color="auto" w:sz="4" w:space="0"/>
              <w:left w:val="single" w:color="auto" w:sz="4" w:space="0"/>
              <w:bottom w:val="single" w:color="auto" w:sz="4" w:space="0"/>
              <w:right w:val="single" w:color="auto" w:sz="4" w:space="0"/>
            </w:tcBorders>
            <w:noWrap w:val="0"/>
            <w:vAlign w:val="top"/>
          </w:tcPr>
          <w:p w14:paraId="69E62D0F">
            <w:pPr>
              <w:spacing w:line="340" w:lineRule="exact"/>
              <w:rPr>
                <w:rFonts w:ascii="宋体" w:hAnsi="宋体" w:cs="宋体"/>
                <w:color w:val="auto"/>
                <w:szCs w:val="21"/>
                <w:highlight w:val="none"/>
              </w:rPr>
            </w:pPr>
            <w:r>
              <w:rPr>
                <w:rFonts w:hint="eastAsia" w:ascii="宋体" w:hAnsi="宋体" w:cs="宋体"/>
                <w:color w:val="auto"/>
                <w:szCs w:val="21"/>
                <w:highlight w:val="none"/>
              </w:rPr>
              <w:t>规定值及允许偏差</w:t>
            </w:r>
          </w:p>
        </w:tc>
      </w:tr>
      <w:tr w14:paraId="0E23D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50BA35CD">
            <w:pPr>
              <w:spacing w:line="340" w:lineRule="exact"/>
              <w:rPr>
                <w:rFonts w:ascii="宋体" w:hAnsi="宋体" w:cs="宋体"/>
                <w:color w:val="auto"/>
                <w:szCs w:val="21"/>
                <w:highlight w:val="none"/>
              </w:rPr>
            </w:pPr>
            <w:r>
              <w:rPr>
                <w:rFonts w:hint="eastAsia" w:ascii="宋体" w:hAnsi="宋体" w:cs="宋体"/>
                <w:color w:val="auto"/>
                <w:szCs w:val="21"/>
                <w:highlight w:val="none"/>
              </w:rPr>
              <w:t>1</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19D23F4C">
            <w:pPr>
              <w:spacing w:line="340" w:lineRule="exact"/>
              <w:rPr>
                <w:rFonts w:ascii="宋体" w:hAnsi="宋体" w:cs="宋体"/>
                <w:color w:val="auto"/>
                <w:szCs w:val="21"/>
                <w:highlight w:val="none"/>
              </w:rPr>
            </w:pPr>
            <w:r>
              <w:rPr>
                <w:rFonts w:hint="eastAsia" w:ascii="宋体" w:hAnsi="宋体" w:cs="宋体"/>
                <w:color w:val="auto"/>
                <w:szCs w:val="21"/>
                <w:highlight w:val="none"/>
              </w:rPr>
              <w:t>道路检查井平整度</w:t>
            </w:r>
          </w:p>
        </w:tc>
        <w:tc>
          <w:tcPr>
            <w:tcW w:w="6411" w:type="dxa"/>
            <w:tcBorders>
              <w:top w:val="single" w:color="auto" w:sz="4" w:space="0"/>
              <w:left w:val="single" w:color="auto" w:sz="4" w:space="0"/>
              <w:bottom w:val="single" w:color="auto" w:sz="4" w:space="0"/>
              <w:right w:val="single" w:color="auto" w:sz="4" w:space="0"/>
            </w:tcBorders>
            <w:noWrap w:val="0"/>
            <w:vAlign w:val="top"/>
          </w:tcPr>
          <w:p w14:paraId="642917B4">
            <w:pPr>
              <w:spacing w:line="340" w:lineRule="exact"/>
              <w:rPr>
                <w:rFonts w:ascii="宋体" w:hAnsi="宋体" w:cs="宋体"/>
                <w:color w:val="auto"/>
                <w:szCs w:val="21"/>
                <w:highlight w:val="none"/>
              </w:rPr>
            </w:pPr>
            <w:r>
              <w:rPr>
                <w:rFonts w:hint="eastAsia" w:ascii="宋体" w:hAnsi="宋体" w:cs="宋体"/>
                <w:color w:val="auto"/>
                <w:szCs w:val="21"/>
                <w:highlight w:val="none"/>
              </w:rPr>
              <w:t>井座与路面的安装高差应不超过±5mm</w:t>
            </w:r>
          </w:p>
        </w:tc>
      </w:tr>
      <w:tr w14:paraId="149E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3952E89D">
            <w:pPr>
              <w:spacing w:line="340" w:lineRule="exact"/>
              <w:rPr>
                <w:rFonts w:ascii="宋体" w:hAnsi="宋体" w:cs="宋体"/>
                <w:color w:val="auto"/>
                <w:szCs w:val="21"/>
                <w:highlight w:val="none"/>
              </w:rPr>
            </w:pPr>
            <w:r>
              <w:rPr>
                <w:rFonts w:hint="eastAsia" w:ascii="宋体" w:hAnsi="宋体" w:cs="宋体"/>
                <w:color w:val="auto"/>
                <w:szCs w:val="21"/>
                <w:highlight w:val="none"/>
              </w:rPr>
              <w:t>2</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443E0BC6">
            <w:pPr>
              <w:spacing w:line="340" w:lineRule="exact"/>
              <w:rPr>
                <w:rFonts w:ascii="宋体" w:hAnsi="宋体" w:cs="宋体"/>
                <w:color w:val="auto"/>
                <w:szCs w:val="21"/>
                <w:highlight w:val="none"/>
              </w:rPr>
            </w:pPr>
            <w:r>
              <w:rPr>
                <w:rFonts w:hint="eastAsia" w:ascii="宋体" w:hAnsi="宋体" w:cs="宋体"/>
                <w:color w:val="auto"/>
                <w:szCs w:val="21"/>
                <w:highlight w:val="none"/>
              </w:rPr>
              <w:t>找平层</w:t>
            </w:r>
          </w:p>
        </w:tc>
        <w:tc>
          <w:tcPr>
            <w:tcW w:w="6411" w:type="dxa"/>
            <w:tcBorders>
              <w:top w:val="single" w:color="auto" w:sz="4" w:space="0"/>
              <w:left w:val="single" w:color="auto" w:sz="4" w:space="0"/>
              <w:bottom w:val="single" w:color="auto" w:sz="4" w:space="0"/>
              <w:right w:val="single" w:color="auto" w:sz="4" w:space="0"/>
            </w:tcBorders>
            <w:noWrap w:val="0"/>
            <w:vAlign w:val="top"/>
          </w:tcPr>
          <w:p w14:paraId="34C008DF">
            <w:pPr>
              <w:spacing w:line="340" w:lineRule="exact"/>
              <w:rPr>
                <w:rFonts w:ascii="宋体" w:hAnsi="宋体" w:cs="宋体"/>
                <w:color w:val="auto"/>
                <w:szCs w:val="21"/>
                <w:highlight w:val="none"/>
              </w:rPr>
            </w:pPr>
            <w:r>
              <w:rPr>
                <w:rFonts w:hint="eastAsia" w:ascii="宋体" w:hAnsi="宋体" w:cs="宋体"/>
                <w:color w:val="auto"/>
                <w:szCs w:val="21"/>
                <w:highlight w:val="none"/>
              </w:rPr>
              <w:t>井圈下部细石砼找平层应达到规范要求的养生期,满足设计强度要求。不得使用碎砖或土块支垫</w:t>
            </w:r>
          </w:p>
        </w:tc>
      </w:tr>
      <w:tr w14:paraId="6808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11A967EB">
            <w:pPr>
              <w:spacing w:line="340" w:lineRule="exact"/>
              <w:rPr>
                <w:rFonts w:ascii="宋体" w:hAnsi="宋体" w:cs="宋体"/>
                <w:color w:val="auto"/>
                <w:szCs w:val="21"/>
                <w:highlight w:val="none"/>
              </w:rPr>
            </w:pPr>
            <w:r>
              <w:rPr>
                <w:rFonts w:hint="eastAsia" w:ascii="宋体" w:hAnsi="宋体" w:cs="宋体"/>
                <w:color w:val="auto"/>
                <w:szCs w:val="21"/>
                <w:highlight w:val="none"/>
              </w:rPr>
              <w:t>3</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43A20F11">
            <w:pPr>
              <w:spacing w:line="340" w:lineRule="exact"/>
              <w:rPr>
                <w:rFonts w:ascii="宋体" w:hAnsi="宋体" w:cs="宋体"/>
                <w:color w:val="auto"/>
                <w:szCs w:val="21"/>
                <w:highlight w:val="none"/>
              </w:rPr>
            </w:pPr>
            <w:r>
              <w:rPr>
                <w:rFonts w:hint="eastAsia" w:ascii="宋体" w:hAnsi="宋体" w:cs="宋体"/>
                <w:color w:val="auto"/>
                <w:szCs w:val="21"/>
                <w:highlight w:val="none"/>
              </w:rPr>
              <w:t>材料强度</w:t>
            </w:r>
          </w:p>
        </w:tc>
        <w:tc>
          <w:tcPr>
            <w:tcW w:w="6411" w:type="dxa"/>
            <w:tcBorders>
              <w:top w:val="single" w:color="auto" w:sz="4" w:space="0"/>
              <w:left w:val="single" w:color="auto" w:sz="4" w:space="0"/>
              <w:bottom w:val="single" w:color="auto" w:sz="4" w:space="0"/>
              <w:right w:val="single" w:color="auto" w:sz="4" w:space="0"/>
            </w:tcBorders>
            <w:noWrap w:val="0"/>
            <w:vAlign w:val="top"/>
          </w:tcPr>
          <w:p w14:paraId="52E1E87C">
            <w:pPr>
              <w:spacing w:line="340" w:lineRule="exact"/>
              <w:rPr>
                <w:rFonts w:ascii="宋体" w:hAnsi="宋体" w:cs="宋体"/>
                <w:color w:val="auto"/>
                <w:szCs w:val="21"/>
                <w:highlight w:val="none"/>
              </w:rPr>
            </w:pPr>
            <w:r>
              <w:rPr>
                <w:rFonts w:hint="eastAsia" w:ascii="宋体" w:hAnsi="宋体" w:cs="宋体"/>
                <w:color w:val="auto"/>
                <w:szCs w:val="21"/>
                <w:highlight w:val="none"/>
              </w:rPr>
              <w:t>井室砌筑材料强度应符合设计要求,井座砌筑砂浆不应小于20MPa，井座钢筋混凝土fcm不小于4.5MPa。</w:t>
            </w:r>
          </w:p>
        </w:tc>
      </w:tr>
      <w:tr w14:paraId="33865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7949488D">
            <w:pPr>
              <w:spacing w:line="340" w:lineRule="exact"/>
              <w:rPr>
                <w:rFonts w:ascii="宋体" w:hAnsi="宋体" w:cs="宋体"/>
                <w:color w:val="auto"/>
                <w:szCs w:val="21"/>
                <w:highlight w:val="none"/>
              </w:rPr>
            </w:pPr>
            <w:r>
              <w:rPr>
                <w:rFonts w:hint="eastAsia" w:ascii="宋体" w:hAnsi="宋体" w:cs="宋体"/>
                <w:color w:val="auto"/>
                <w:szCs w:val="21"/>
                <w:highlight w:val="none"/>
              </w:rPr>
              <w:t>4</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1A48AAD0">
            <w:pPr>
              <w:spacing w:line="340" w:lineRule="exact"/>
              <w:rPr>
                <w:rFonts w:ascii="宋体" w:hAnsi="宋体" w:cs="宋体"/>
                <w:color w:val="auto"/>
                <w:szCs w:val="21"/>
                <w:highlight w:val="none"/>
              </w:rPr>
            </w:pPr>
            <w:r>
              <w:rPr>
                <w:rFonts w:hint="eastAsia" w:ascii="宋体" w:hAnsi="宋体" w:cs="宋体"/>
                <w:color w:val="auto"/>
                <w:szCs w:val="21"/>
                <w:highlight w:val="none"/>
              </w:rPr>
              <w:t>井周回填</w:t>
            </w:r>
          </w:p>
        </w:tc>
        <w:tc>
          <w:tcPr>
            <w:tcW w:w="6411" w:type="dxa"/>
            <w:tcBorders>
              <w:top w:val="single" w:color="auto" w:sz="4" w:space="0"/>
              <w:left w:val="single" w:color="auto" w:sz="4" w:space="0"/>
              <w:bottom w:val="single" w:color="auto" w:sz="4" w:space="0"/>
              <w:right w:val="single" w:color="auto" w:sz="4" w:space="0"/>
            </w:tcBorders>
            <w:noWrap w:val="0"/>
            <w:vAlign w:val="top"/>
          </w:tcPr>
          <w:p w14:paraId="1541B63E">
            <w:pPr>
              <w:spacing w:line="340" w:lineRule="exact"/>
              <w:rPr>
                <w:rFonts w:ascii="宋体" w:hAnsi="宋体" w:cs="宋体"/>
                <w:color w:val="auto"/>
                <w:szCs w:val="21"/>
                <w:highlight w:val="none"/>
              </w:rPr>
            </w:pPr>
            <w:r>
              <w:rPr>
                <w:rFonts w:hint="eastAsia" w:ascii="宋体" w:hAnsi="宋体" w:cs="宋体"/>
                <w:color w:val="auto"/>
                <w:szCs w:val="21"/>
                <w:highlight w:val="none"/>
              </w:rPr>
              <w:t>井外壁周边应夯填密实,其强度和稳定性不应小于该处道路结构的强度</w:t>
            </w:r>
          </w:p>
        </w:tc>
      </w:tr>
      <w:tr w14:paraId="436A1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Borders>
              <w:top w:val="single" w:color="auto" w:sz="4" w:space="0"/>
              <w:left w:val="single" w:color="auto" w:sz="4" w:space="0"/>
              <w:bottom w:val="single" w:color="auto" w:sz="4" w:space="0"/>
              <w:right w:val="single" w:color="auto" w:sz="4" w:space="0"/>
            </w:tcBorders>
            <w:noWrap w:val="0"/>
            <w:vAlign w:val="top"/>
          </w:tcPr>
          <w:p w14:paraId="53C74B64">
            <w:pPr>
              <w:spacing w:line="340" w:lineRule="exact"/>
              <w:rPr>
                <w:rFonts w:ascii="宋体" w:hAnsi="宋体" w:cs="宋体"/>
                <w:color w:val="auto"/>
                <w:szCs w:val="21"/>
                <w:highlight w:val="none"/>
              </w:rPr>
            </w:pPr>
            <w:r>
              <w:rPr>
                <w:rFonts w:hint="eastAsia" w:ascii="宋体" w:hAnsi="宋体" w:cs="宋体"/>
                <w:color w:val="auto"/>
                <w:szCs w:val="21"/>
                <w:highlight w:val="none"/>
              </w:rPr>
              <w:t>5</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3F3FE49B">
            <w:pPr>
              <w:spacing w:line="340" w:lineRule="exact"/>
              <w:rPr>
                <w:rFonts w:ascii="宋体" w:hAnsi="宋体" w:cs="宋体"/>
                <w:color w:val="auto"/>
                <w:szCs w:val="21"/>
                <w:highlight w:val="none"/>
              </w:rPr>
            </w:pPr>
            <w:r>
              <w:rPr>
                <w:rFonts w:hint="eastAsia" w:ascii="宋体" w:hAnsi="宋体" w:cs="宋体"/>
                <w:color w:val="auto"/>
                <w:szCs w:val="21"/>
                <w:highlight w:val="none"/>
              </w:rPr>
              <w:t>井室基础</w:t>
            </w:r>
          </w:p>
        </w:tc>
        <w:tc>
          <w:tcPr>
            <w:tcW w:w="6411" w:type="dxa"/>
            <w:tcBorders>
              <w:top w:val="single" w:color="auto" w:sz="4" w:space="0"/>
              <w:left w:val="single" w:color="auto" w:sz="4" w:space="0"/>
              <w:bottom w:val="single" w:color="auto" w:sz="4" w:space="0"/>
              <w:right w:val="single" w:color="auto" w:sz="4" w:space="0"/>
            </w:tcBorders>
            <w:noWrap w:val="0"/>
            <w:vAlign w:val="top"/>
          </w:tcPr>
          <w:p w14:paraId="1EA5A7B0">
            <w:pPr>
              <w:spacing w:line="340" w:lineRule="exact"/>
              <w:rPr>
                <w:rFonts w:ascii="宋体" w:hAnsi="宋体" w:cs="宋体"/>
                <w:color w:val="auto"/>
                <w:szCs w:val="21"/>
                <w:highlight w:val="none"/>
              </w:rPr>
            </w:pPr>
            <w:r>
              <w:rPr>
                <w:rFonts w:hint="eastAsia" w:ascii="宋体" w:hAnsi="宋体" w:cs="宋体"/>
                <w:color w:val="auto"/>
                <w:szCs w:val="21"/>
                <w:highlight w:val="none"/>
              </w:rPr>
              <w:t>按规范及设计要求浇筑检查井砼基础,且养生充分</w:t>
            </w:r>
          </w:p>
        </w:tc>
      </w:tr>
    </w:tbl>
    <w:p w14:paraId="4C102369">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4.2.5排水泵站</w:t>
      </w:r>
    </w:p>
    <w:p w14:paraId="29193C35">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泵站设备要每年保养一次，保证运行正常，泵站内设施安全可靠，台</w:t>
      </w:r>
      <w:r>
        <w:rPr>
          <w:rFonts w:hint="eastAsia" w:ascii="宋体" w:hAnsi="宋体" w:cs="宋体"/>
          <w:color w:val="auto"/>
          <w:szCs w:val="21"/>
          <w:highlight w:val="none"/>
          <w:lang w:eastAsia="zh-CN"/>
        </w:rPr>
        <w:t>账</w:t>
      </w:r>
      <w:r>
        <w:rPr>
          <w:rFonts w:hint="eastAsia" w:ascii="宋体" w:hAnsi="宋体" w:cs="宋体"/>
          <w:color w:val="auto"/>
          <w:szCs w:val="21"/>
          <w:highlight w:val="none"/>
        </w:rPr>
        <w:t>记录完整，大雨以上要派两名以上人员值守。</w:t>
      </w:r>
    </w:p>
    <w:p w14:paraId="4A7828A2">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4.2.6桥梁病害的维修</w:t>
      </w:r>
    </w:p>
    <w:p w14:paraId="4C428D1A">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1、桥面的养护除应符合道路养护的有关标准规定外,还应符合下列要求</w:t>
      </w:r>
    </w:p>
    <w:p w14:paraId="02A62FCA">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⑴不得随意增加荷载。老化的沥青混凝土桥面，应进行铣刨更新处理，严禁随意加铺沥青混凝土结构进行补强。</w:t>
      </w:r>
    </w:p>
    <w:p w14:paraId="45ECDAC4">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⑵桥梁养护中应当经常性的检查渗漏水情况，做好桥面清洁，保持排水设施畅通，及时处理桥面出现的开裂,防止雨水向下渗漏，避免桥体混凝土腐蚀、钢筋锈蚀等病害。大于3mm的桥面裂缝，应检查其发生原因，在确定无结构破坏和延续发展的条件下，采用乳化沥青灌缝等养护措施。</w:t>
      </w:r>
    </w:p>
    <w:p w14:paraId="02697C1A">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⑶桥面维修铣刨、切割,深度不得大于路面混凝土深度，不得损坏防水层。</w:t>
      </w:r>
    </w:p>
    <w:p w14:paraId="1E5EF1D7">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⑷桥梁支座应定期检查和保养，支座各部分应保持完整、清洁、有效。</w:t>
      </w:r>
    </w:p>
    <w:p w14:paraId="0AFFE94D">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⑸桥上伸缩缝应当及时清理干净，保持平整、直顺、伸缩自如。严禁用沥青混凝土覆盖伸缩装置，防止伸缩缝阻塞后失去功能。</w:t>
      </w:r>
    </w:p>
    <w:p w14:paraId="048DEDF7">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 xml:space="preserve">2、钢筋混凝土及预应力混凝土桥梁应每年进行一次结构裂缝和表面温度裂缝的观察；结构裂缝应重点检查受拉、受剪区域，表面温度裂缝应重点检查构件的较大面。预应力混凝土构件受压区，一旦发现裂缝，应立即封闭交通，严禁车辆和行人在桥上、下通行，并委托相应资质的检测部门进行结构可靠性评估,判别裂缝的危害程度，并提出相应的处理措施; </w:t>
      </w:r>
    </w:p>
    <w:p w14:paraId="5D3D3BCE">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3、下部结构养护</w:t>
      </w:r>
    </w:p>
    <w:p w14:paraId="75C4CE99">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 xml:space="preserve">⑴圬工砌体表面灰缝脱落时应重新勾缝。 </w:t>
      </w:r>
    </w:p>
    <w:p w14:paraId="6B882524">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⑵当混凝土表面发生侵蚀剥落、蜂窝麻面等病害时，应及时将周围凿毛洗净后做表面防护。墩台的维修与加固应符合下列规定：当表面风化剥落深度在30mm及以内时，应采用M10以上的水泥砂浆修补；当剥落深度超过30mm，且损坏面积较大时，应增设钢筋网浇筑混凝土层，浇筑混凝土前应清除松浮部分，用水冲洗，并采用锚钉连接。</w:t>
      </w:r>
    </w:p>
    <w:p w14:paraId="1546D6DB">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⑶墩台出现变形应查明原因，采取针对性措施进行加固。</w:t>
      </w:r>
    </w:p>
    <w:p w14:paraId="2B28FF89">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⑷当墩台裂缝超过规范限值时、应查明原因,采取下列措施进行加固：裂缝宽度小于规定限位时，应进行封闭处理；裂缝宽度大于规定限值且小于0.5mm时，应灌浆；大于0.5mm的裂缝应修补；当石砌圬工出现通缝和错缝时，应拆除部分石料，重新砌筑；当活动支座失灵造成墩台拉裂时，应修复或更换支座，并维修裂缝；基础不均匀沉降产生的自下而上的裂缝，应先加固基础,并应根据裂缝发展程度确定加固方法。</w:t>
      </w:r>
    </w:p>
    <w:p w14:paraId="2105EE55">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⑸桥台锥坡及八字翼墙在洪水冲击或填土沉落的作用下容易产生变形和勾缝脱落。修复时应夯实填土，常水位以下应采用浆砌片(块)石,并勾缝。</w:t>
      </w:r>
    </w:p>
    <w:p w14:paraId="02750887">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⑹当连续梁桥墩台和拱桥的不均匀沉降值超过设计允许变形时，应查明原因,进行加固处理和调整高程。</w:t>
      </w:r>
    </w:p>
    <w:p w14:paraId="3C684E83">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4、钢筋混凝土及预应力混凝土结构发生混凝土剥落、露筋等现象时，应及时维修</w:t>
      </w:r>
      <w:bookmarkStart w:id="43" w:name="REVIEW_BM_209"/>
      <w:r>
        <w:rPr>
          <w:rFonts w:hint="eastAsia" w:ascii="宋体" w:hAnsi="宋体" w:cs="宋体"/>
          <w:color w:val="auto"/>
          <w:szCs w:val="21"/>
          <w:highlight w:val="none"/>
        </w:rPr>
        <w:t>,</w:t>
      </w:r>
      <w:bookmarkEnd w:id="43"/>
      <w:r>
        <w:rPr>
          <w:rFonts w:hint="eastAsia" w:ascii="宋体" w:hAnsi="宋体" w:cs="宋体"/>
          <w:color w:val="auto"/>
          <w:szCs w:val="21"/>
          <w:highlight w:val="none"/>
        </w:rPr>
        <w:t>防止损伤加剧。宜将松动的混凝土凿去，清除钢筋锈迹后抹环氧砂浆等有效措施修补。对损坏面积较大的结构，凿除混凝土后不得明显降低结构的承载力，必要时宜采用分批修补。</w:t>
      </w:r>
    </w:p>
    <w:p w14:paraId="222C1890">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5、每年雨季前后，应对涵桥进行检查、疏浚，重点解决淤积、主体结构开裂变形及基础冲刷等病害。</w:t>
      </w:r>
    </w:p>
    <w:p w14:paraId="68AF972D">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4.2.7其他养护维修质量要求</w:t>
      </w:r>
    </w:p>
    <w:p w14:paraId="247B4E3B">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1、预制块铺装车行道路面应符合人行道维修要求。</w:t>
      </w:r>
    </w:p>
    <w:p w14:paraId="319222EA">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2、沥青、水泥、砂土等结构的人行道维修应符合相同材质车行道的要求。</w:t>
      </w:r>
    </w:p>
    <w:p w14:paraId="5B9A6065">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3、修补路面(含人行道板)的结构强度不得低于原路面,结构、材质、颜色、功能、预制块尺寸等,均应与原路衔接协调。</w:t>
      </w:r>
    </w:p>
    <w:p w14:paraId="143B774C">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4、沥青路面不得用水泥混凝土修补;水泥混凝土路面不得用沥青混合料修补。</w:t>
      </w:r>
    </w:p>
    <w:p w14:paraId="4A7CFBEB">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5、道路养护维修选用材料应符合相关标准的规定,并有质量合格证明;防滑性能需满足通行需要,不得采用光滑面材料。</w:t>
      </w:r>
    </w:p>
    <w:p w14:paraId="01959944">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6、提倡采用成熟的、符合生态环保要求的新工艺、新材料、新机械。新材料、新工艺首次应用前,需经专业部门评估审查,通过后才能推广采用。</w:t>
      </w:r>
    </w:p>
    <w:p w14:paraId="31ABC304">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7、市政道路应根据不同的技术状况进行预防性养护工作</w:t>
      </w:r>
      <w:r>
        <w:rPr>
          <w:rFonts w:hint="eastAsia" w:ascii="宋体" w:hAnsi="宋体" w:cs="宋体"/>
          <w:color w:val="auto"/>
          <w:szCs w:val="21"/>
          <w:highlight w:val="none"/>
          <w:lang w:eastAsia="zh-CN"/>
        </w:rPr>
        <w:t>，</w:t>
      </w:r>
      <w:r>
        <w:rPr>
          <w:rFonts w:hint="eastAsia" w:ascii="宋体" w:hAnsi="宋体" w:cs="宋体"/>
          <w:color w:val="auto"/>
          <w:szCs w:val="21"/>
          <w:highlight w:val="none"/>
        </w:rPr>
        <w:t>主要内容应包括恢复磨耗层的功能、提高抗滑能力、裂缝早期处理等。</w:t>
      </w:r>
    </w:p>
    <w:p w14:paraId="04383968">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8、修补工序要紧密衔接</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不得间断或拖延。应根据维修时限要求和天气情况合理、紧凑地安排施工工序,以免影响交通、环境或致损坏扩大。（控制施工时间减少交通干扰）</w:t>
      </w:r>
    </w:p>
    <w:p w14:paraId="6BBF10D8">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9、车行道修补应放线、切边,修补形状规矩美观。</w:t>
      </w:r>
    </w:p>
    <w:p w14:paraId="1B94AE05">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10、受气候影响暂无法实施路面修复的车行道,应立即进行临时硬化。</w:t>
      </w:r>
    </w:p>
    <w:p w14:paraId="63BF9DAA">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11、沥青路面摊铺面积大于500平方米时,宜采用摊铺机铺筑。</w:t>
      </w:r>
    </w:p>
    <w:p w14:paraId="21CC78E3">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12、当顺向掘路宽度达到全路二分之一时,路面层应全幅修复。</w:t>
      </w:r>
    </w:p>
    <w:p w14:paraId="032E31FC">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13、掘路宽度应满足压实机械宽度要求,当宽度不适宜时,修复前应对路基进行加固处理或按高一级的道路路基标准进行修复。</w:t>
      </w:r>
    </w:p>
    <w:p w14:paraId="10835027">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14、掘路开挖断面严禁上窄下宽,回填修复前应去除松动及掏空部分。</w:t>
      </w:r>
    </w:p>
    <w:p w14:paraId="194AC8B2">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15、冬季掘路沟槽应齐边后采用加铺预制砼勾连体加重道板或用冷补沥青料修补平整。天气转暖后再做二次修复。</w:t>
      </w:r>
    </w:p>
    <w:p w14:paraId="48352FC5">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16、道路两侧非路口的人行道出入口,标高应与人行道一致。（方便行人通行,维护人行道整体性）</w:t>
      </w:r>
    </w:p>
    <w:p w14:paraId="6E9DB289">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17、不得擅自在钢筋混凝土、预应力混凝土构件上钻孔打眼及架设其他构件。</w:t>
      </w:r>
    </w:p>
    <w:p w14:paraId="23EDDDD6">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18、桥梁、挡土墙、堤防等构筑物上的草木须及时清除。</w:t>
      </w:r>
    </w:p>
    <w:p w14:paraId="5884639D">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19、设施加固、改扩建工程应依据新建工程的质量与验收标准进行,并及时完善、移交竣工验收资料。</w:t>
      </w:r>
    </w:p>
    <w:p w14:paraId="13B2DE4D">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4.3维修时限</w:t>
      </w:r>
    </w:p>
    <w:p w14:paraId="3EF413E7">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养护维修时限必须符合以下规定</w:t>
      </w:r>
    </w:p>
    <w:p w14:paraId="7A418609">
      <w:pPr>
        <w:spacing w:line="340" w:lineRule="exact"/>
        <w:ind w:firstLine="510"/>
        <w:rPr>
          <w:rFonts w:ascii="宋体" w:hAnsi="宋体" w:cs="宋体"/>
          <w:color w:val="auto"/>
          <w:szCs w:val="21"/>
          <w:highlight w:val="none"/>
        </w:rPr>
      </w:pPr>
      <w:r>
        <w:rPr>
          <w:rFonts w:hint="eastAsia" w:ascii="宋体" w:hAnsi="宋体" w:cs="宋体"/>
          <w:color w:val="auto"/>
          <w:szCs w:val="21"/>
          <w:highlight w:val="none"/>
        </w:rPr>
        <w:t>4.3.1水泥砼路面。对沉陷、严重破碎板、错台、拱胀和唧泥病害的，每个部位应在28日内完成修复；对坑洞、露骨、裂缝和接缝养护差病害的，应在10日内完成修复。</w:t>
      </w:r>
    </w:p>
    <w:p w14:paraId="3618BE3E">
      <w:pPr>
        <w:spacing w:line="340" w:lineRule="exact"/>
        <w:ind w:firstLine="510"/>
        <w:rPr>
          <w:rFonts w:ascii="宋体" w:hAnsi="宋体" w:cs="宋体"/>
          <w:color w:val="auto"/>
          <w:szCs w:val="21"/>
          <w:highlight w:val="none"/>
        </w:rPr>
      </w:pPr>
      <w:r>
        <w:rPr>
          <w:rFonts w:hint="eastAsia" w:ascii="宋体" w:hAnsi="宋体" w:cs="宋体"/>
          <w:color w:val="auto"/>
          <w:szCs w:val="21"/>
          <w:highlight w:val="none"/>
        </w:rPr>
        <w:t>4.3.2沥青砼路面。对沉陷、坑槽、松散、拥包、翻浆、脱皮、啃边、泛油、车辙、龟裂和网裂病害的，一般应在5日内完成修复，需采取工程性措施的应在28日内完成修复。</w:t>
      </w:r>
    </w:p>
    <w:p w14:paraId="09AE04BD">
      <w:pPr>
        <w:spacing w:line="340" w:lineRule="exact"/>
        <w:ind w:firstLine="510"/>
        <w:rPr>
          <w:rFonts w:ascii="宋体" w:hAnsi="宋体" w:cs="宋体"/>
          <w:color w:val="auto"/>
          <w:szCs w:val="21"/>
          <w:highlight w:val="none"/>
        </w:rPr>
      </w:pPr>
      <w:r>
        <w:rPr>
          <w:rFonts w:hint="eastAsia" w:ascii="宋体" w:hAnsi="宋体" w:cs="宋体"/>
          <w:color w:val="auto"/>
          <w:szCs w:val="21"/>
          <w:highlight w:val="none"/>
        </w:rPr>
        <w:t>4.3.3排水设施。对井盖断裂或缺失、防坠网损坏或缺失的，2小时内完成补装；对井框破损、突出或凹陷的，应在30日内完成修复；对管渠堵塞，排水不畅引起路面积水的，一般应在1日内完成疏通，由于管道结构性缺陷造成排水不畅，需采取工程性措施的，应在30日内完成修复；排水泵站设备出现故障的，必须在15日内修复，且不得影响防汛。</w:t>
      </w:r>
    </w:p>
    <w:p w14:paraId="619939AE">
      <w:pPr>
        <w:spacing w:line="340" w:lineRule="exact"/>
        <w:ind w:firstLine="510"/>
        <w:rPr>
          <w:rFonts w:ascii="宋体" w:hAnsi="宋体" w:cs="宋体"/>
          <w:color w:val="auto"/>
          <w:szCs w:val="21"/>
          <w:highlight w:val="none"/>
        </w:rPr>
      </w:pPr>
      <w:r>
        <w:rPr>
          <w:rFonts w:hint="eastAsia" w:ascii="宋体" w:hAnsi="宋体" w:cs="宋体"/>
          <w:color w:val="auto"/>
          <w:szCs w:val="21"/>
          <w:highlight w:val="none"/>
        </w:rPr>
        <w:t>4.3.4对人行道（含路缘石）产生坑洞、错台、拱起、沉陷和缺失病害的，一般应在5日内完成修复，需采取工程性措施的应在28日内完成修复；对路肩、边坡、挡土墙、和防护设施损坏的，应在5日内完成临时性修复或做好临时防护，消除安全隐患，再按采取工程性措施的实际工期完成修复；对城市家具缺损的，一般应在5日内完成修复，需采取工程性措施的应在25日内完成修复。</w:t>
      </w:r>
    </w:p>
    <w:p w14:paraId="1ED46AC2">
      <w:pPr>
        <w:spacing w:line="340" w:lineRule="exact"/>
        <w:ind w:firstLine="510"/>
        <w:rPr>
          <w:rFonts w:ascii="宋体" w:hAnsi="宋体" w:cs="宋体"/>
          <w:color w:val="auto"/>
          <w:szCs w:val="21"/>
          <w:highlight w:val="none"/>
        </w:rPr>
      </w:pPr>
      <w:r>
        <w:rPr>
          <w:rFonts w:hint="eastAsia" w:ascii="宋体" w:hAnsi="宋体" w:cs="宋体"/>
          <w:color w:val="auto"/>
          <w:szCs w:val="21"/>
          <w:highlight w:val="none"/>
        </w:rPr>
        <w:t>4.3.5桥涵及其他附属设施。对人行道铺装、栏杆、伸缩缝、墩台、锥坡、翼墙损坏的，应在5日内完成临时性修复或做好临时防护，消除安全隐患，再按采取工程性措施的实际工期完成修复；对隔音板、限高和限载牌损坏或缺失的，一般应在5日内完成修复，需采取工程性措施的应在25日内完成修复。</w:t>
      </w:r>
    </w:p>
    <w:p w14:paraId="64DFFA44">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4.4 施工质量</w:t>
      </w:r>
    </w:p>
    <w:p w14:paraId="1ECD3013">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4.4.1施工中应当严格执行养护维修施工强制性标准、施工规范、施工及质量验收标准,施工质量达到一次合格标准。</w:t>
      </w:r>
    </w:p>
    <w:p w14:paraId="458C2D16">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4.4.2原材料及半成品必须按规定检测合格后方可使用。</w:t>
      </w:r>
    </w:p>
    <w:p w14:paraId="1147E6FB">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4.4.3现场使用的测量、计量、试验设备和设施符合要求。</w:t>
      </w:r>
    </w:p>
    <w:p w14:paraId="1AE6A750">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4.4.4设立工程结算价3%的维修质量保修金,保修期限为壹年。期满后且无质量问题后，方可支付。</w:t>
      </w:r>
    </w:p>
    <w:p w14:paraId="0F435FAC">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4.5 竣工验收管理</w:t>
      </w:r>
    </w:p>
    <w:p w14:paraId="271CADAF">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4.5.1中修以上工程可按照国家现行标准进行验收。 维修养护施工企业按规定整理有关文件、图纸、技术资料,向</w:t>
      </w:r>
      <w:r>
        <w:rPr>
          <w:rFonts w:hint="eastAsia" w:ascii="宋体" w:hAnsi="宋体" w:cs="宋体"/>
          <w:color w:val="auto"/>
          <w:szCs w:val="21"/>
          <w:highlight w:val="none"/>
          <w:lang w:eastAsia="zh-CN"/>
        </w:rPr>
        <w:t>防城港市住房和城乡建设局</w:t>
      </w:r>
      <w:r>
        <w:rPr>
          <w:rFonts w:hint="eastAsia" w:ascii="宋体" w:hAnsi="宋体" w:cs="宋体"/>
          <w:color w:val="auto"/>
          <w:szCs w:val="21"/>
          <w:highlight w:val="none"/>
        </w:rPr>
        <w:t>提出竣工验收申请。</w:t>
      </w:r>
      <w:r>
        <w:rPr>
          <w:rFonts w:hint="eastAsia" w:ascii="宋体" w:hAnsi="宋体" w:cs="宋体"/>
          <w:color w:val="auto"/>
          <w:szCs w:val="21"/>
          <w:highlight w:val="none"/>
          <w:lang w:eastAsia="zh-CN"/>
        </w:rPr>
        <w:t>防城港市住房和城乡建设局</w:t>
      </w:r>
      <w:r>
        <w:rPr>
          <w:rFonts w:hint="eastAsia" w:ascii="宋体" w:hAnsi="宋体" w:cs="宋体"/>
          <w:color w:val="auto"/>
          <w:szCs w:val="21"/>
          <w:highlight w:val="none"/>
        </w:rPr>
        <w:t>应立即组织验收并进行质量评定。</w:t>
      </w:r>
    </w:p>
    <w:p w14:paraId="482AA2C7">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4.5.2桥梁改扩建工程检查与验收应依据新建工程的质量标准进行。</w:t>
      </w:r>
    </w:p>
    <w:p w14:paraId="62F1FD23">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4.6普查与检测评估</w:t>
      </w:r>
    </w:p>
    <w:p w14:paraId="7A42F535">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4.6.1 每年按养护技术规范要求的程序完成设施完好率普查,准确计算车行道完好率、人行道完好率及道路完好率、综合完好率等指标,12月底前报送主管部门。</w:t>
      </w:r>
    </w:p>
    <w:p w14:paraId="64B9869C">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4.6.2 应按养护技术规范的规定,对道路、桥梁等设施进行经常性检查和使用状况评估,并建立系统档案资料。</w:t>
      </w:r>
    </w:p>
    <w:p w14:paraId="4A95E8ED">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4.6.3 检测过程中发现设施损坏、影响车辆和行人安全的,应及时采取维护措施,并立即向主管部门报告。</w:t>
      </w:r>
    </w:p>
    <w:p w14:paraId="328ECF10">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对检测后技术状态评级为C级的桥梁,应进行有针对性的维修;对评定为C级以下、存在结构安全隐患的桥梁,应立即采取限载或封闭交通等措施,并及时对病害进行维修,避免损坏进一步发展,确保桥梁运行安全。</w:t>
      </w:r>
    </w:p>
    <w:p w14:paraId="4B487EDC">
      <w:pPr>
        <w:spacing w:before="240" w:after="60" w:line="340" w:lineRule="exact"/>
        <w:jc w:val="center"/>
        <w:outlineLvl w:val="0"/>
        <w:rPr>
          <w:rFonts w:ascii="宋体" w:hAnsi="宋体" w:cs="宋体"/>
          <w:b/>
          <w:bCs/>
          <w:color w:val="auto"/>
          <w:szCs w:val="21"/>
          <w:highlight w:val="none"/>
        </w:rPr>
        <w:sectPr>
          <w:pgSz w:w="11911" w:h="16838"/>
          <w:pgMar w:top="1417" w:right="1304" w:bottom="1417" w:left="1474" w:header="856" w:footer="890" w:gutter="0"/>
          <w:pgBorders>
            <w:top w:val="none" w:sz="0" w:space="0"/>
            <w:left w:val="none" w:sz="0" w:space="0"/>
            <w:bottom w:val="none" w:sz="0" w:space="0"/>
            <w:right w:val="none" w:sz="0" w:space="0"/>
          </w:pgBorders>
          <w:cols w:space="1701" w:num="1"/>
        </w:sectPr>
      </w:pPr>
    </w:p>
    <w:p w14:paraId="13DC7CA9">
      <w:pPr>
        <w:spacing w:line="340" w:lineRule="exact"/>
        <w:jc w:val="center"/>
        <w:rPr>
          <w:rFonts w:ascii="宋体" w:hAnsi="宋体" w:eastAsia="宋体" w:cs="宋体"/>
          <w:b/>
          <w:bCs/>
          <w:color w:val="auto"/>
          <w:sz w:val="24"/>
          <w:highlight w:val="none"/>
          <w:lang w:val="en-US" w:eastAsia="zh-CN"/>
        </w:rPr>
      </w:pPr>
      <w:r>
        <w:rPr>
          <w:rFonts w:hint="eastAsia" w:ascii="宋体" w:hAnsi="宋体" w:cs="宋体"/>
          <w:b/>
          <w:bCs/>
          <w:color w:val="auto"/>
          <w:sz w:val="24"/>
          <w:highlight w:val="none"/>
        </w:rPr>
        <w:t>附件3:</w:t>
      </w:r>
      <w:r>
        <w:rPr>
          <w:rFonts w:hint="eastAsia" w:ascii="宋体" w:hAnsi="宋体" w:cs="宋体"/>
          <w:b/>
          <w:bCs/>
          <w:color w:val="auto"/>
          <w:sz w:val="24"/>
          <w:highlight w:val="none"/>
          <w:lang w:eastAsia="zh-CN"/>
        </w:rPr>
        <w:t>防城港</w:t>
      </w:r>
      <w:r>
        <w:rPr>
          <w:rFonts w:hint="eastAsia" w:ascii="宋体" w:hAnsi="宋体" w:cs="宋体"/>
          <w:b/>
          <w:bCs/>
          <w:color w:val="auto"/>
          <w:sz w:val="24"/>
          <w:highlight w:val="none"/>
        </w:rPr>
        <w:t>市政设施日常维修养护项目考核方式及标准</w:t>
      </w:r>
    </w:p>
    <w:p w14:paraId="1F1FE472">
      <w:pPr>
        <w:spacing w:line="340" w:lineRule="exact"/>
        <w:rPr>
          <w:rFonts w:hint="eastAsia" w:ascii="宋体" w:hAnsi="宋体" w:cs="宋体"/>
          <w:b/>
          <w:bCs/>
          <w:color w:val="auto"/>
          <w:sz w:val="24"/>
          <w:highlight w:val="none"/>
        </w:rPr>
      </w:pPr>
    </w:p>
    <w:p w14:paraId="7E607285">
      <w:pPr>
        <w:spacing w:line="360" w:lineRule="auto"/>
        <w:rPr>
          <w:rFonts w:ascii="宋体" w:hAnsi="宋体" w:cs="宋体"/>
          <w:b/>
          <w:bCs/>
          <w:color w:val="auto"/>
          <w:sz w:val="22"/>
          <w:szCs w:val="22"/>
          <w:highlight w:val="none"/>
        </w:rPr>
      </w:pPr>
      <w:r>
        <w:rPr>
          <w:rFonts w:hint="eastAsia" w:ascii="宋体" w:hAnsi="宋体" w:cs="宋体"/>
          <w:b/>
          <w:bCs/>
          <w:color w:val="auto"/>
          <w:sz w:val="22"/>
          <w:szCs w:val="22"/>
          <w:highlight w:val="none"/>
        </w:rPr>
        <w:t>一、对施工企业的考核方式及标准</w:t>
      </w:r>
    </w:p>
    <w:p w14:paraId="440F4C65">
      <w:pPr>
        <w:spacing w:line="360" w:lineRule="auto"/>
        <w:ind w:firstLine="442"/>
        <w:rPr>
          <w:rFonts w:ascii="宋体" w:hAnsi="宋体" w:cs="宋体"/>
          <w:b/>
          <w:color w:val="auto"/>
          <w:sz w:val="22"/>
          <w:szCs w:val="22"/>
          <w:highlight w:val="none"/>
        </w:rPr>
      </w:pPr>
      <w:r>
        <w:rPr>
          <w:rFonts w:hint="eastAsia" w:ascii="宋体" w:hAnsi="宋体" w:cs="宋体"/>
          <w:b/>
          <w:color w:val="auto"/>
          <w:sz w:val="22"/>
          <w:szCs w:val="22"/>
          <w:highlight w:val="none"/>
        </w:rPr>
        <w:t>（一）考核方式</w:t>
      </w:r>
    </w:p>
    <w:p w14:paraId="672FFA9C">
      <w:pPr>
        <w:spacing w:line="360" w:lineRule="auto"/>
        <w:ind w:firstLine="440"/>
        <w:rPr>
          <w:rFonts w:ascii="宋体" w:hAnsi="宋体" w:cs="宋体"/>
          <w:color w:val="auto"/>
          <w:sz w:val="22"/>
          <w:szCs w:val="22"/>
          <w:highlight w:val="none"/>
        </w:rPr>
      </w:pPr>
      <w:r>
        <w:rPr>
          <w:rFonts w:hint="eastAsia" w:ascii="宋体" w:hAnsi="宋体" w:cs="宋体"/>
          <w:color w:val="auto"/>
          <w:sz w:val="22"/>
          <w:szCs w:val="22"/>
          <w:highlight w:val="none"/>
        </w:rPr>
        <w:t>考核分为日常抽查考核、周期考核。</w:t>
      </w:r>
    </w:p>
    <w:p w14:paraId="17EA14EC">
      <w:pPr>
        <w:spacing w:line="360" w:lineRule="auto"/>
        <w:ind w:firstLine="442"/>
        <w:rPr>
          <w:rFonts w:ascii="宋体" w:hAnsi="宋体" w:cs="宋体"/>
          <w:b/>
          <w:color w:val="auto"/>
          <w:sz w:val="22"/>
          <w:szCs w:val="22"/>
          <w:highlight w:val="none"/>
        </w:rPr>
      </w:pPr>
      <w:r>
        <w:rPr>
          <w:rFonts w:hint="eastAsia" w:ascii="宋体" w:hAnsi="宋体" w:cs="宋体"/>
          <w:b/>
          <w:color w:val="auto"/>
          <w:sz w:val="22"/>
          <w:szCs w:val="22"/>
          <w:highlight w:val="none"/>
        </w:rPr>
        <w:t>1.1日常抽查考核</w:t>
      </w:r>
    </w:p>
    <w:p w14:paraId="17AF29DB">
      <w:pPr>
        <w:spacing w:line="360" w:lineRule="auto"/>
        <w:ind w:firstLine="440"/>
        <w:rPr>
          <w:rFonts w:ascii="宋体" w:hAnsi="宋体" w:cs="宋体"/>
          <w:color w:val="auto"/>
          <w:sz w:val="22"/>
          <w:szCs w:val="22"/>
          <w:highlight w:val="none"/>
        </w:rPr>
      </w:pPr>
      <w:r>
        <w:rPr>
          <w:rFonts w:hint="eastAsia" w:ascii="宋体" w:hAnsi="宋体" w:cs="宋体"/>
          <w:color w:val="auto"/>
          <w:sz w:val="22"/>
          <w:szCs w:val="22"/>
          <w:highlight w:val="none"/>
        </w:rPr>
        <w:t>由</w:t>
      </w:r>
      <w:r>
        <w:rPr>
          <w:rFonts w:hint="eastAsia" w:ascii="宋体" w:hAnsi="宋体" w:cs="宋体"/>
          <w:color w:val="auto"/>
          <w:sz w:val="22"/>
          <w:szCs w:val="22"/>
          <w:highlight w:val="none"/>
          <w:lang w:eastAsia="zh-CN"/>
        </w:rPr>
        <w:t>防城港市住房城乡建设局</w:t>
      </w:r>
      <w:r>
        <w:rPr>
          <w:rFonts w:hint="eastAsia" w:ascii="宋体" w:hAnsi="宋体" w:cs="宋体"/>
          <w:color w:val="auto"/>
          <w:sz w:val="22"/>
          <w:szCs w:val="22"/>
          <w:highlight w:val="none"/>
        </w:rPr>
        <w:t>不定期对施工企业维护情况进行现场随机抽查，发现</w:t>
      </w:r>
      <w:r>
        <w:rPr>
          <w:rFonts w:hint="eastAsia" w:ascii="宋体" w:hAnsi="宋体" w:cs="宋体"/>
          <w:bCs/>
          <w:color w:val="auto"/>
          <w:sz w:val="22"/>
          <w:szCs w:val="22"/>
          <w:highlight w:val="none"/>
        </w:rPr>
        <w:t>施工企业违规行为当场进行通报，</w:t>
      </w:r>
      <w:r>
        <w:rPr>
          <w:rFonts w:hint="eastAsia" w:ascii="宋体" w:hAnsi="宋体" w:cs="宋体"/>
          <w:color w:val="auto"/>
          <w:sz w:val="22"/>
          <w:szCs w:val="22"/>
          <w:highlight w:val="none"/>
        </w:rPr>
        <w:t>对存在问题提出整改要求，</w:t>
      </w:r>
      <w:r>
        <w:rPr>
          <w:rFonts w:hint="eastAsia" w:ascii="宋体" w:hAnsi="宋体" w:cs="宋体"/>
          <w:bCs/>
          <w:color w:val="auto"/>
          <w:sz w:val="22"/>
          <w:szCs w:val="22"/>
          <w:highlight w:val="none"/>
        </w:rPr>
        <w:t>并</w:t>
      </w:r>
      <w:r>
        <w:rPr>
          <w:rFonts w:hint="eastAsia" w:ascii="宋体" w:hAnsi="宋体" w:cs="宋体"/>
          <w:color w:val="auto"/>
          <w:sz w:val="22"/>
          <w:szCs w:val="22"/>
          <w:highlight w:val="none"/>
        </w:rPr>
        <w:t>作出经济处罚。经济处罚金额在月度维护经费核拨中扣除，由发包人书面告知施工企业处罚原因（附相关照片或其他依据）。经济处罚并不能免除施工企业在月度、年合同期满考核中扣分的责任。施工企业违规行为包括但不限于以下内容：</w:t>
      </w:r>
    </w:p>
    <w:p w14:paraId="6D9764D7">
      <w:pPr>
        <w:spacing w:line="360" w:lineRule="auto"/>
        <w:ind w:firstLine="440"/>
        <w:rPr>
          <w:rFonts w:ascii="宋体" w:hAnsi="宋体" w:cs="宋体"/>
          <w:color w:val="auto"/>
          <w:sz w:val="22"/>
          <w:szCs w:val="22"/>
          <w:highlight w:val="none"/>
        </w:rPr>
      </w:pPr>
      <w:r>
        <w:rPr>
          <w:rFonts w:hint="eastAsia" w:ascii="宋体" w:hAnsi="宋体" w:cs="宋体"/>
          <w:color w:val="auto"/>
          <w:sz w:val="22"/>
          <w:szCs w:val="22"/>
          <w:highlight w:val="none"/>
        </w:rPr>
        <w:t>（1）凡维护区域内所辖市政道路存在沉陷、空洞或大于100mm的错台以及井盖、雨水口篦子丢失等影响道路安全运营情况时，施工企业没有第一时间安排人员维修并设置警示保护措施的，统一按照巡查及维修不到位处理，每发现一起处罚1000元。</w:t>
      </w:r>
    </w:p>
    <w:p w14:paraId="46FFD212">
      <w:pPr>
        <w:spacing w:line="360" w:lineRule="auto"/>
        <w:ind w:firstLine="440"/>
        <w:rPr>
          <w:rFonts w:ascii="宋体" w:hAnsi="宋体" w:cs="宋体"/>
          <w:bCs/>
          <w:color w:val="auto"/>
          <w:sz w:val="22"/>
          <w:szCs w:val="22"/>
          <w:highlight w:val="none"/>
        </w:rPr>
      </w:pPr>
      <w:r>
        <w:rPr>
          <w:rFonts w:hint="eastAsia" w:ascii="宋体" w:hAnsi="宋体" w:cs="宋体"/>
          <w:color w:val="auto"/>
          <w:sz w:val="22"/>
          <w:szCs w:val="22"/>
          <w:highlight w:val="none"/>
        </w:rPr>
        <w:t>（2）</w:t>
      </w:r>
      <w:r>
        <w:rPr>
          <w:rFonts w:hint="eastAsia" w:ascii="宋体" w:hAnsi="宋体" w:cs="宋体"/>
          <w:bCs/>
          <w:color w:val="auto"/>
          <w:sz w:val="22"/>
          <w:szCs w:val="22"/>
          <w:highlight w:val="none"/>
        </w:rPr>
        <w:t>对于日常维护施工单位未按合同要求落实巡查人员、车辆或应当安排巡查但无故未巡查的，每次处罚200元。</w:t>
      </w:r>
    </w:p>
    <w:p w14:paraId="6FA14A3B">
      <w:pPr>
        <w:spacing w:line="360" w:lineRule="auto"/>
        <w:ind w:firstLine="440"/>
        <w:rPr>
          <w:rFonts w:ascii="宋体" w:hAnsi="宋体" w:cs="宋体"/>
          <w:color w:val="auto"/>
          <w:sz w:val="22"/>
          <w:szCs w:val="22"/>
          <w:highlight w:val="none"/>
        </w:rPr>
      </w:pPr>
      <w:r>
        <w:rPr>
          <w:rFonts w:hint="eastAsia" w:ascii="宋体" w:hAnsi="宋体" w:cs="宋体"/>
          <w:color w:val="auto"/>
          <w:sz w:val="22"/>
          <w:szCs w:val="22"/>
          <w:highlight w:val="none"/>
        </w:rPr>
        <w:t>（3）为做好井盖损坏抢修、防汛防台等应急处置响应工作，要求承包人落实24小时值班制应急人员、车辆，能迅速响应发包人要求以确保城区道路的安全畅通，符合以下时限要求：</w:t>
      </w:r>
    </w:p>
    <w:p w14:paraId="04A19A11">
      <w:pPr>
        <w:spacing w:line="360" w:lineRule="auto"/>
        <w:ind w:firstLine="440"/>
        <w:rPr>
          <w:rFonts w:ascii="宋体" w:hAnsi="宋体" w:cs="宋体"/>
          <w:color w:val="auto"/>
          <w:sz w:val="22"/>
          <w:szCs w:val="22"/>
          <w:highlight w:val="none"/>
        </w:rPr>
      </w:pPr>
      <w:r>
        <w:rPr>
          <w:rFonts w:hint="eastAsia" w:ascii="宋体" w:hAnsi="宋体" w:cs="宋体"/>
          <w:color w:val="auto"/>
          <w:sz w:val="22"/>
          <w:szCs w:val="22"/>
          <w:highlight w:val="none"/>
        </w:rPr>
        <w:t>①承包人应在接到应急处置任务的30分钟内（节假日为1小时）到达现场，并做相应处置；</w:t>
      </w:r>
    </w:p>
    <w:p w14:paraId="07FEA7C9">
      <w:pPr>
        <w:spacing w:line="360" w:lineRule="auto"/>
        <w:ind w:firstLine="440"/>
        <w:rPr>
          <w:rFonts w:ascii="宋体" w:hAnsi="宋体" w:cs="宋体"/>
          <w:color w:val="auto"/>
          <w:sz w:val="22"/>
          <w:szCs w:val="22"/>
          <w:highlight w:val="none"/>
        </w:rPr>
      </w:pPr>
      <w:r>
        <w:rPr>
          <w:rFonts w:hint="eastAsia" w:ascii="宋体" w:hAnsi="宋体" w:cs="宋体"/>
          <w:color w:val="auto"/>
          <w:sz w:val="22"/>
          <w:szCs w:val="22"/>
          <w:highlight w:val="none"/>
        </w:rPr>
        <w:t>②承包人在接到应急处置任务的1小时内（节假日为2小时）仍没有到达现场的，在2小时内（节假日为3小时）完成应急处置任务，按未及时响应应急处置工作进行5000元/次处罚，在承包人最近一次提交的工程结算价款中扣除。</w:t>
      </w:r>
    </w:p>
    <w:p w14:paraId="74832D72">
      <w:pPr>
        <w:spacing w:line="360" w:lineRule="auto"/>
        <w:ind w:firstLine="440"/>
        <w:rPr>
          <w:rFonts w:ascii="宋体" w:hAnsi="宋体" w:cs="宋体"/>
          <w:color w:val="auto"/>
          <w:sz w:val="22"/>
          <w:szCs w:val="22"/>
          <w:highlight w:val="none"/>
        </w:rPr>
      </w:pPr>
      <w:r>
        <w:rPr>
          <w:rFonts w:hint="eastAsia" w:ascii="宋体" w:hAnsi="宋体" w:cs="宋体"/>
          <w:color w:val="auto"/>
          <w:sz w:val="22"/>
          <w:szCs w:val="22"/>
          <w:highlight w:val="none"/>
        </w:rPr>
        <w:t>③承包人在接到应急处理任务的2小时内（节假日为3小时）仍没有到达现场的，按未响应应急处置工作进行10000元/次处罚，在承包人最近一次提交的工程结算价款中扣除，在相应的考核项目中得0分。</w:t>
      </w:r>
    </w:p>
    <w:p w14:paraId="6A7C3BA0">
      <w:pPr>
        <w:spacing w:line="360" w:lineRule="auto"/>
        <w:ind w:firstLine="440"/>
        <w:rPr>
          <w:rFonts w:ascii="宋体" w:hAnsi="宋体" w:cs="宋体"/>
          <w:color w:val="auto"/>
          <w:sz w:val="22"/>
          <w:szCs w:val="22"/>
          <w:highlight w:val="none"/>
        </w:rPr>
      </w:pPr>
      <w:r>
        <w:rPr>
          <w:rFonts w:hint="eastAsia" w:ascii="宋体" w:hAnsi="宋体" w:cs="宋体"/>
          <w:color w:val="auto"/>
          <w:sz w:val="22"/>
          <w:szCs w:val="22"/>
          <w:highlight w:val="none"/>
        </w:rPr>
        <w:t>（4）施工企业在施工任务中没有按规定穿着反光衣的，每人每次罚款200 元。</w:t>
      </w:r>
    </w:p>
    <w:p w14:paraId="65EEEFDB">
      <w:pPr>
        <w:spacing w:line="360" w:lineRule="auto"/>
        <w:ind w:firstLine="440"/>
        <w:rPr>
          <w:rFonts w:ascii="宋体" w:hAnsi="宋体" w:cs="宋体"/>
          <w:color w:val="auto"/>
          <w:sz w:val="22"/>
          <w:szCs w:val="22"/>
          <w:highlight w:val="none"/>
        </w:rPr>
      </w:pPr>
      <w:r>
        <w:rPr>
          <w:rFonts w:hint="eastAsia" w:ascii="宋体" w:hAnsi="宋体" w:cs="宋体"/>
          <w:color w:val="auto"/>
          <w:sz w:val="22"/>
          <w:szCs w:val="22"/>
          <w:highlight w:val="none"/>
        </w:rPr>
        <w:t>（5）每两个月为一个周期，施工企业于每个周期后一个月10日前提交上个月维护任务完整的工程结算报告及相关结算资料4套。施工企业</w:t>
      </w:r>
      <w:r>
        <w:rPr>
          <w:rFonts w:hint="eastAsia" w:ascii="宋体" w:hAnsi="宋体" w:cs="宋体"/>
          <w:bCs/>
          <w:color w:val="auto"/>
          <w:sz w:val="22"/>
          <w:szCs w:val="22"/>
          <w:highlight w:val="none"/>
        </w:rPr>
        <w:t>未按规定时间递交相关工程资料的，每延误一天扣罚200元，延误时间不允许超过30日历天，延误时间超过30日历天的该结算报告不予认可。</w:t>
      </w:r>
    </w:p>
    <w:p w14:paraId="1AEAB6E8">
      <w:pPr>
        <w:spacing w:line="360" w:lineRule="auto"/>
        <w:ind w:firstLine="440"/>
        <w:rPr>
          <w:rFonts w:ascii="宋体" w:hAnsi="宋体" w:cs="宋体"/>
          <w:color w:val="auto"/>
          <w:sz w:val="22"/>
          <w:szCs w:val="22"/>
          <w:highlight w:val="none"/>
        </w:rPr>
      </w:pPr>
      <w:r>
        <w:rPr>
          <w:rFonts w:hint="eastAsia" w:ascii="宋体" w:hAnsi="宋体" w:cs="宋体"/>
          <w:color w:val="auto"/>
          <w:sz w:val="22"/>
          <w:szCs w:val="22"/>
          <w:highlight w:val="none"/>
        </w:rPr>
        <w:t>（6）在工程量审查、签证过程中，若发现施工企业上报工程量超过实际工程量时（测量允许误差±3%），除扣减相应虚报工程量部分，每次处罚1000元。</w:t>
      </w:r>
    </w:p>
    <w:p w14:paraId="3F3FB639">
      <w:pPr>
        <w:spacing w:line="360" w:lineRule="auto"/>
        <w:ind w:firstLine="440"/>
        <w:rPr>
          <w:rFonts w:ascii="宋体" w:hAnsi="宋体" w:cs="宋体"/>
          <w:color w:val="auto"/>
          <w:sz w:val="22"/>
          <w:szCs w:val="22"/>
          <w:highlight w:val="none"/>
        </w:rPr>
      </w:pPr>
      <w:r>
        <w:rPr>
          <w:rFonts w:hint="eastAsia" w:ascii="宋体" w:hAnsi="宋体" w:cs="宋体"/>
          <w:color w:val="auto"/>
          <w:sz w:val="22"/>
          <w:szCs w:val="22"/>
          <w:highlight w:val="none"/>
        </w:rPr>
        <w:t>（7）合同、相关法律法规约定的情形。</w:t>
      </w:r>
    </w:p>
    <w:p w14:paraId="439D8899">
      <w:pPr>
        <w:spacing w:line="360" w:lineRule="auto"/>
        <w:ind w:firstLine="442"/>
        <w:rPr>
          <w:rFonts w:ascii="宋体" w:hAnsi="宋体" w:cs="宋体"/>
          <w:b/>
          <w:color w:val="auto"/>
          <w:sz w:val="22"/>
          <w:szCs w:val="22"/>
          <w:highlight w:val="none"/>
        </w:rPr>
      </w:pPr>
      <w:r>
        <w:rPr>
          <w:rFonts w:hint="eastAsia" w:ascii="宋体" w:hAnsi="宋体" w:cs="宋体"/>
          <w:b/>
          <w:color w:val="auto"/>
          <w:sz w:val="22"/>
          <w:szCs w:val="22"/>
          <w:highlight w:val="none"/>
        </w:rPr>
        <w:t>1.2月度考核</w:t>
      </w:r>
    </w:p>
    <w:p w14:paraId="1235D23A">
      <w:pPr>
        <w:spacing w:line="360" w:lineRule="auto"/>
        <w:ind w:firstLine="440"/>
        <w:rPr>
          <w:rFonts w:ascii="宋体" w:hAnsi="宋体" w:cs="宋体"/>
          <w:color w:val="auto"/>
          <w:sz w:val="22"/>
          <w:szCs w:val="22"/>
          <w:highlight w:val="none"/>
        </w:rPr>
      </w:pPr>
      <w:r>
        <w:rPr>
          <w:rFonts w:hint="eastAsia" w:ascii="宋体" w:hAnsi="宋体" w:cs="宋体"/>
          <w:color w:val="auto"/>
          <w:sz w:val="22"/>
          <w:szCs w:val="22"/>
          <w:highlight w:val="none"/>
        </w:rPr>
        <w:t>1.2.1考核程序</w:t>
      </w:r>
    </w:p>
    <w:p w14:paraId="5748889B">
      <w:pPr>
        <w:spacing w:line="360" w:lineRule="auto"/>
        <w:ind w:firstLine="440"/>
        <w:rPr>
          <w:rFonts w:ascii="宋体" w:hAnsi="宋体" w:cs="宋体"/>
          <w:color w:val="auto"/>
          <w:sz w:val="22"/>
          <w:szCs w:val="22"/>
          <w:highlight w:val="none"/>
        </w:rPr>
      </w:pPr>
      <w:r>
        <w:rPr>
          <w:rFonts w:hint="eastAsia" w:ascii="宋体" w:hAnsi="宋体" w:cs="宋体"/>
          <w:color w:val="auto"/>
          <w:sz w:val="22"/>
          <w:szCs w:val="22"/>
          <w:highlight w:val="none"/>
        </w:rPr>
        <w:t>周期考核每两个月进行一次，考核前施工企业按本考核办法进行自检，</w:t>
      </w:r>
      <w:r>
        <w:rPr>
          <w:rFonts w:hint="eastAsia" w:ascii="宋体" w:hAnsi="宋体" w:cs="宋体"/>
          <w:color w:val="auto"/>
          <w:sz w:val="22"/>
          <w:szCs w:val="22"/>
          <w:highlight w:val="none"/>
          <w:lang w:eastAsia="zh-CN"/>
        </w:rPr>
        <w:t>防城港市住房城乡建设局</w:t>
      </w:r>
      <w:r>
        <w:rPr>
          <w:rFonts w:hint="eastAsia" w:ascii="宋体" w:hAnsi="宋体" w:cs="宋体"/>
          <w:color w:val="auto"/>
          <w:sz w:val="22"/>
          <w:szCs w:val="22"/>
          <w:highlight w:val="none"/>
        </w:rPr>
        <w:t>分管领导牵头</w:t>
      </w:r>
      <w:r>
        <w:rPr>
          <w:rFonts w:hint="eastAsia" w:ascii="宋体" w:hAnsi="宋体" w:cs="宋体"/>
          <w:color w:val="auto"/>
          <w:sz w:val="22"/>
          <w:szCs w:val="22"/>
          <w:highlight w:val="none"/>
          <w:lang w:val="en-US" w:eastAsia="zh-CN"/>
        </w:rPr>
        <w:t>城建科、计财科、</w:t>
      </w:r>
      <w:r>
        <w:rPr>
          <w:rFonts w:hint="eastAsia" w:ascii="宋体" w:hAnsi="宋体" w:cs="宋体"/>
          <w:color w:val="auto"/>
          <w:sz w:val="22"/>
          <w:szCs w:val="22"/>
          <w:highlight w:val="none"/>
        </w:rPr>
        <w:t>市政工程服务中心</w:t>
      </w:r>
      <w:r>
        <w:rPr>
          <w:rFonts w:hint="eastAsia" w:ascii="宋体" w:hAnsi="宋体" w:cs="宋体"/>
          <w:color w:val="auto"/>
          <w:sz w:val="22"/>
          <w:szCs w:val="22"/>
          <w:highlight w:val="none"/>
          <w:lang w:val="en-US" w:eastAsia="zh-CN"/>
        </w:rPr>
        <w:t>等部门</w:t>
      </w:r>
      <w:r>
        <w:rPr>
          <w:rFonts w:hint="eastAsia" w:ascii="宋体" w:hAnsi="宋体" w:cs="宋体"/>
          <w:color w:val="auto"/>
          <w:sz w:val="22"/>
          <w:szCs w:val="22"/>
          <w:highlight w:val="none"/>
        </w:rPr>
        <w:t>组成考核组，根据本考核办法对施工企业检查考核，并出具考核结果和对存在问题提出整改要求，考核相关组织、衔接和台账等工作由市政工程服务中心负责。</w:t>
      </w:r>
    </w:p>
    <w:p w14:paraId="7EB94385">
      <w:pPr>
        <w:spacing w:line="360" w:lineRule="auto"/>
        <w:ind w:firstLine="440"/>
        <w:rPr>
          <w:rFonts w:ascii="宋体" w:hAnsi="宋体" w:cs="宋体"/>
          <w:color w:val="auto"/>
          <w:sz w:val="22"/>
          <w:szCs w:val="22"/>
          <w:highlight w:val="none"/>
        </w:rPr>
      </w:pPr>
      <w:r>
        <w:rPr>
          <w:rFonts w:hint="eastAsia" w:ascii="宋体" w:hAnsi="宋体" w:cs="宋体"/>
          <w:color w:val="auto"/>
          <w:sz w:val="22"/>
          <w:szCs w:val="22"/>
          <w:highlight w:val="none"/>
        </w:rPr>
        <w:t>1.2.2考核的具体要求</w:t>
      </w:r>
    </w:p>
    <w:p w14:paraId="0F812088">
      <w:pPr>
        <w:spacing w:line="360" w:lineRule="auto"/>
        <w:ind w:firstLine="442"/>
        <w:rPr>
          <w:rFonts w:ascii="宋体" w:hAnsi="宋体" w:cs="宋体"/>
          <w:color w:val="auto"/>
          <w:sz w:val="22"/>
          <w:szCs w:val="22"/>
          <w:highlight w:val="none"/>
        </w:rPr>
      </w:pPr>
      <w:r>
        <w:rPr>
          <w:rFonts w:hint="eastAsia" w:ascii="宋体" w:hAnsi="宋体" w:cs="宋体"/>
          <w:b/>
          <w:color w:val="auto"/>
          <w:sz w:val="22"/>
          <w:szCs w:val="22"/>
          <w:highlight w:val="none"/>
        </w:rPr>
        <w:t>资料考核：</w:t>
      </w:r>
      <w:r>
        <w:rPr>
          <w:rFonts w:hint="eastAsia" w:ascii="宋体" w:hAnsi="宋体" w:cs="宋体"/>
          <w:color w:val="auto"/>
          <w:sz w:val="22"/>
          <w:szCs w:val="22"/>
          <w:highlight w:val="none"/>
        </w:rPr>
        <w:t>对施工企业的各类资料（台</w:t>
      </w:r>
      <w:r>
        <w:rPr>
          <w:rFonts w:hint="eastAsia" w:ascii="宋体" w:hAnsi="宋体" w:cs="宋体"/>
          <w:color w:val="auto"/>
          <w:sz w:val="22"/>
          <w:szCs w:val="22"/>
          <w:highlight w:val="none"/>
          <w:lang w:eastAsia="zh-CN"/>
        </w:rPr>
        <w:t>账</w:t>
      </w:r>
      <w:r>
        <w:rPr>
          <w:rFonts w:hint="eastAsia" w:ascii="宋体" w:hAnsi="宋体" w:cs="宋体"/>
          <w:color w:val="auto"/>
          <w:sz w:val="22"/>
          <w:szCs w:val="22"/>
          <w:highlight w:val="none"/>
        </w:rPr>
        <w:t>）进行考核，对施工企业的社会责任履行、日常巡查、维护及时率、安全文明施工情况进行月综合评价。</w:t>
      </w:r>
    </w:p>
    <w:p w14:paraId="74D75784">
      <w:pPr>
        <w:spacing w:line="360" w:lineRule="auto"/>
        <w:ind w:firstLine="442"/>
        <w:rPr>
          <w:rFonts w:ascii="宋体" w:hAnsi="宋体" w:cs="宋体"/>
          <w:b/>
          <w:color w:val="auto"/>
          <w:sz w:val="22"/>
          <w:szCs w:val="22"/>
          <w:highlight w:val="none"/>
        </w:rPr>
      </w:pPr>
      <w:r>
        <w:rPr>
          <w:rFonts w:hint="eastAsia" w:ascii="宋体" w:hAnsi="宋体" w:cs="宋体"/>
          <w:b/>
          <w:color w:val="auto"/>
          <w:sz w:val="22"/>
          <w:szCs w:val="22"/>
          <w:highlight w:val="none"/>
        </w:rPr>
        <w:t>现场考核：</w:t>
      </w:r>
    </w:p>
    <w:p w14:paraId="7786D1BF">
      <w:pPr>
        <w:spacing w:line="360" w:lineRule="auto"/>
        <w:ind w:firstLine="440"/>
        <w:rPr>
          <w:rFonts w:ascii="宋体" w:hAnsi="宋体" w:cs="宋体"/>
          <w:color w:val="auto"/>
          <w:sz w:val="22"/>
          <w:szCs w:val="22"/>
          <w:highlight w:val="none"/>
        </w:rPr>
      </w:pPr>
      <w:r>
        <w:rPr>
          <w:rFonts w:hint="eastAsia" w:ascii="宋体" w:hAnsi="宋体" w:cs="宋体"/>
          <w:color w:val="auto"/>
          <w:sz w:val="22"/>
          <w:szCs w:val="22"/>
          <w:highlight w:val="none"/>
        </w:rPr>
        <w:t>（1）根据当月正在维护的设施情况，由考核组随机抽取</w:t>
      </w:r>
      <w:r>
        <w:rPr>
          <w:rFonts w:hint="eastAsia" w:ascii="宋体" w:hAnsi="宋体" w:cs="宋体"/>
          <w:color w:val="auto"/>
          <w:sz w:val="22"/>
          <w:szCs w:val="22"/>
          <w:highlight w:val="none"/>
          <w:u w:val="single"/>
        </w:rPr>
        <w:t>20%</w:t>
      </w:r>
      <w:r>
        <w:rPr>
          <w:rFonts w:hint="eastAsia" w:ascii="宋体" w:hAnsi="宋体" w:cs="宋体"/>
          <w:color w:val="auto"/>
          <w:sz w:val="22"/>
          <w:szCs w:val="22"/>
          <w:highlight w:val="none"/>
        </w:rPr>
        <w:t>的维护项目进行安全文明施工情况的检查考核。</w:t>
      </w:r>
    </w:p>
    <w:p w14:paraId="07931D9F">
      <w:pPr>
        <w:spacing w:line="360" w:lineRule="auto"/>
        <w:ind w:firstLine="440"/>
        <w:rPr>
          <w:rFonts w:ascii="宋体" w:hAnsi="宋体" w:cs="宋体"/>
          <w:b/>
          <w:color w:val="auto"/>
          <w:sz w:val="22"/>
          <w:szCs w:val="22"/>
          <w:highlight w:val="none"/>
        </w:rPr>
      </w:pPr>
      <w:r>
        <w:rPr>
          <w:rFonts w:hint="eastAsia" w:ascii="宋体" w:hAnsi="宋体" w:cs="宋体"/>
          <w:color w:val="auto"/>
          <w:sz w:val="22"/>
          <w:szCs w:val="22"/>
          <w:highlight w:val="none"/>
        </w:rPr>
        <w:t>（2）根据当月已完工的维护设施规模和内容由考核组随机抽取</w:t>
      </w:r>
      <w:r>
        <w:rPr>
          <w:rFonts w:hint="eastAsia" w:ascii="宋体" w:hAnsi="宋体" w:cs="宋体"/>
          <w:color w:val="auto"/>
          <w:sz w:val="22"/>
          <w:szCs w:val="22"/>
          <w:highlight w:val="none"/>
          <w:u w:val="single"/>
        </w:rPr>
        <w:t xml:space="preserve"> 20％</w:t>
      </w:r>
      <w:r>
        <w:rPr>
          <w:rFonts w:hint="eastAsia" w:ascii="宋体" w:hAnsi="宋体" w:cs="宋体"/>
          <w:color w:val="auto"/>
          <w:sz w:val="22"/>
          <w:szCs w:val="22"/>
          <w:highlight w:val="none"/>
        </w:rPr>
        <w:t>维护设施进行现场外观和实测实量检查考核。</w:t>
      </w:r>
    </w:p>
    <w:p w14:paraId="6C588D8D">
      <w:pPr>
        <w:spacing w:line="360" w:lineRule="auto"/>
        <w:ind w:firstLine="442"/>
        <w:rPr>
          <w:rFonts w:ascii="宋体" w:hAnsi="宋体" w:cs="宋体"/>
          <w:b/>
          <w:color w:val="auto"/>
          <w:sz w:val="22"/>
          <w:szCs w:val="22"/>
          <w:highlight w:val="none"/>
        </w:rPr>
      </w:pPr>
      <w:r>
        <w:rPr>
          <w:rFonts w:hint="eastAsia" w:ascii="宋体" w:hAnsi="宋体" w:cs="宋体"/>
          <w:b/>
          <w:color w:val="auto"/>
          <w:sz w:val="22"/>
          <w:szCs w:val="22"/>
          <w:highlight w:val="none"/>
        </w:rPr>
        <w:t>（</w:t>
      </w:r>
      <w:r>
        <w:rPr>
          <w:rFonts w:hint="eastAsia" w:ascii="宋体" w:hAnsi="宋体" w:cs="宋体"/>
          <w:b/>
          <w:color w:val="auto"/>
          <w:sz w:val="22"/>
          <w:szCs w:val="22"/>
          <w:highlight w:val="none"/>
          <w:lang w:val="en-US" w:eastAsia="zh-CN"/>
        </w:rPr>
        <w:t>二</w:t>
      </w:r>
      <w:r>
        <w:rPr>
          <w:rFonts w:hint="eastAsia" w:ascii="宋体" w:hAnsi="宋体" w:cs="宋体"/>
          <w:b/>
          <w:color w:val="auto"/>
          <w:sz w:val="22"/>
          <w:szCs w:val="22"/>
          <w:highlight w:val="none"/>
        </w:rPr>
        <w:t>）施工企业考核评价办法</w:t>
      </w:r>
    </w:p>
    <w:p w14:paraId="49D24261">
      <w:pPr>
        <w:spacing w:line="360" w:lineRule="auto"/>
        <w:ind w:firstLine="440"/>
        <w:rPr>
          <w:rFonts w:ascii="宋体" w:hAnsi="宋体" w:cs="宋体"/>
          <w:color w:val="auto"/>
          <w:sz w:val="22"/>
          <w:szCs w:val="22"/>
          <w:highlight w:val="none"/>
        </w:rPr>
      </w:pPr>
      <w:r>
        <w:rPr>
          <w:rFonts w:hint="eastAsia" w:ascii="宋体" w:hAnsi="宋体" w:cs="宋体"/>
          <w:color w:val="auto"/>
          <w:sz w:val="22"/>
          <w:szCs w:val="22"/>
          <w:highlight w:val="none"/>
        </w:rPr>
        <w:t>考核实行</w:t>
      </w:r>
      <w:r>
        <w:rPr>
          <w:rFonts w:hint="eastAsia" w:ascii="宋体" w:hAnsi="宋体" w:cs="宋体"/>
          <w:color w:val="auto"/>
          <w:sz w:val="22"/>
          <w:szCs w:val="22"/>
          <w:highlight w:val="none"/>
          <w:lang w:val="en-US" w:eastAsia="zh-CN"/>
        </w:rPr>
        <w:t>百</w:t>
      </w:r>
      <w:r>
        <w:rPr>
          <w:rFonts w:hint="eastAsia" w:ascii="宋体" w:hAnsi="宋体" w:cs="宋体"/>
          <w:color w:val="auto"/>
          <w:sz w:val="22"/>
          <w:szCs w:val="22"/>
          <w:highlight w:val="none"/>
        </w:rPr>
        <w:t>分制，按照扣分的原则，下不保底。根据检查情况按照评分标准（详见《市管市政设施维修养护工程考核评分表》）进行评分：</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0分（含</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 xml:space="preserve">0分）以上为合格; </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0分以下为不合格。</w:t>
      </w:r>
    </w:p>
    <w:p w14:paraId="15CB7B8B">
      <w:pPr>
        <w:spacing w:line="360" w:lineRule="auto"/>
        <w:ind w:firstLine="660"/>
        <w:rPr>
          <w:rFonts w:hint="eastAsia" w:ascii="宋体" w:hAnsi="宋体" w:cs="宋体"/>
          <w:color w:val="auto"/>
          <w:sz w:val="22"/>
          <w:szCs w:val="22"/>
          <w:highlight w:val="none"/>
        </w:rPr>
      </w:pPr>
      <w:r>
        <w:rPr>
          <w:rFonts w:hint="eastAsia" w:ascii="宋体" w:hAnsi="宋体" w:cs="宋体"/>
          <w:color w:val="auto"/>
          <w:sz w:val="22"/>
          <w:szCs w:val="22"/>
          <w:highlight w:val="none"/>
        </w:rPr>
        <w:t>防城港市市政工程服务中心将每次考核评价情况上报</w:t>
      </w:r>
      <w:r>
        <w:rPr>
          <w:rFonts w:hint="eastAsia" w:ascii="宋体" w:hAnsi="宋体" w:cs="宋体"/>
          <w:color w:val="auto"/>
          <w:sz w:val="22"/>
          <w:szCs w:val="22"/>
          <w:highlight w:val="none"/>
          <w:lang w:eastAsia="zh-CN"/>
        </w:rPr>
        <w:t>防城港市住房和城乡建设局</w:t>
      </w:r>
      <w:r>
        <w:rPr>
          <w:rFonts w:hint="eastAsia" w:ascii="宋体" w:hAnsi="宋体" w:cs="宋体"/>
          <w:color w:val="auto"/>
          <w:sz w:val="22"/>
          <w:szCs w:val="22"/>
          <w:highlight w:val="none"/>
        </w:rPr>
        <w:t>，作为购买服务费支付，合同管理的依据。</w:t>
      </w:r>
    </w:p>
    <w:p w14:paraId="3E81A71D">
      <w:pPr>
        <w:pStyle w:val="39"/>
        <w:keepNext w:val="0"/>
        <w:keepLines w:val="0"/>
        <w:pageBreakBefore w:val="0"/>
        <w:widowControl w:val="0"/>
        <w:tabs>
          <w:tab w:val="left" w:pos="16302"/>
        </w:tabs>
        <w:bidi w:val="0"/>
        <w:rPr>
          <w:rFonts w:hint="eastAsia" w:ascii="宋体" w:hAnsi="宋体" w:cs="宋体"/>
          <w:color w:val="auto"/>
          <w:sz w:val="22"/>
          <w:szCs w:val="22"/>
          <w:highlight w:val="none"/>
          <w:lang w:val="en-US" w:eastAsia="zh-CN"/>
        </w:rPr>
      </w:pPr>
    </w:p>
    <w:p w14:paraId="5A644E6A">
      <w:pPr>
        <w:widowControl/>
        <w:rPr>
          <w:rFonts w:hint="eastAsia" w:ascii="宋体"/>
          <w:color w:val="auto"/>
          <w:szCs w:val="20"/>
          <w:highlight w:val="none"/>
        </w:rPr>
      </w:pPr>
    </w:p>
    <w:p w14:paraId="53BBC38D">
      <w:pPr>
        <w:widowControl/>
        <w:rPr>
          <w:rFonts w:hint="eastAsia" w:ascii="宋体"/>
          <w:color w:val="auto"/>
          <w:szCs w:val="20"/>
          <w:highlight w:val="none"/>
        </w:rPr>
      </w:pPr>
    </w:p>
    <w:p w14:paraId="617982D8">
      <w:pPr>
        <w:widowControl/>
        <w:rPr>
          <w:rFonts w:hint="eastAsia" w:ascii="宋体"/>
          <w:color w:val="auto"/>
          <w:szCs w:val="20"/>
          <w:highlight w:val="none"/>
        </w:rPr>
      </w:pPr>
    </w:p>
    <w:p w14:paraId="7A873CF8">
      <w:pPr>
        <w:widowControl/>
        <w:rPr>
          <w:rFonts w:hint="eastAsia" w:ascii="宋体"/>
          <w:color w:val="auto"/>
          <w:szCs w:val="20"/>
          <w:highlight w:val="none"/>
        </w:rPr>
      </w:pPr>
    </w:p>
    <w:p w14:paraId="6F6224F9">
      <w:pPr>
        <w:widowControl/>
        <w:rPr>
          <w:rFonts w:hint="eastAsia" w:ascii="宋体"/>
          <w:color w:val="auto"/>
          <w:szCs w:val="20"/>
          <w:highlight w:val="none"/>
        </w:rPr>
      </w:pPr>
    </w:p>
    <w:p w14:paraId="5A56BDE9">
      <w:pPr>
        <w:widowControl/>
        <w:rPr>
          <w:rFonts w:hint="eastAsia" w:ascii="宋体"/>
          <w:color w:val="auto"/>
          <w:szCs w:val="20"/>
          <w:highlight w:val="none"/>
        </w:rPr>
      </w:pPr>
    </w:p>
    <w:p w14:paraId="3FBCD804">
      <w:pPr>
        <w:widowControl/>
        <w:rPr>
          <w:rFonts w:hint="eastAsia" w:ascii="宋体"/>
          <w:color w:val="auto"/>
          <w:szCs w:val="20"/>
          <w:highlight w:val="none"/>
        </w:rPr>
      </w:pPr>
    </w:p>
    <w:p w14:paraId="3BE19279">
      <w:pPr>
        <w:widowControl/>
        <w:rPr>
          <w:rFonts w:hint="eastAsia" w:ascii="宋体"/>
          <w:color w:val="auto"/>
          <w:szCs w:val="20"/>
          <w:highlight w:val="none"/>
        </w:rPr>
      </w:pPr>
    </w:p>
    <w:p w14:paraId="4300D30D">
      <w:pPr>
        <w:widowControl/>
        <w:rPr>
          <w:rFonts w:hint="eastAsia" w:ascii="宋体"/>
          <w:color w:val="auto"/>
          <w:szCs w:val="20"/>
          <w:highlight w:val="none"/>
        </w:rPr>
      </w:pPr>
    </w:p>
    <w:p w14:paraId="326B7B53">
      <w:pPr>
        <w:widowControl/>
        <w:rPr>
          <w:rFonts w:hint="eastAsia" w:ascii="宋体"/>
          <w:color w:val="auto"/>
          <w:szCs w:val="20"/>
          <w:highlight w:val="none"/>
        </w:rPr>
      </w:pPr>
    </w:p>
    <w:p w14:paraId="60794A6B">
      <w:pPr>
        <w:widowControl/>
        <w:rPr>
          <w:rFonts w:hint="eastAsia" w:ascii="宋体"/>
          <w:color w:val="auto"/>
          <w:szCs w:val="20"/>
          <w:highlight w:val="none"/>
        </w:rPr>
      </w:pPr>
    </w:p>
    <w:p w14:paraId="7BB49DD8">
      <w:pPr>
        <w:widowControl/>
        <w:rPr>
          <w:rFonts w:hint="eastAsia" w:ascii="宋体"/>
          <w:color w:val="auto"/>
          <w:szCs w:val="20"/>
          <w:highlight w:val="none"/>
        </w:rPr>
      </w:pPr>
    </w:p>
    <w:p w14:paraId="111CABD9">
      <w:pPr>
        <w:widowControl/>
        <w:rPr>
          <w:rFonts w:hint="eastAsia" w:ascii="宋体"/>
          <w:color w:val="auto"/>
          <w:szCs w:val="20"/>
          <w:highlight w:val="none"/>
        </w:rPr>
      </w:pPr>
    </w:p>
    <w:p w14:paraId="7EF72CF9">
      <w:pPr>
        <w:widowControl/>
        <w:rPr>
          <w:rFonts w:hint="eastAsia" w:ascii="宋体"/>
          <w:color w:val="auto"/>
          <w:szCs w:val="20"/>
          <w:highlight w:val="none"/>
        </w:rPr>
      </w:pPr>
    </w:p>
    <w:p w14:paraId="6F90A3C1">
      <w:pPr>
        <w:widowControl/>
        <w:rPr>
          <w:rFonts w:hint="eastAsia" w:ascii="宋体"/>
          <w:color w:val="auto"/>
          <w:szCs w:val="20"/>
          <w:highlight w:val="none"/>
        </w:rPr>
      </w:pPr>
    </w:p>
    <w:p w14:paraId="2FF3EACE">
      <w:pPr>
        <w:widowControl/>
        <w:rPr>
          <w:rFonts w:hint="eastAsia" w:ascii="宋体"/>
          <w:color w:val="auto"/>
          <w:szCs w:val="20"/>
          <w:highlight w:val="none"/>
        </w:rPr>
      </w:pPr>
    </w:p>
    <w:p w14:paraId="7793AC01">
      <w:pPr>
        <w:widowControl/>
        <w:ind w:right="420" w:firstLine="480"/>
        <w:jc w:val="center"/>
        <w:rPr>
          <w:rFonts w:hint="eastAsia" w:ascii="宋体" w:hAnsi="宋体"/>
          <w:color w:val="auto"/>
          <w:sz w:val="24"/>
          <w:highlight w:val="none"/>
          <w:lang w:val="en-US" w:eastAsia="zh-CN"/>
        </w:rPr>
      </w:pPr>
      <w:r>
        <w:rPr>
          <w:rFonts w:hint="eastAsia" w:ascii="黑体" w:eastAsia="黑体"/>
          <w:color w:val="auto"/>
          <w:sz w:val="24"/>
          <w:highlight w:val="none"/>
        </w:rPr>
        <w:t xml:space="preserve">    市管市政设施维修养护工程考核评分表</w:t>
      </w:r>
      <w:r>
        <w:rPr>
          <w:rFonts w:ascii="黑体" w:eastAsia="黑体"/>
          <w:color w:val="auto"/>
          <w:sz w:val="24"/>
          <w:highlight w:val="none"/>
        </w:rPr>
        <w:t xml:space="preserve"> </w:t>
      </w:r>
      <w:r>
        <w:rPr>
          <w:rFonts w:hint="eastAsia" w:ascii="宋体" w:hAnsi="宋体"/>
          <w:color w:val="auto"/>
          <w:sz w:val="24"/>
          <w:highlight w:val="none"/>
        </w:rPr>
        <w:t>（</w:t>
      </w:r>
      <w:r>
        <w:rPr>
          <w:rFonts w:ascii="宋体" w:hAnsi="宋体"/>
          <w:color w:val="auto"/>
          <w:sz w:val="24"/>
          <w:highlight w:val="non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p>
    <w:tbl>
      <w:tblPr>
        <w:tblStyle w:val="30"/>
        <w:tblW w:w="9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726"/>
        <w:gridCol w:w="2252"/>
        <w:gridCol w:w="3240"/>
        <w:gridCol w:w="600"/>
        <w:gridCol w:w="328"/>
        <w:gridCol w:w="370"/>
        <w:gridCol w:w="371"/>
        <w:gridCol w:w="967"/>
      </w:tblGrid>
      <w:tr w14:paraId="525C6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9" w:type="dxa"/>
            <w:tcBorders>
              <w:tl2br w:val="nil"/>
              <w:tr2bl w:val="nil"/>
            </w:tcBorders>
            <w:noWrap/>
            <w:vAlign w:val="center"/>
          </w:tcPr>
          <w:p w14:paraId="25CE2AFC">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序号</w:t>
            </w:r>
          </w:p>
        </w:tc>
        <w:tc>
          <w:tcPr>
            <w:tcW w:w="726" w:type="dxa"/>
            <w:tcBorders>
              <w:tl2br w:val="nil"/>
              <w:tr2bl w:val="nil"/>
            </w:tcBorders>
            <w:noWrap w:val="0"/>
            <w:vAlign w:val="center"/>
          </w:tcPr>
          <w:p w14:paraId="6CA7B5EA">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考核项目</w:t>
            </w:r>
          </w:p>
        </w:tc>
        <w:tc>
          <w:tcPr>
            <w:tcW w:w="2252" w:type="dxa"/>
            <w:tcBorders>
              <w:tl2br w:val="nil"/>
              <w:tr2bl w:val="nil"/>
            </w:tcBorders>
            <w:noWrap w:val="0"/>
            <w:vAlign w:val="center"/>
          </w:tcPr>
          <w:p w14:paraId="6C1518D9">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考核内容</w:t>
            </w:r>
          </w:p>
        </w:tc>
        <w:tc>
          <w:tcPr>
            <w:tcW w:w="3240" w:type="dxa"/>
            <w:tcBorders>
              <w:tl2br w:val="nil"/>
              <w:tr2bl w:val="nil"/>
            </w:tcBorders>
            <w:noWrap w:val="0"/>
            <w:vAlign w:val="center"/>
          </w:tcPr>
          <w:p w14:paraId="1BD11CB3">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扣分标准</w:t>
            </w:r>
          </w:p>
        </w:tc>
        <w:tc>
          <w:tcPr>
            <w:tcW w:w="600" w:type="dxa"/>
            <w:tcBorders>
              <w:tl2br w:val="nil"/>
              <w:tr2bl w:val="nil"/>
            </w:tcBorders>
            <w:noWrap w:val="0"/>
            <w:vAlign w:val="center"/>
          </w:tcPr>
          <w:p w14:paraId="0FCF5F5C">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分值</w:t>
            </w:r>
          </w:p>
        </w:tc>
        <w:tc>
          <w:tcPr>
            <w:tcW w:w="328" w:type="dxa"/>
            <w:tcBorders>
              <w:tl2br w:val="nil"/>
              <w:tr2bl w:val="nil"/>
            </w:tcBorders>
            <w:noWrap w:val="0"/>
            <w:vAlign w:val="center"/>
          </w:tcPr>
          <w:p w14:paraId="15C22458">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扣分原因</w:t>
            </w:r>
          </w:p>
        </w:tc>
        <w:tc>
          <w:tcPr>
            <w:tcW w:w="370" w:type="dxa"/>
            <w:tcBorders>
              <w:tl2br w:val="nil"/>
              <w:tr2bl w:val="nil"/>
            </w:tcBorders>
            <w:noWrap w:val="0"/>
            <w:vAlign w:val="center"/>
          </w:tcPr>
          <w:p w14:paraId="1732283A">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扣分</w:t>
            </w:r>
          </w:p>
        </w:tc>
        <w:tc>
          <w:tcPr>
            <w:tcW w:w="371" w:type="dxa"/>
            <w:tcBorders>
              <w:tl2br w:val="nil"/>
              <w:tr2bl w:val="nil"/>
            </w:tcBorders>
            <w:noWrap w:val="0"/>
            <w:vAlign w:val="center"/>
          </w:tcPr>
          <w:p w14:paraId="1F8710C8">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得分</w:t>
            </w:r>
          </w:p>
        </w:tc>
        <w:tc>
          <w:tcPr>
            <w:tcW w:w="967" w:type="dxa"/>
            <w:tcBorders>
              <w:tl2br w:val="nil"/>
              <w:tr2bl w:val="nil"/>
            </w:tcBorders>
            <w:noWrap w:val="0"/>
            <w:vAlign w:val="center"/>
          </w:tcPr>
          <w:p w14:paraId="40835483">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备注</w:t>
            </w:r>
          </w:p>
        </w:tc>
      </w:tr>
      <w:tr w14:paraId="4597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469" w:type="dxa"/>
            <w:vMerge w:val="restart"/>
            <w:tcBorders>
              <w:tl2br w:val="nil"/>
              <w:tr2bl w:val="nil"/>
            </w:tcBorders>
            <w:noWrap w:val="0"/>
            <w:vAlign w:val="center"/>
          </w:tcPr>
          <w:p w14:paraId="57A2C98F">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1</w:t>
            </w:r>
          </w:p>
        </w:tc>
        <w:tc>
          <w:tcPr>
            <w:tcW w:w="726" w:type="dxa"/>
            <w:vMerge w:val="restart"/>
            <w:tcBorders>
              <w:tl2br w:val="nil"/>
              <w:tr2bl w:val="nil"/>
            </w:tcBorders>
            <w:noWrap w:val="0"/>
            <w:vAlign w:val="center"/>
          </w:tcPr>
          <w:p w14:paraId="01359D15">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应急事件处理</w:t>
            </w:r>
          </w:p>
        </w:tc>
        <w:tc>
          <w:tcPr>
            <w:tcW w:w="2252" w:type="dxa"/>
            <w:tcBorders>
              <w:tl2br w:val="nil"/>
              <w:tr2bl w:val="nil"/>
            </w:tcBorders>
            <w:noWrap w:val="0"/>
            <w:vAlign w:val="center"/>
          </w:tcPr>
          <w:p w14:paraId="5ECF09E4">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1.防汛应急预案1份</w:t>
            </w:r>
            <w:r>
              <w:rPr>
                <w:rFonts w:hint="eastAsia" w:ascii="宋体" w:hAnsi="宋体" w:cs="宋体"/>
                <w:i w:val="0"/>
                <w:iCs w:val="0"/>
                <w:color w:val="auto"/>
                <w:sz w:val="20"/>
                <w:szCs w:val="20"/>
                <w:highlight w:val="none"/>
                <w:u w:val="none"/>
                <w:lang w:val="en-US" w:eastAsia="zh-CN" w:bidi="ar"/>
              </w:rPr>
              <w:t>。</w:t>
            </w:r>
            <w:r>
              <w:rPr>
                <w:rFonts w:hint="eastAsia" w:ascii="宋体" w:hAnsi="宋体" w:eastAsia="宋体" w:cs="宋体"/>
                <w:i w:val="0"/>
                <w:iCs w:val="0"/>
                <w:color w:val="auto"/>
                <w:sz w:val="20"/>
                <w:szCs w:val="20"/>
                <w:highlight w:val="none"/>
                <w:u w:val="none"/>
                <w:lang w:val="en-US" w:eastAsia="zh-CN" w:bidi="ar"/>
              </w:rPr>
              <w:t>器材保障：巡查机动车辆（皮卡或轻卡）</w:t>
            </w:r>
            <w:r>
              <w:rPr>
                <w:rFonts w:hint="eastAsia" w:ascii="宋体" w:hAnsi="宋体" w:cs="宋体"/>
                <w:i w:val="0"/>
                <w:iCs w:val="0"/>
                <w:color w:val="auto"/>
                <w:sz w:val="20"/>
                <w:szCs w:val="20"/>
                <w:highlight w:val="none"/>
                <w:u w:val="none"/>
                <w:lang w:val="en-US" w:eastAsia="zh-CN" w:bidi="ar"/>
              </w:rPr>
              <w:t>2辆；</w:t>
            </w:r>
            <w:r>
              <w:rPr>
                <w:rFonts w:hint="eastAsia" w:ascii="宋体" w:hAnsi="宋体" w:eastAsia="宋体" w:cs="宋体"/>
                <w:i w:val="0"/>
                <w:iCs w:val="0"/>
                <w:color w:val="auto"/>
                <w:sz w:val="20"/>
                <w:szCs w:val="20"/>
                <w:highlight w:val="none"/>
                <w:u w:val="none"/>
                <w:lang w:val="en-US" w:eastAsia="zh-CN" w:bidi="ar"/>
              </w:rPr>
              <w:t>发电机2台；</w:t>
            </w:r>
            <w:r>
              <w:rPr>
                <w:rFonts w:hint="eastAsia" w:ascii="宋体" w:hAnsi="宋体" w:cs="宋体"/>
                <w:i w:val="0"/>
                <w:iCs w:val="0"/>
                <w:color w:val="auto"/>
                <w:sz w:val="20"/>
                <w:szCs w:val="20"/>
                <w:highlight w:val="none"/>
                <w:u w:val="none"/>
                <w:lang w:val="en-US" w:eastAsia="zh-CN" w:bidi="ar"/>
              </w:rPr>
              <w:t>应急</w:t>
            </w:r>
            <w:r>
              <w:rPr>
                <w:rFonts w:hint="eastAsia" w:ascii="宋体" w:hAnsi="宋体" w:eastAsia="宋体" w:cs="宋体"/>
                <w:i w:val="0"/>
                <w:iCs w:val="0"/>
                <w:color w:val="auto"/>
                <w:sz w:val="20"/>
                <w:szCs w:val="20"/>
                <w:highlight w:val="none"/>
                <w:u w:val="none"/>
                <w:lang w:val="en-US" w:eastAsia="zh-CN" w:bidi="ar"/>
              </w:rPr>
              <w:t>水泵（排水能力≥100m³/h）2台；</w:t>
            </w:r>
            <w:r>
              <w:rPr>
                <w:rFonts w:hint="eastAsia" w:ascii="宋体" w:hAnsi="宋体" w:cs="宋体"/>
                <w:i w:val="0"/>
                <w:iCs w:val="0"/>
                <w:color w:val="auto"/>
                <w:sz w:val="20"/>
                <w:szCs w:val="20"/>
                <w:highlight w:val="none"/>
                <w:u w:val="none"/>
                <w:lang w:val="en-US" w:eastAsia="zh-CN" w:bidi="ar"/>
              </w:rPr>
              <w:t>手扶小型压路机1台；应急照明设备2套；管道潜望镜1套；</w:t>
            </w:r>
            <w:r>
              <w:rPr>
                <w:rFonts w:hint="eastAsia" w:ascii="宋体" w:hAnsi="宋体" w:eastAsia="宋体" w:cs="宋体"/>
                <w:i w:val="0"/>
                <w:iCs w:val="0"/>
                <w:color w:val="auto"/>
                <w:sz w:val="20"/>
                <w:szCs w:val="20"/>
                <w:highlight w:val="none"/>
                <w:u w:val="none"/>
                <w:lang w:val="en-US" w:eastAsia="zh-CN" w:bidi="ar"/>
              </w:rPr>
              <w:t>撬井盖</w:t>
            </w:r>
            <w:r>
              <w:rPr>
                <w:rFonts w:hint="eastAsia" w:ascii="宋体" w:hAnsi="宋体" w:cs="宋体"/>
                <w:i w:val="0"/>
                <w:iCs w:val="0"/>
                <w:color w:val="auto"/>
                <w:sz w:val="20"/>
                <w:szCs w:val="20"/>
                <w:highlight w:val="none"/>
                <w:u w:val="none"/>
                <w:lang w:val="en-US" w:eastAsia="zh-CN" w:bidi="ar"/>
              </w:rPr>
              <w:t>洋镐</w:t>
            </w:r>
            <w:r>
              <w:rPr>
                <w:rFonts w:hint="eastAsia" w:ascii="宋体" w:hAnsi="宋体" w:eastAsia="宋体" w:cs="宋体"/>
                <w:i w:val="0"/>
                <w:iCs w:val="0"/>
                <w:color w:val="auto"/>
                <w:sz w:val="20"/>
                <w:szCs w:val="20"/>
                <w:highlight w:val="none"/>
                <w:u w:val="none"/>
                <w:lang w:val="en-US" w:eastAsia="zh-CN" w:bidi="ar"/>
              </w:rPr>
              <w:t>6把；警示带20圈；反光路锥桶50个；前方积水</w:t>
            </w:r>
            <w:r>
              <w:rPr>
                <w:rFonts w:hint="eastAsia" w:ascii="宋体" w:hAnsi="宋体" w:cs="宋体"/>
                <w:i w:val="0"/>
                <w:iCs w:val="0"/>
                <w:color w:val="auto"/>
                <w:sz w:val="20"/>
                <w:szCs w:val="20"/>
                <w:highlight w:val="none"/>
                <w:u w:val="none"/>
                <w:lang w:val="en-US" w:eastAsia="zh-CN" w:bidi="ar"/>
              </w:rPr>
              <w:t>、</w:t>
            </w:r>
            <w:r>
              <w:rPr>
                <w:rFonts w:hint="eastAsia" w:ascii="宋体" w:hAnsi="宋体" w:eastAsia="宋体" w:cs="宋体"/>
                <w:i w:val="0"/>
                <w:iCs w:val="0"/>
                <w:color w:val="auto"/>
                <w:sz w:val="20"/>
                <w:szCs w:val="20"/>
                <w:highlight w:val="none"/>
                <w:u w:val="none"/>
                <w:lang w:val="en-US" w:eastAsia="zh-CN" w:bidi="ar"/>
              </w:rPr>
              <w:t>车辆绕行提示牌6块；冷沥青10包。</w:t>
            </w:r>
          </w:p>
        </w:tc>
        <w:tc>
          <w:tcPr>
            <w:tcW w:w="3240" w:type="dxa"/>
            <w:vMerge w:val="restart"/>
            <w:tcBorders>
              <w:tl2br w:val="nil"/>
              <w:tr2bl w:val="nil"/>
            </w:tcBorders>
            <w:noWrap w:val="0"/>
            <w:vAlign w:val="center"/>
          </w:tcPr>
          <w:p w14:paraId="40355B72">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1.未建立预案，扣完全部分数；仓库检查和应急现场检查器材保障、物资缺失1类或者不能正常使用，扣0.5分；直至扣完。</w:t>
            </w:r>
          </w:p>
        </w:tc>
        <w:tc>
          <w:tcPr>
            <w:tcW w:w="600" w:type="dxa"/>
            <w:vMerge w:val="restart"/>
            <w:tcBorders>
              <w:tl2br w:val="nil"/>
              <w:tr2bl w:val="nil"/>
            </w:tcBorders>
            <w:noWrap w:val="0"/>
            <w:vAlign w:val="center"/>
          </w:tcPr>
          <w:p w14:paraId="63282615">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10</w:t>
            </w:r>
          </w:p>
        </w:tc>
        <w:tc>
          <w:tcPr>
            <w:tcW w:w="328" w:type="dxa"/>
            <w:vMerge w:val="restart"/>
            <w:tcBorders>
              <w:tl2br w:val="nil"/>
              <w:tr2bl w:val="nil"/>
            </w:tcBorders>
            <w:noWrap w:val="0"/>
            <w:vAlign w:val="center"/>
          </w:tcPr>
          <w:p w14:paraId="21B14655">
            <w:pPr>
              <w:jc w:val="center"/>
              <w:rPr>
                <w:rFonts w:hint="eastAsia" w:ascii="宋体" w:hAnsi="宋体" w:eastAsia="宋体" w:cs="宋体"/>
                <w:i w:val="0"/>
                <w:iCs w:val="0"/>
                <w:color w:val="auto"/>
                <w:sz w:val="20"/>
                <w:szCs w:val="20"/>
                <w:highlight w:val="none"/>
                <w:u w:val="none"/>
              </w:rPr>
            </w:pPr>
          </w:p>
        </w:tc>
        <w:tc>
          <w:tcPr>
            <w:tcW w:w="370" w:type="dxa"/>
            <w:vMerge w:val="restart"/>
            <w:tcBorders>
              <w:tl2br w:val="nil"/>
              <w:tr2bl w:val="nil"/>
            </w:tcBorders>
            <w:noWrap w:val="0"/>
            <w:vAlign w:val="center"/>
          </w:tcPr>
          <w:p w14:paraId="2452176B">
            <w:pPr>
              <w:jc w:val="center"/>
              <w:rPr>
                <w:rFonts w:hint="eastAsia" w:ascii="宋体" w:hAnsi="宋体" w:eastAsia="宋体" w:cs="宋体"/>
                <w:i w:val="0"/>
                <w:iCs w:val="0"/>
                <w:color w:val="auto"/>
                <w:sz w:val="20"/>
                <w:szCs w:val="20"/>
                <w:highlight w:val="none"/>
                <w:u w:val="none"/>
              </w:rPr>
            </w:pPr>
          </w:p>
        </w:tc>
        <w:tc>
          <w:tcPr>
            <w:tcW w:w="371" w:type="dxa"/>
            <w:vMerge w:val="restart"/>
            <w:tcBorders>
              <w:tl2br w:val="nil"/>
              <w:tr2bl w:val="nil"/>
            </w:tcBorders>
            <w:noWrap w:val="0"/>
            <w:vAlign w:val="center"/>
          </w:tcPr>
          <w:p w14:paraId="0694B760">
            <w:pPr>
              <w:jc w:val="center"/>
              <w:rPr>
                <w:rFonts w:hint="eastAsia" w:ascii="宋体" w:hAnsi="宋体" w:eastAsia="宋体" w:cs="宋体"/>
                <w:i w:val="0"/>
                <w:iCs w:val="0"/>
                <w:color w:val="auto"/>
                <w:sz w:val="20"/>
                <w:szCs w:val="20"/>
                <w:highlight w:val="none"/>
                <w:u w:val="none"/>
              </w:rPr>
            </w:pPr>
          </w:p>
        </w:tc>
        <w:tc>
          <w:tcPr>
            <w:tcW w:w="967" w:type="dxa"/>
            <w:vMerge w:val="restart"/>
            <w:tcBorders>
              <w:tl2br w:val="nil"/>
              <w:tr2bl w:val="nil"/>
            </w:tcBorders>
            <w:noWrap w:val="0"/>
            <w:vAlign w:val="center"/>
          </w:tcPr>
          <w:p w14:paraId="7694E0C5">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应急材料到库房检查，日常考核记录</w:t>
            </w:r>
          </w:p>
        </w:tc>
      </w:tr>
      <w:tr w14:paraId="191F6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469" w:type="dxa"/>
            <w:vMerge w:val="continue"/>
            <w:tcBorders>
              <w:tl2br w:val="nil"/>
              <w:tr2bl w:val="nil"/>
            </w:tcBorders>
            <w:noWrap w:val="0"/>
            <w:vAlign w:val="center"/>
          </w:tcPr>
          <w:p w14:paraId="578E3F01">
            <w:pPr>
              <w:jc w:val="center"/>
              <w:rPr>
                <w:rFonts w:hint="eastAsia" w:ascii="宋体" w:hAnsi="宋体" w:eastAsia="宋体" w:cs="宋体"/>
                <w:i w:val="0"/>
                <w:iCs w:val="0"/>
                <w:color w:val="auto"/>
                <w:sz w:val="20"/>
                <w:szCs w:val="20"/>
                <w:highlight w:val="none"/>
                <w:u w:val="none"/>
              </w:rPr>
            </w:pPr>
          </w:p>
        </w:tc>
        <w:tc>
          <w:tcPr>
            <w:tcW w:w="726" w:type="dxa"/>
            <w:vMerge w:val="continue"/>
            <w:tcBorders>
              <w:tl2br w:val="nil"/>
              <w:tr2bl w:val="nil"/>
            </w:tcBorders>
            <w:noWrap w:val="0"/>
            <w:vAlign w:val="center"/>
          </w:tcPr>
          <w:p w14:paraId="56D5EE04">
            <w:pPr>
              <w:jc w:val="both"/>
              <w:rPr>
                <w:rFonts w:hint="eastAsia" w:ascii="宋体" w:hAnsi="宋体" w:eastAsia="宋体" w:cs="宋体"/>
                <w:i w:val="0"/>
                <w:iCs w:val="0"/>
                <w:color w:val="auto"/>
                <w:sz w:val="20"/>
                <w:szCs w:val="20"/>
                <w:highlight w:val="none"/>
                <w:u w:val="none"/>
              </w:rPr>
            </w:pPr>
          </w:p>
        </w:tc>
        <w:tc>
          <w:tcPr>
            <w:tcW w:w="2252" w:type="dxa"/>
            <w:tcBorders>
              <w:tl2br w:val="nil"/>
              <w:tr2bl w:val="nil"/>
            </w:tcBorders>
            <w:noWrap w:val="0"/>
            <w:vAlign w:val="center"/>
          </w:tcPr>
          <w:p w14:paraId="2DC192B0">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2.施工过程中挖断燃气管网应急预案1份</w:t>
            </w:r>
            <w:r>
              <w:rPr>
                <w:rFonts w:hint="eastAsia" w:ascii="宋体" w:hAnsi="宋体" w:cs="宋体"/>
                <w:i w:val="0"/>
                <w:iCs w:val="0"/>
                <w:color w:val="auto"/>
                <w:sz w:val="20"/>
                <w:szCs w:val="20"/>
                <w:highlight w:val="none"/>
                <w:u w:val="none"/>
                <w:lang w:val="en-US" w:eastAsia="zh-CN" w:bidi="ar"/>
              </w:rPr>
              <w:t>。</w:t>
            </w:r>
          </w:p>
        </w:tc>
        <w:tc>
          <w:tcPr>
            <w:tcW w:w="3240" w:type="dxa"/>
            <w:vMerge w:val="continue"/>
            <w:tcBorders>
              <w:tl2br w:val="nil"/>
              <w:tr2bl w:val="nil"/>
            </w:tcBorders>
            <w:noWrap w:val="0"/>
            <w:vAlign w:val="center"/>
          </w:tcPr>
          <w:p w14:paraId="0399F29E">
            <w:pPr>
              <w:jc w:val="both"/>
              <w:rPr>
                <w:rFonts w:hint="eastAsia" w:ascii="宋体" w:hAnsi="宋体" w:eastAsia="宋体" w:cs="宋体"/>
                <w:i w:val="0"/>
                <w:iCs w:val="0"/>
                <w:color w:val="auto"/>
                <w:sz w:val="20"/>
                <w:szCs w:val="20"/>
                <w:highlight w:val="none"/>
                <w:u w:val="none"/>
              </w:rPr>
            </w:pPr>
          </w:p>
        </w:tc>
        <w:tc>
          <w:tcPr>
            <w:tcW w:w="600" w:type="dxa"/>
            <w:vMerge w:val="continue"/>
            <w:tcBorders>
              <w:tl2br w:val="nil"/>
              <w:tr2bl w:val="nil"/>
            </w:tcBorders>
            <w:noWrap w:val="0"/>
            <w:vAlign w:val="center"/>
          </w:tcPr>
          <w:p w14:paraId="502E6AC9">
            <w:pPr>
              <w:jc w:val="center"/>
              <w:rPr>
                <w:rFonts w:hint="eastAsia" w:ascii="宋体" w:hAnsi="宋体" w:eastAsia="宋体" w:cs="宋体"/>
                <w:i w:val="0"/>
                <w:iCs w:val="0"/>
                <w:color w:val="auto"/>
                <w:sz w:val="20"/>
                <w:szCs w:val="20"/>
                <w:highlight w:val="none"/>
                <w:u w:val="none"/>
              </w:rPr>
            </w:pPr>
          </w:p>
        </w:tc>
        <w:tc>
          <w:tcPr>
            <w:tcW w:w="328" w:type="dxa"/>
            <w:vMerge w:val="continue"/>
            <w:tcBorders>
              <w:tl2br w:val="nil"/>
              <w:tr2bl w:val="nil"/>
            </w:tcBorders>
            <w:noWrap w:val="0"/>
            <w:vAlign w:val="center"/>
          </w:tcPr>
          <w:p w14:paraId="55632787">
            <w:pPr>
              <w:jc w:val="center"/>
              <w:rPr>
                <w:rFonts w:hint="eastAsia" w:ascii="宋体" w:hAnsi="宋体" w:eastAsia="宋体" w:cs="宋体"/>
                <w:i w:val="0"/>
                <w:iCs w:val="0"/>
                <w:color w:val="auto"/>
                <w:sz w:val="20"/>
                <w:szCs w:val="20"/>
                <w:highlight w:val="none"/>
                <w:u w:val="none"/>
              </w:rPr>
            </w:pPr>
          </w:p>
        </w:tc>
        <w:tc>
          <w:tcPr>
            <w:tcW w:w="370" w:type="dxa"/>
            <w:vMerge w:val="continue"/>
            <w:tcBorders>
              <w:tl2br w:val="nil"/>
              <w:tr2bl w:val="nil"/>
            </w:tcBorders>
            <w:noWrap w:val="0"/>
            <w:vAlign w:val="center"/>
          </w:tcPr>
          <w:p w14:paraId="43BA0B3B">
            <w:pPr>
              <w:jc w:val="center"/>
              <w:rPr>
                <w:rFonts w:hint="eastAsia" w:ascii="宋体" w:hAnsi="宋体" w:eastAsia="宋体" w:cs="宋体"/>
                <w:i w:val="0"/>
                <w:iCs w:val="0"/>
                <w:color w:val="auto"/>
                <w:sz w:val="20"/>
                <w:szCs w:val="20"/>
                <w:highlight w:val="none"/>
                <w:u w:val="none"/>
              </w:rPr>
            </w:pPr>
          </w:p>
        </w:tc>
        <w:tc>
          <w:tcPr>
            <w:tcW w:w="371" w:type="dxa"/>
            <w:vMerge w:val="continue"/>
            <w:tcBorders>
              <w:tl2br w:val="nil"/>
              <w:tr2bl w:val="nil"/>
            </w:tcBorders>
            <w:noWrap w:val="0"/>
            <w:vAlign w:val="center"/>
          </w:tcPr>
          <w:p w14:paraId="29823A7B">
            <w:pPr>
              <w:jc w:val="center"/>
              <w:rPr>
                <w:rFonts w:hint="eastAsia" w:ascii="宋体" w:hAnsi="宋体" w:eastAsia="宋体" w:cs="宋体"/>
                <w:i w:val="0"/>
                <w:iCs w:val="0"/>
                <w:color w:val="auto"/>
                <w:sz w:val="20"/>
                <w:szCs w:val="20"/>
                <w:highlight w:val="none"/>
                <w:u w:val="none"/>
              </w:rPr>
            </w:pPr>
          </w:p>
        </w:tc>
        <w:tc>
          <w:tcPr>
            <w:tcW w:w="967" w:type="dxa"/>
            <w:vMerge w:val="continue"/>
            <w:tcBorders>
              <w:tl2br w:val="nil"/>
              <w:tr2bl w:val="nil"/>
            </w:tcBorders>
            <w:noWrap w:val="0"/>
            <w:vAlign w:val="center"/>
          </w:tcPr>
          <w:p w14:paraId="45801F1C">
            <w:pPr>
              <w:jc w:val="center"/>
              <w:rPr>
                <w:rFonts w:hint="eastAsia" w:ascii="宋体" w:hAnsi="宋体" w:eastAsia="宋体" w:cs="宋体"/>
                <w:i w:val="0"/>
                <w:iCs w:val="0"/>
                <w:color w:val="auto"/>
                <w:sz w:val="20"/>
                <w:szCs w:val="20"/>
                <w:highlight w:val="none"/>
                <w:u w:val="none"/>
              </w:rPr>
            </w:pPr>
          </w:p>
        </w:tc>
      </w:tr>
      <w:tr w14:paraId="1780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469" w:type="dxa"/>
            <w:vMerge w:val="continue"/>
            <w:tcBorders>
              <w:tl2br w:val="nil"/>
              <w:tr2bl w:val="nil"/>
            </w:tcBorders>
            <w:noWrap w:val="0"/>
            <w:vAlign w:val="center"/>
          </w:tcPr>
          <w:p w14:paraId="6A07CFD8">
            <w:pPr>
              <w:jc w:val="center"/>
              <w:rPr>
                <w:rFonts w:hint="eastAsia" w:ascii="宋体" w:hAnsi="宋体" w:eastAsia="宋体" w:cs="宋体"/>
                <w:i w:val="0"/>
                <w:iCs w:val="0"/>
                <w:color w:val="auto"/>
                <w:sz w:val="20"/>
                <w:szCs w:val="20"/>
                <w:highlight w:val="none"/>
                <w:u w:val="none"/>
              </w:rPr>
            </w:pPr>
          </w:p>
        </w:tc>
        <w:tc>
          <w:tcPr>
            <w:tcW w:w="726" w:type="dxa"/>
            <w:vMerge w:val="continue"/>
            <w:tcBorders>
              <w:tl2br w:val="nil"/>
              <w:tr2bl w:val="nil"/>
            </w:tcBorders>
            <w:noWrap w:val="0"/>
            <w:vAlign w:val="center"/>
          </w:tcPr>
          <w:p w14:paraId="03B4F6D8">
            <w:pPr>
              <w:jc w:val="both"/>
              <w:rPr>
                <w:rFonts w:hint="eastAsia" w:ascii="宋体" w:hAnsi="宋体" w:eastAsia="宋体" w:cs="宋体"/>
                <w:i w:val="0"/>
                <w:iCs w:val="0"/>
                <w:color w:val="auto"/>
                <w:sz w:val="20"/>
                <w:szCs w:val="20"/>
                <w:highlight w:val="none"/>
                <w:u w:val="none"/>
              </w:rPr>
            </w:pPr>
          </w:p>
        </w:tc>
        <w:tc>
          <w:tcPr>
            <w:tcW w:w="2252" w:type="dxa"/>
            <w:tcBorders>
              <w:tl2br w:val="nil"/>
              <w:tr2bl w:val="nil"/>
            </w:tcBorders>
            <w:noWrap w:val="0"/>
            <w:vAlign w:val="center"/>
          </w:tcPr>
          <w:p w14:paraId="667299C9">
            <w:pPr>
              <w:keepNext w:val="0"/>
              <w:keepLines w:val="0"/>
              <w:widowControl/>
              <w:suppressLineNumbers w:val="0"/>
              <w:jc w:val="left"/>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3.施工过程中挖断强电管网应急预案1份</w:t>
            </w:r>
            <w:r>
              <w:rPr>
                <w:rFonts w:hint="eastAsia" w:ascii="宋体" w:hAnsi="宋体" w:cs="宋体"/>
                <w:i w:val="0"/>
                <w:iCs w:val="0"/>
                <w:color w:val="auto"/>
                <w:sz w:val="20"/>
                <w:szCs w:val="20"/>
                <w:highlight w:val="none"/>
                <w:u w:val="none"/>
                <w:lang w:val="en-US" w:eastAsia="zh-CN" w:bidi="ar"/>
              </w:rPr>
              <w:t>。</w:t>
            </w:r>
          </w:p>
        </w:tc>
        <w:tc>
          <w:tcPr>
            <w:tcW w:w="3240" w:type="dxa"/>
            <w:vMerge w:val="continue"/>
            <w:tcBorders>
              <w:tl2br w:val="nil"/>
              <w:tr2bl w:val="nil"/>
            </w:tcBorders>
            <w:noWrap w:val="0"/>
            <w:vAlign w:val="center"/>
          </w:tcPr>
          <w:p w14:paraId="2DA599E5">
            <w:pPr>
              <w:jc w:val="both"/>
              <w:rPr>
                <w:rFonts w:hint="eastAsia" w:ascii="宋体" w:hAnsi="宋体" w:eastAsia="宋体" w:cs="宋体"/>
                <w:i w:val="0"/>
                <w:iCs w:val="0"/>
                <w:color w:val="auto"/>
                <w:sz w:val="20"/>
                <w:szCs w:val="20"/>
                <w:highlight w:val="none"/>
                <w:u w:val="none"/>
              </w:rPr>
            </w:pPr>
          </w:p>
        </w:tc>
        <w:tc>
          <w:tcPr>
            <w:tcW w:w="600" w:type="dxa"/>
            <w:vMerge w:val="continue"/>
            <w:tcBorders>
              <w:tl2br w:val="nil"/>
              <w:tr2bl w:val="nil"/>
            </w:tcBorders>
            <w:noWrap w:val="0"/>
            <w:vAlign w:val="center"/>
          </w:tcPr>
          <w:p w14:paraId="7419F8E1">
            <w:pPr>
              <w:jc w:val="center"/>
              <w:rPr>
                <w:rFonts w:hint="eastAsia" w:ascii="宋体" w:hAnsi="宋体" w:eastAsia="宋体" w:cs="宋体"/>
                <w:i w:val="0"/>
                <w:iCs w:val="0"/>
                <w:color w:val="auto"/>
                <w:sz w:val="20"/>
                <w:szCs w:val="20"/>
                <w:highlight w:val="none"/>
                <w:u w:val="none"/>
              </w:rPr>
            </w:pPr>
          </w:p>
        </w:tc>
        <w:tc>
          <w:tcPr>
            <w:tcW w:w="328" w:type="dxa"/>
            <w:vMerge w:val="continue"/>
            <w:tcBorders>
              <w:tl2br w:val="nil"/>
              <w:tr2bl w:val="nil"/>
            </w:tcBorders>
            <w:noWrap w:val="0"/>
            <w:vAlign w:val="center"/>
          </w:tcPr>
          <w:p w14:paraId="1489F4E5">
            <w:pPr>
              <w:jc w:val="center"/>
              <w:rPr>
                <w:rFonts w:hint="eastAsia" w:ascii="宋体" w:hAnsi="宋体" w:eastAsia="宋体" w:cs="宋体"/>
                <w:i w:val="0"/>
                <w:iCs w:val="0"/>
                <w:color w:val="auto"/>
                <w:sz w:val="20"/>
                <w:szCs w:val="20"/>
                <w:highlight w:val="none"/>
                <w:u w:val="none"/>
              </w:rPr>
            </w:pPr>
          </w:p>
        </w:tc>
        <w:tc>
          <w:tcPr>
            <w:tcW w:w="370" w:type="dxa"/>
            <w:vMerge w:val="continue"/>
            <w:tcBorders>
              <w:tl2br w:val="nil"/>
              <w:tr2bl w:val="nil"/>
            </w:tcBorders>
            <w:noWrap w:val="0"/>
            <w:vAlign w:val="center"/>
          </w:tcPr>
          <w:p w14:paraId="37E581BE">
            <w:pPr>
              <w:jc w:val="center"/>
              <w:rPr>
                <w:rFonts w:hint="eastAsia" w:ascii="宋体" w:hAnsi="宋体" w:eastAsia="宋体" w:cs="宋体"/>
                <w:i w:val="0"/>
                <w:iCs w:val="0"/>
                <w:color w:val="auto"/>
                <w:sz w:val="20"/>
                <w:szCs w:val="20"/>
                <w:highlight w:val="none"/>
                <w:u w:val="none"/>
              </w:rPr>
            </w:pPr>
          </w:p>
        </w:tc>
        <w:tc>
          <w:tcPr>
            <w:tcW w:w="371" w:type="dxa"/>
            <w:vMerge w:val="continue"/>
            <w:tcBorders>
              <w:tl2br w:val="nil"/>
              <w:tr2bl w:val="nil"/>
            </w:tcBorders>
            <w:noWrap w:val="0"/>
            <w:vAlign w:val="center"/>
          </w:tcPr>
          <w:p w14:paraId="3B979876">
            <w:pPr>
              <w:jc w:val="center"/>
              <w:rPr>
                <w:rFonts w:hint="eastAsia" w:ascii="宋体" w:hAnsi="宋体" w:eastAsia="宋体" w:cs="宋体"/>
                <w:i w:val="0"/>
                <w:iCs w:val="0"/>
                <w:color w:val="auto"/>
                <w:sz w:val="20"/>
                <w:szCs w:val="20"/>
                <w:highlight w:val="none"/>
                <w:u w:val="none"/>
              </w:rPr>
            </w:pPr>
          </w:p>
        </w:tc>
        <w:tc>
          <w:tcPr>
            <w:tcW w:w="967" w:type="dxa"/>
            <w:vMerge w:val="continue"/>
            <w:tcBorders>
              <w:tl2br w:val="nil"/>
              <w:tr2bl w:val="nil"/>
            </w:tcBorders>
            <w:noWrap w:val="0"/>
            <w:vAlign w:val="center"/>
          </w:tcPr>
          <w:p w14:paraId="1C4F70E7">
            <w:pPr>
              <w:jc w:val="center"/>
              <w:rPr>
                <w:rFonts w:hint="eastAsia" w:ascii="宋体" w:hAnsi="宋体" w:eastAsia="宋体" w:cs="宋体"/>
                <w:i w:val="0"/>
                <w:iCs w:val="0"/>
                <w:color w:val="auto"/>
                <w:sz w:val="20"/>
                <w:szCs w:val="20"/>
                <w:highlight w:val="none"/>
                <w:u w:val="none"/>
              </w:rPr>
            </w:pPr>
          </w:p>
        </w:tc>
      </w:tr>
      <w:tr w14:paraId="59FA9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469" w:type="dxa"/>
            <w:vMerge w:val="continue"/>
            <w:tcBorders>
              <w:tl2br w:val="nil"/>
              <w:tr2bl w:val="nil"/>
            </w:tcBorders>
            <w:noWrap w:val="0"/>
            <w:vAlign w:val="center"/>
          </w:tcPr>
          <w:p w14:paraId="325E9B72">
            <w:pPr>
              <w:jc w:val="center"/>
              <w:rPr>
                <w:rFonts w:hint="eastAsia" w:ascii="宋体" w:hAnsi="宋体" w:eastAsia="宋体" w:cs="宋体"/>
                <w:i w:val="0"/>
                <w:iCs w:val="0"/>
                <w:color w:val="auto"/>
                <w:sz w:val="20"/>
                <w:szCs w:val="20"/>
                <w:highlight w:val="none"/>
                <w:u w:val="none"/>
              </w:rPr>
            </w:pPr>
          </w:p>
        </w:tc>
        <w:tc>
          <w:tcPr>
            <w:tcW w:w="726" w:type="dxa"/>
            <w:vMerge w:val="continue"/>
            <w:tcBorders>
              <w:tl2br w:val="nil"/>
              <w:tr2bl w:val="nil"/>
            </w:tcBorders>
            <w:noWrap w:val="0"/>
            <w:vAlign w:val="center"/>
          </w:tcPr>
          <w:p w14:paraId="4D19B1F7">
            <w:pPr>
              <w:jc w:val="both"/>
              <w:rPr>
                <w:rFonts w:hint="eastAsia" w:ascii="宋体" w:hAnsi="宋体" w:eastAsia="宋体" w:cs="宋体"/>
                <w:i w:val="0"/>
                <w:iCs w:val="0"/>
                <w:color w:val="auto"/>
                <w:sz w:val="20"/>
                <w:szCs w:val="20"/>
                <w:highlight w:val="none"/>
                <w:u w:val="none"/>
              </w:rPr>
            </w:pPr>
          </w:p>
        </w:tc>
        <w:tc>
          <w:tcPr>
            <w:tcW w:w="2252" w:type="dxa"/>
            <w:tcBorders>
              <w:tl2br w:val="nil"/>
              <w:tr2bl w:val="nil"/>
            </w:tcBorders>
            <w:noWrap w:val="0"/>
            <w:vAlign w:val="center"/>
          </w:tcPr>
          <w:p w14:paraId="1763F406">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4.应急处理能力及效率，承包人应在接到应急处置任务的30分钟内（节假日为1小时）到达现场</w:t>
            </w:r>
            <w:r>
              <w:rPr>
                <w:rFonts w:hint="eastAsia" w:ascii="宋体" w:hAnsi="宋体" w:cs="宋体"/>
                <w:i w:val="0"/>
                <w:iCs w:val="0"/>
                <w:color w:val="auto"/>
                <w:sz w:val="20"/>
                <w:szCs w:val="20"/>
                <w:highlight w:val="none"/>
                <w:u w:val="none"/>
                <w:lang w:val="en-US" w:eastAsia="zh-CN" w:bidi="ar"/>
              </w:rPr>
              <w:t>。</w:t>
            </w:r>
          </w:p>
        </w:tc>
        <w:tc>
          <w:tcPr>
            <w:tcW w:w="3240" w:type="dxa"/>
            <w:tcBorders>
              <w:tl2br w:val="nil"/>
              <w:tr2bl w:val="nil"/>
            </w:tcBorders>
            <w:noWrap w:val="0"/>
            <w:vAlign w:val="center"/>
          </w:tcPr>
          <w:p w14:paraId="5288C72D">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承包人在接到应急处置任务的0.5小时内（节假日为1小时）仍没有到达现场的，扣1分，每延时10分再扣1分，直至扣完。</w:t>
            </w:r>
          </w:p>
        </w:tc>
        <w:tc>
          <w:tcPr>
            <w:tcW w:w="600" w:type="dxa"/>
            <w:vMerge w:val="continue"/>
            <w:tcBorders>
              <w:tl2br w:val="nil"/>
              <w:tr2bl w:val="nil"/>
            </w:tcBorders>
            <w:noWrap w:val="0"/>
            <w:vAlign w:val="center"/>
          </w:tcPr>
          <w:p w14:paraId="000BED16">
            <w:pPr>
              <w:jc w:val="center"/>
              <w:rPr>
                <w:rFonts w:hint="eastAsia" w:ascii="宋体" w:hAnsi="宋体" w:eastAsia="宋体" w:cs="宋体"/>
                <w:i w:val="0"/>
                <w:iCs w:val="0"/>
                <w:color w:val="auto"/>
                <w:sz w:val="20"/>
                <w:szCs w:val="20"/>
                <w:highlight w:val="none"/>
                <w:u w:val="none"/>
              </w:rPr>
            </w:pPr>
          </w:p>
        </w:tc>
        <w:tc>
          <w:tcPr>
            <w:tcW w:w="328" w:type="dxa"/>
            <w:vMerge w:val="continue"/>
            <w:tcBorders>
              <w:tl2br w:val="nil"/>
              <w:tr2bl w:val="nil"/>
            </w:tcBorders>
            <w:noWrap w:val="0"/>
            <w:vAlign w:val="center"/>
          </w:tcPr>
          <w:p w14:paraId="7024CBCD">
            <w:pPr>
              <w:jc w:val="center"/>
              <w:rPr>
                <w:rFonts w:hint="eastAsia" w:ascii="宋体" w:hAnsi="宋体" w:eastAsia="宋体" w:cs="宋体"/>
                <w:i w:val="0"/>
                <w:iCs w:val="0"/>
                <w:color w:val="auto"/>
                <w:sz w:val="20"/>
                <w:szCs w:val="20"/>
                <w:highlight w:val="none"/>
                <w:u w:val="none"/>
              </w:rPr>
            </w:pPr>
          </w:p>
        </w:tc>
        <w:tc>
          <w:tcPr>
            <w:tcW w:w="370" w:type="dxa"/>
            <w:vMerge w:val="continue"/>
            <w:tcBorders>
              <w:tl2br w:val="nil"/>
              <w:tr2bl w:val="nil"/>
            </w:tcBorders>
            <w:noWrap w:val="0"/>
            <w:vAlign w:val="center"/>
          </w:tcPr>
          <w:p w14:paraId="254F48F7">
            <w:pPr>
              <w:jc w:val="center"/>
              <w:rPr>
                <w:rFonts w:hint="eastAsia" w:ascii="宋体" w:hAnsi="宋体" w:eastAsia="宋体" w:cs="宋体"/>
                <w:i w:val="0"/>
                <w:iCs w:val="0"/>
                <w:color w:val="auto"/>
                <w:sz w:val="20"/>
                <w:szCs w:val="20"/>
                <w:highlight w:val="none"/>
                <w:u w:val="none"/>
              </w:rPr>
            </w:pPr>
          </w:p>
        </w:tc>
        <w:tc>
          <w:tcPr>
            <w:tcW w:w="371" w:type="dxa"/>
            <w:vMerge w:val="continue"/>
            <w:tcBorders>
              <w:tl2br w:val="nil"/>
              <w:tr2bl w:val="nil"/>
            </w:tcBorders>
            <w:noWrap w:val="0"/>
            <w:vAlign w:val="center"/>
          </w:tcPr>
          <w:p w14:paraId="33263797">
            <w:pPr>
              <w:jc w:val="center"/>
              <w:rPr>
                <w:rFonts w:hint="eastAsia" w:ascii="宋体" w:hAnsi="宋体" w:eastAsia="宋体" w:cs="宋体"/>
                <w:i w:val="0"/>
                <w:iCs w:val="0"/>
                <w:color w:val="auto"/>
                <w:sz w:val="20"/>
                <w:szCs w:val="20"/>
                <w:highlight w:val="none"/>
                <w:u w:val="none"/>
              </w:rPr>
            </w:pPr>
          </w:p>
        </w:tc>
        <w:tc>
          <w:tcPr>
            <w:tcW w:w="967" w:type="dxa"/>
            <w:vMerge w:val="continue"/>
            <w:tcBorders>
              <w:tl2br w:val="nil"/>
              <w:tr2bl w:val="nil"/>
            </w:tcBorders>
            <w:noWrap w:val="0"/>
            <w:vAlign w:val="center"/>
          </w:tcPr>
          <w:p w14:paraId="4732D42A">
            <w:pPr>
              <w:jc w:val="center"/>
              <w:rPr>
                <w:rFonts w:hint="eastAsia" w:ascii="宋体" w:hAnsi="宋体" w:eastAsia="宋体" w:cs="宋体"/>
                <w:i w:val="0"/>
                <w:iCs w:val="0"/>
                <w:color w:val="auto"/>
                <w:sz w:val="20"/>
                <w:szCs w:val="20"/>
                <w:highlight w:val="none"/>
                <w:u w:val="none"/>
              </w:rPr>
            </w:pPr>
          </w:p>
        </w:tc>
      </w:tr>
      <w:tr w14:paraId="3F686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469" w:type="dxa"/>
            <w:tcBorders>
              <w:tl2br w:val="nil"/>
              <w:tr2bl w:val="nil"/>
            </w:tcBorders>
            <w:noWrap w:val="0"/>
            <w:vAlign w:val="center"/>
          </w:tcPr>
          <w:p w14:paraId="452EF424">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2</w:t>
            </w:r>
          </w:p>
        </w:tc>
        <w:tc>
          <w:tcPr>
            <w:tcW w:w="726" w:type="dxa"/>
            <w:tcBorders>
              <w:tl2br w:val="nil"/>
              <w:tr2bl w:val="nil"/>
            </w:tcBorders>
            <w:noWrap w:val="0"/>
            <w:vAlign w:val="center"/>
          </w:tcPr>
          <w:p w14:paraId="061D36A5">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重大活动保障</w:t>
            </w:r>
          </w:p>
        </w:tc>
        <w:tc>
          <w:tcPr>
            <w:tcW w:w="2252" w:type="dxa"/>
            <w:tcBorders>
              <w:tl2br w:val="nil"/>
              <w:tr2bl w:val="nil"/>
            </w:tcBorders>
            <w:noWrap w:val="0"/>
            <w:vAlign w:val="center"/>
          </w:tcPr>
          <w:p w14:paraId="03EA3844">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重大活动保障(市政府和局领导交办的各项活动保障，如市举办的比赛，义务劳动等)要求完善的市政设施维修和器材保障。</w:t>
            </w:r>
          </w:p>
        </w:tc>
        <w:tc>
          <w:tcPr>
            <w:tcW w:w="3240" w:type="dxa"/>
            <w:tcBorders>
              <w:tl2br w:val="nil"/>
              <w:tr2bl w:val="nil"/>
            </w:tcBorders>
            <w:noWrap w:val="0"/>
            <w:vAlign w:val="center"/>
          </w:tcPr>
          <w:p w14:paraId="00C35089">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重大活动保障未按时间节点完成和器材保障及时到位，每次每项扣1分（市政设施维修以收方单时间为准，器材保障以到位时间照片为准）。</w:t>
            </w:r>
          </w:p>
        </w:tc>
        <w:tc>
          <w:tcPr>
            <w:tcW w:w="600" w:type="dxa"/>
            <w:tcBorders>
              <w:tl2br w:val="nil"/>
              <w:tr2bl w:val="nil"/>
            </w:tcBorders>
            <w:noWrap w:val="0"/>
            <w:vAlign w:val="center"/>
          </w:tcPr>
          <w:p w14:paraId="5ED1E5FC">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2</w:t>
            </w:r>
          </w:p>
        </w:tc>
        <w:tc>
          <w:tcPr>
            <w:tcW w:w="328" w:type="dxa"/>
            <w:tcBorders>
              <w:tl2br w:val="nil"/>
              <w:tr2bl w:val="nil"/>
            </w:tcBorders>
            <w:noWrap w:val="0"/>
            <w:vAlign w:val="center"/>
          </w:tcPr>
          <w:p w14:paraId="54BC0ED8">
            <w:pPr>
              <w:jc w:val="both"/>
              <w:rPr>
                <w:rFonts w:hint="eastAsia" w:ascii="宋体" w:hAnsi="宋体" w:eastAsia="宋体" w:cs="宋体"/>
                <w:i w:val="0"/>
                <w:iCs w:val="0"/>
                <w:color w:val="auto"/>
                <w:sz w:val="20"/>
                <w:szCs w:val="20"/>
                <w:highlight w:val="none"/>
                <w:u w:val="none"/>
              </w:rPr>
            </w:pPr>
          </w:p>
        </w:tc>
        <w:tc>
          <w:tcPr>
            <w:tcW w:w="370" w:type="dxa"/>
            <w:tcBorders>
              <w:tl2br w:val="nil"/>
              <w:tr2bl w:val="nil"/>
            </w:tcBorders>
            <w:noWrap w:val="0"/>
            <w:vAlign w:val="center"/>
          </w:tcPr>
          <w:p w14:paraId="266727DC">
            <w:pPr>
              <w:jc w:val="both"/>
              <w:rPr>
                <w:rFonts w:hint="eastAsia" w:ascii="宋体" w:hAnsi="宋体" w:eastAsia="宋体" w:cs="宋体"/>
                <w:i w:val="0"/>
                <w:iCs w:val="0"/>
                <w:color w:val="auto"/>
                <w:sz w:val="20"/>
                <w:szCs w:val="20"/>
                <w:highlight w:val="none"/>
                <w:u w:val="none"/>
              </w:rPr>
            </w:pPr>
          </w:p>
        </w:tc>
        <w:tc>
          <w:tcPr>
            <w:tcW w:w="371" w:type="dxa"/>
            <w:tcBorders>
              <w:tl2br w:val="nil"/>
              <w:tr2bl w:val="nil"/>
            </w:tcBorders>
            <w:noWrap w:val="0"/>
            <w:vAlign w:val="center"/>
          </w:tcPr>
          <w:p w14:paraId="1ACBCCB6">
            <w:pPr>
              <w:jc w:val="both"/>
              <w:rPr>
                <w:rFonts w:hint="eastAsia" w:ascii="宋体" w:hAnsi="宋体" w:eastAsia="宋体" w:cs="宋体"/>
                <w:i w:val="0"/>
                <w:iCs w:val="0"/>
                <w:color w:val="auto"/>
                <w:sz w:val="20"/>
                <w:szCs w:val="20"/>
                <w:highlight w:val="none"/>
                <w:u w:val="none"/>
              </w:rPr>
            </w:pPr>
          </w:p>
        </w:tc>
        <w:tc>
          <w:tcPr>
            <w:tcW w:w="967" w:type="dxa"/>
            <w:tcBorders>
              <w:tl2br w:val="nil"/>
              <w:tr2bl w:val="nil"/>
            </w:tcBorders>
            <w:noWrap w:val="0"/>
            <w:vAlign w:val="center"/>
          </w:tcPr>
          <w:p w14:paraId="2D75E8CD">
            <w:pPr>
              <w:jc w:val="both"/>
              <w:rPr>
                <w:rFonts w:hint="eastAsia" w:ascii="宋体" w:hAnsi="宋体" w:eastAsia="宋体" w:cs="宋体"/>
                <w:i w:val="0"/>
                <w:iCs w:val="0"/>
                <w:color w:val="auto"/>
                <w:sz w:val="20"/>
                <w:szCs w:val="20"/>
                <w:highlight w:val="none"/>
                <w:u w:val="none"/>
              </w:rPr>
            </w:pPr>
          </w:p>
        </w:tc>
      </w:tr>
      <w:tr w14:paraId="7197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469" w:type="dxa"/>
            <w:tcBorders>
              <w:tl2br w:val="nil"/>
              <w:tr2bl w:val="nil"/>
            </w:tcBorders>
            <w:noWrap w:val="0"/>
            <w:vAlign w:val="center"/>
          </w:tcPr>
          <w:p w14:paraId="71C3D40D">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3</w:t>
            </w:r>
          </w:p>
        </w:tc>
        <w:tc>
          <w:tcPr>
            <w:tcW w:w="726" w:type="dxa"/>
            <w:tcBorders>
              <w:tl2br w:val="nil"/>
              <w:tr2bl w:val="nil"/>
            </w:tcBorders>
            <w:noWrap w:val="0"/>
            <w:vAlign w:val="center"/>
          </w:tcPr>
          <w:p w14:paraId="3AB5A0D8">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媒体舆论情况</w:t>
            </w:r>
          </w:p>
        </w:tc>
        <w:tc>
          <w:tcPr>
            <w:tcW w:w="2252" w:type="dxa"/>
            <w:tcBorders>
              <w:tl2br w:val="nil"/>
              <w:tr2bl w:val="nil"/>
            </w:tcBorders>
            <w:noWrap w:val="0"/>
            <w:vAlign w:val="center"/>
          </w:tcPr>
          <w:p w14:paraId="1AD9AF08">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不发生有责媒体报道事件，不发生重大有责新闻曝光。</w:t>
            </w:r>
          </w:p>
        </w:tc>
        <w:tc>
          <w:tcPr>
            <w:tcW w:w="3240" w:type="dxa"/>
            <w:tcBorders>
              <w:tl2br w:val="nil"/>
              <w:tr2bl w:val="nil"/>
            </w:tcBorders>
            <w:noWrap w:val="0"/>
            <w:vAlign w:val="center"/>
          </w:tcPr>
          <w:p w14:paraId="1907D42C">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发生有责媒体（抖音，微信号等）报道事件，每次扣1分；发生重大有责新闻（电视台，红豆网等）曝光事件每次扣2分，直至扣完。</w:t>
            </w:r>
          </w:p>
        </w:tc>
        <w:tc>
          <w:tcPr>
            <w:tcW w:w="600" w:type="dxa"/>
            <w:tcBorders>
              <w:tl2br w:val="nil"/>
              <w:tr2bl w:val="nil"/>
            </w:tcBorders>
            <w:noWrap w:val="0"/>
            <w:vAlign w:val="center"/>
          </w:tcPr>
          <w:p w14:paraId="02CD83EC">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2</w:t>
            </w:r>
          </w:p>
        </w:tc>
        <w:tc>
          <w:tcPr>
            <w:tcW w:w="328" w:type="dxa"/>
            <w:tcBorders>
              <w:tl2br w:val="nil"/>
              <w:tr2bl w:val="nil"/>
            </w:tcBorders>
            <w:noWrap w:val="0"/>
            <w:vAlign w:val="center"/>
          </w:tcPr>
          <w:p w14:paraId="7809B673">
            <w:pPr>
              <w:jc w:val="both"/>
              <w:rPr>
                <w:rFonts w:hint="eastAsia" w:ascii="宋体" w:hAnsi="宋体" w:eastAsia="宋体" w:cs="宋体"/>
                <w:i w:val="0"/>
                <w:iCs w:val="0"/>
                <w:color w:val="auto"/>
                <w:sz w:val="20"/>
                <w:szCs w:val="20"/>
                <w:highlight w:val="none"/>
                <w:u w:val="none"/>
              </w:rPr>
            </w:pPr>
          </w:p>
        </w:tc>
        <w:tc>
          <w:tcPr>
            <w:tcW w:w="370" w:type="dxa"/>
            <w:tcBorders>
              <w:tl2br w:val="nil"/>
              <w:tr2bl w:val="nil"/>
            </w:tcBorders>
            <w:noWrap w:val="0"/>
            <w:vAlign w:val="center"/>
          </w:tcPr>
          <w:p w14:paraId="643B2920">
            <w:pPr>
              <w:jc w:val="both"/>
              <w:rPr>
                <w:rFonts w:hint="eastAsia" w:ascii="宋体" w:hAnsi="宋体" w:eastAsia="宋体" w:cs="宋体"/>
                <w:i w:val="0"/>
                <w:iCs w:val="0"/>
                <w:color w:val="auto"/>
                <w:sz w:val="20"/>
                <w:szCs w:val="20"/>
                <w:highlight w:val="none"/>
                <w:u w:val="none"/>
              </w:rPr>
            </w:pPr>
          </w:p>
        </w:tc>
        <w:tc>
          <w:tcPr>
            <w:tcW w:w="371" w:type="dxa"/>
            <w:tcBorders>
              <w:tl2br w:val="nil"/>
              <w:tr2bl w:val="nil"/>
            </w:tcBorders>
            <w:noWrap w:val="0"/>
            <w:vAlign w:val="center"/>
          </w:tcPr>
          <w:p w14:paraId="383AA8F4">
            <w:pPr>
              <w:jc w:val="both"/>
              <w:rPr>
                <w:rFonts w:hint="eastAsia" w:ascii="宋体" w:hAnsi="宋体" w:eastAsia="宋体" w:cs="宋体"/>
                <w:i w:val="0"/>
                <w:iCs w:val="0"/>
                <w:color w:val="auto"/>
                <w:sz w:val="20"/>
                <w:szCs w:val="20"/>
                <w:highlight w:val="none"/>
                <w:u w:val="none"/>
              </w:rPr>
            </w:pPr>
          </w:p>
        </w:tc>
        <w:tc>
          <w:tcPr>
            <w:tcW w:w="967" w:type="dxa"/>
            <w:tcBorders>
              <w:tl2br w:val="nil"/>
              <w:tr2bl w:val="nil"/>
            </w:tcBorders>
            <w:noWrap w:val="0"/>
            <w:vAlign w:val="center"/>
          </w:tcPr>
          <w:p w14:paraId="5773D148">
            <w:pPr>
              <w:jc w:val="both"/>
              <w:rPr>
                <w:rFonts w:hint="eastAsia" w:ascii="宋体" w:hAnsi="宋体" w:eastAsia="宋体" w:cs="宋体"/>
                <w:i w:val="0"/>
                <w:iCs w:val="0"/>
                <w:color w:val="auto"/>
                <w:sz w:val="20"/>
                <w:szCs w:val="20"/>
                <w:highlight w:val="none"/>
                <w:u w:val="none"/>
              </w:rPr>
            </w:pPr>
          </w:p>
        </w:tc>
      </w:tr>
      <w:tr w14:paraId="784B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69" w:type="dxa"/>
            <w:vMerge w:val="restart"/>
            <w:tcBorders>
              <w:tl2br w:val="nil"/>
              <w:tr2bl w:val="nil"/>
            </w:tcBorders>
            <w:noWrap w:val="0"/>
            <w:vAlign w:val="center"/>
          </w:tcPr>
          <w:p w14:paraId="18D47AEC">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4</w:t>
            </w:r>
          </w:p>
        </w:tc>
        <w:tc>
          <w:tcPr>
            <w:tcW w:w="726" w:type="dxa"/>
            <w:vMerge w:val="restart"/>
            <w:tcBorders>
              <w:tl2br w:val="nil"/>
              <w:tr2bl w:val="nil"/>
            </w:tcBorders>
            <w:noWrap w:val="0"/>
            <w:vAlign w:val="center"/>
          </w:tcPr>
          <w:p w14:paraId="2F29EABF">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相关督察发现问题及处理</w:t>
            </w:r>
          </w:p>
        </w:tc>
        <w:tc>
          <w:tcPr>
            <w:tcW w:w="2252" w:type="dxa"/>
            <w:vMerge w:val="restart"/>
            <w:tcBorders>
              <w:tl2br w:val="nil"/>
              <w:tr2bl w:val="nil"/>
            </w:tcBorders>
            <w:noWrap w:val="0"/>
            <w:vAlign w:val="center"/>
          </w:tcPr>
          <w:p w14:paraId="58A0638C">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对相关督察发现的问题认真进行整改并在规定时间内进行回复，记录详细规范。</w:t>
            </w:r>
          </w:p>
        </w:tc>
        <w:tc>
          <w:tcPr>
            <w:tcW w:w="3240" w:type="dxa"/>
            <w:vMerge w:val="restart"/>
            <w:tcBorders>
              <w:tl2br w:val="nil"/>
              <w:tr2bl w:val="nil"/>
            </w:tcBorders>
            <w:noWrap w:val="0"/>
            <w:vAlign w:val="center"/>
          </w:tcPr>
          <w:p w14:paraId="27CF1896">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市领导督察（其他相关督察）发现有责问题每次扣1分，未按时间要求整改完成的每次扣2分，整改后未及时回复每次扣1分；未记录或记录不齐全真实的，每处扣1分，直至扣完。</w:t>
            </w:r>
          </w:p>
        </w:tc>
        <w:tc>
          <w:tcPr>
            <w:tcW w:w="600" w:type="dxa"/>
            <w:vMerge w:val="restart"/>
            <w:tcBorders>
              <w:tl2br w:val="nil"/>
              <w:tr2bl w:val="nil"/>
            </w:tcBorders>
            <w:noWrap w:val="0"/>
            <w:vAlign w:val="center"/>
          </w:tcPr>
          <w:p w14:paraId="066A1187">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2</w:t>
            </w:r>
          </w:p>
        </w:tc>
        <w:tc>
          <w:tcPr>
            <w:tcW w:w="328" w:type="dxa"/>
            <w:vMerge w:val="restart"/>
            <w:tcBorders>
              <w:tl2br w:val="nil"/>
              <w:tr2bl w:val="nil"/>
            </w:tcBorders>
            <w:noWrap w:val="0"/>
            <w:vAlign w:val="center"/>
          </w:tcPr>
          <w:p w14:paraId="69527DF4">
            <w:pPr>
              <w:jc w:val="both"/>
              <w:rPr>
                <w:rFonts w:hint="eastAsia" w:ascii="宋体" w:hAnsi="宋体" w:eastAsia="宋体" w:cs="宋体"/>
                <w:i w:val="0"/>
                <w:iCs w:val="0"/>
                <w:color w:val="auto"/>
                <w:sz w:val="20"/>
                <w:szCs w:val="20"/>
                <w:highlight w:val="none"/>
                <w:u w:val="none"/>
              </w:rPr>
            </w:pPr>
          </w:p>
        </w:tc>
        <w:tc>
          <w:tcPr>
            <w:tcW w:w="370" w:type="dxa"/>
            <w:vMerge w:val="restart"/>
            <w:tcBorders>
              <w:tl2br w:val="nil"/>
              <w:tr2bl w:val="nil"/>
            </w:tcBorders>
            <w:noWrap w:val="0"/>
            <w:vAlign w:val="center"/>
          </w:tcPr>
          <w:p w14:paraId="55770CF3">
            <w:pPr>
              <w:jc w:val="both"/>
              <w:rPr>
                <w:rFonts w:hint="eastAsia" w:ascii="宋体" w:hAnsi="宋体" w:eastAsia="宋体" w:cs="宋体"/>
                <w:i w:val="0"/>
                <w:iCs w:val="0"/>
                <w:color w:val="auto"/>
                <w:sz w:val="20"/>
                <w:szCs w:val="20"/>
                <w:highlight w:val="none"/>
                <w:u w:val="none"/>
              </w:rPr>
            </w:pPr>
          </w:p>
        </w:tc>
        <w:tc>
          <w:tcPr>
            <w:tcW w:w="371" w:type="dxa"/>
            <w:vMerge w:val="restart"/>
            <w:tcBorders>
              <w:tl2br w:val="nil"/>
              <w:tr2bl w:val="nil"/>
            </w:tcBorders>
            <w:noWrap w:val="0"/>
            <w:vAlign w:val="center"/>
          </w:tcPr>
          <w:p w14:paraId="1DA3A0E2">
            <w:pPr>
              <w:jc w:val="both"/>
              <w:rPr>
                <w:rFonts w:hint="eastAsia" w:ascii="宋体" w:hAnsi="宋体" w:eastAsia="宋体" w:cs="宋体"/>
                <w:i w:val="0"/>
                <w:iCs w:val="0"/>
                <w:color w:val="auto"/>
                <w:sz w:val="20"/>
                <w:szCs w:val="20"/>
                <w:highlight w:val="none"/>
                <w:u w:val="none"/>
              </w:rPr>
            </w:pPr>
          </w:p>
        </w:tc>
        <w:tc>
          <w:tcPr>
            <w:tcW w:w="967" w:type="dxa"/>
            <w:vMerge w:val="restart"/>
            <w:tcBorders>
              <w:tl2br w:val="nil"/>
              <w:tr2bl w:val="nil"/>
            </w:tcBorders>
            <w:noWrap w:val="0"/>
            <w:vAlign w:val="center"/>
          </w:tcPr>
          <w:p w14:paraId="197A476B">
            <w:pPr>
              <w:jc w:val="both"/>
              <w:rPr>
                <w:rFonts w:hint="eastAsia" w:ascii="宋体" w:hAnsi="宋体" w:eastAsia="宋体" w:cs="宋体"/>
                <w:i w:val="0"/>
                <w:iCs w:val="0"/>
                <w:color w:val="auto"/>
                <w:sz w:val="20"/>
                <w:szCs w:val="20"/>
                <w:highlight w:val="none"/>
                <w:u w:val="none"/>
              </w:rPr>
            </w:pPr>
          </w:p>
        </w:tc>
      </w:tr>
      <w:tr w14:paraId="2A2C9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469" w:type="dxa"/>
            <w:tcBorders>
              <w:tl2br w:val="nil"/>
              <w:tr2bl w:val="nil"/>
            </w:tcBorders>
            <w:noWrap w:val="0"/>
            <w:vAlign w:val="center"/>
          </w:tcPr>
          <w:p w14:paraId="7801DD16">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5</w:t>
            </w:r>
          </w:p>
        </w:tc>
        <w:tc>
          <w:tcPr>
            <w:tcW w:w="726" w:type="dxa"/>
            <w:vMerge w:val="restart"/>
            <w:tcBorders>
              <w:tl2br w:val="nil"/>
              <w:tr2bl w:val="nil"/>
            </w:tcBorders>
            <w:noWrap w:val="0"/>
            <w:vAlign w:val="center"/>
          </w:tcPr>
          <w:p w14:paraId="508CB6C6">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基础资料</w:t>
            </w:r>
          </w:p>
        </w:tc>
        <w:tc>
          <w:tcPr>
            <w:tcW w:w="2252" w:type="dxa"/>
            <w:tcBorders>
              <w:tl2br w:val="nil"/>
              <w:tr2bl w:val="nil"/>
            </w:tcBorders>
            <w:noWrap w:val="0"/>
            <w:vAlign w:val="center"/>
          </w:tcPr>
          <w:p w14:paraId="04CE2B3A">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辖区内市政设施基础数据准确齐全，一路一档、一桥一档，维修计划、收方、签证结算材料在下个月15日前提交报送市市政工程服务中心审核。</w:t>
            </w:r>
          </w:p>
        </w:tc>
        <w:tc>
          <w:tcPr>
            <w:tcW w:w="3240" w:type="dxa"/>
            <w:tcBorders>
              <w:tl2br w:val="nil"/>
              <w:tr2bl w:val="nil"/>
            </w:tcBorders>
            <w:noWrap w:val="0"/>
            <w:vAlign w:val="center"/>
          </w:tcPr>
          <w:p w14:paraId="04C5FCA6">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未按规定时间节点前提交相关工程材料，扣完该项（以交资料签收表为准，没有签收材料直接扣完）</w:t>
            </w:r>
          </w:p>
        </w:tc>
        <w:tc>
          <w:tcPr>
            <w:tcW w:w="600" w:type="dxa"/>
            <w:tcBorders>
              <w:tl2br w:val="nil"/>
              <w:tr2bl w:val="nil"/>
            </w:tcBorders>
            <w:noWrap w:val="0"/>
            <w:vAlign w:val="center"/>
          </w:tcPr>
          <w:p w14:paraId="165A839A">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10</w:t>
            </w:r>
          </w:p>
        </w:tc>
        <w:tc>
          <w:tcPr>
            <w:tcW w:w="328" w:type="dxa"/>
            <w:tcBorders>
              <w:tl2br w:val="nil"/>
              <w:tr2bl w:val="nil"/>
            </w:tcBorders>
            <w:noWrap w:val="0"/>
            <w:vAlign w:val="center"/>
          </w:tcPr>
          <w:p w14:paraId="3F8A98AA">
            <w:pPr>
              <w:jc w:val="both"/>
              <w:rPr>
                <w:rFonts w:hint="eastAsia" w:ascii="宋体" w:hAnsi="宋体" w:eastAsia="宋体" w:cs="宋体"/>
                <w:i w:val="0"/>
                <w:iCs w:val="0"/>
                <w:color w:val="auto"/>
                <w:sz w:val="20"/>
                <w:szCs w:val="20"/>
                <w:highlight w:val="none"/>
                <w:u w:val="none"/>
              </w:rPr>
            </w:pPr>
          </w:p>
        </w:tc>
        <w:tc>
          <w:tcPr>
            <w:tcW w:w="370" w:type="dxa"/>
            <w:tcBorders>
              <w:tl2br w:val="nil"/>
              <w:tr2bl w:val="nil"/>
            </w:tcBorders>
            <w:noWrap w:val="0"/>
            <w:vAlign w:val="center"/>
          </w:tcPr>
          <w:p w14:paraId="23E2B92E">
            <w:pPr>
              <w:jc w:val="both"/>
              <w:rPr>
                <w:rFonts w:hint="eastAsia" w:ascii="宋体" w:hAnsi="宋体" w:eastAsia="宋体" w:cs="宋体"/>
                <w:i w:val="0"/>
                <w:iCs w:val="0"/>
                <w:color w:val="auto"/>
                <w:sz w:val="20"/>
                <w:szCs w:val="20"/>
                <w:highlight w:val="none"/>
                <w:u w:val="none"/>
              </w:rPr>
            </w:pPr>
          </w:p>
        </w:tc>
        <w:tc>
          <w:tcPr>
            <w:tcW w:w="371" w:type="dxa"/>
            <w:tcBorders>
              <w:tl2br w:val="nil"/>
              <w:tr2bl w:val="nil"/>
            </w:tcBorders>
            <w:noWrap w:val="0"/>
            <w:vAlign w:val="center"/>
          </w:tcPr>
          <w:p w14:paraId="3721144E">
            <w:pPr>
              <w:jc w:val="both"/>
              <w:rPr>
                <w:rFonts w:hint="eastAsia" w:ascii="宋体" w:hAnsi="宋体" w:eastAsia="宋体" w:cs="宋体"/>
                <w:i w:val="0"/>
                <w:iCs w:val="0"/>
                <w:color w:val="auto"/>
                <w:sz w:val="20"/>
                <w:szCs w:val="20"/>
                <w:highlight w:val="none"/>
                <w:u w:val="none"/>
              </w:rPr>
            </w:pPr>
          </w:p>
        </w:tc>
        <w:tc>
          <w:tcPr>
            <w:tcW w:w="967" w:type="dxa"/>
            <w:tcBorders>
              <w:tl2br w:val="nil"/>
              <w:tr2bl w:val="nil"/>
            </w:tcBorders>
            <w:noWrap w:val="0"/>
            <w:vAlign w:val="center"/>
          </w:tcPr>
          <w:p w14:paraId="3FAB91CC">
            <w:pPr>
              <w:jc w:val="both"/>
              <w:rPr>
                <w:rFonts w:hint="eastAsia" w:ascii="宋体" w:hAnsi="宋体" w:eastAsia="宋体" w:cs="宋体"/>
                <w:i w:val="0"/>
                <w:iCs w:val="0"/>
                <w:color w:val="auto"/>
                <w:sz w:val="20"/>
                <w:szCs w:val="20"/>
                <w:highlight w:val="none"/>
                <w:u w:val="none"/>
              </w:rPr>
            </w:pPr>
          </w:p>
        </w:tc>
      </w:tr>
      <w:tr w14:paraId="759C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469" w:type="dxa"/>
            <w:tcBorders>
              <w:tl2br w:val="nil"/>
              <w:tr2bl w:val="nil"/>
            </w:tcBorders>
            <w:noWrap w:val="0"/>
            <w:vAlign w:val="center"/>
          </w:tcPr>
          <w:p w14:paraId="4703D8CA">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6</w:t>
            </w:r>
          </w:p>
        </w:tc>
        <w:tc>
          <w:tcPr>
            <w:tcW w:w="726" w:type="dxa"/>
            <w:vMerge w:val="continue"/>
            <w:tcBorders>
              <w:tl2br w:val="nil"/>
              <w:tr2bl w:val="nil"/>
            </w:tcBorders>
            <w:noWrap w:val="0"/>
            <w:vAlign w:val="center"/>
          </w:tcPr>
          <w:p w14:paraId="18888154">
            <w:pPr>
              <w:jc w:val="both"/>
              <w:rPr>
                <w:rFonts w:hint="eastAsia" w:ascii="宋体" w:hAnsi="宋体" w:eastAsia="宋体" w:cs="宋体"/>
                <w:i w:val="0"/>
                <w:iCs w:val="0"/>
                <w:color w:val="auto"/>
                <w:sz w:val="20"/>
                <w:szCs w:val="20"/>
                <w:highlight w:val="none"/>
                <w:u w:val="none"/>
              </w:rPr>
            </w:pPr>
          </w:p>
        </w:tc>
        <w:tc>
          <w:tcPr>
            <w:tcW w:w="2252" w:type="dxa"/>
            <w:tcBorders>
              <w:tl2br w:val="nil"/>
              <w:tr2bl w:val="nil"/>
            </w:tcBorders>
            <w:noWrap w:val="0"/>
            <w:vAlign w:val="center"/>
          </w:tcPr>
          <w:p w14:paraId="042C4657">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对维修计划与收方、签证材料工程量核实</w:t>
            </w:r>
          </w:p>
        </w:tc>
        <w:tc>
          <w:tcPr>
            <w:tcW w:w="3240" w:type="dxa"/>
            <w:tcBorders>
              <w:tl2br w:val="nil"/>
              <w:tr2bl w:val="nil"/>
            </w:tcBorders>
            <w:noWrap w:val="0"/>
            <w:vAlign w:val="center"/>
          </w:tcPr>
          <w:p w14:paraId="45B917CE">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在结算资料审核、现场收方等过程发现，上报修计划内容与收方、签证工程量误差超过</w:t>
            </w:r>
            <w:r>
              <w:rPr>
                <w:rFonts w:ascii="微软雅黑" w:hAnsi="微软雅黑" w:eastAsia="微软雅黑" w:cs="微软雅黑"/>
                <w:i w:val="0"/>
                <w:iCs w:val="0"/>
                <w:color w:val="auto"/>
                <w:sz w:val="20"/>
                <w:szCs w:val="20"/>
                <w:highlight w:val="none"/>
                <w:u w:val="none"/>
                <w:lang w:val="en-US" w:eastAsia="zh-CN" w:bidi="ar"/>
              </w:rPr>
              <w:t>±</w:t>
            </w:r>
            <w:r>
              <w:rPr>
                <w:rFonts w:hint="eastAsia" w:ascii="宋体" w:hAnsi="宋体" w:eastAsia="宋体" w:cs="宋体"/>
                <w:i w:val="0"/>
                <w:iCs w:val="0"/>
                <w:color w:val="auto"/>
                <w:sz w:val="20"/>
                <w:szCs w:val="20"/>
                <w:highlight w:val="none"/>
                <w:u w:val="none"/>
                <w:lang w:val="en-US" w:eastAsia="zh-CN" w:bidi="ar"/>
              </w:rPr>
              <w:t>3％的，每差1%扣3分，直至扣完。在工程量审查、签证过程中，若发现施工企业上报工程量超过实际工程量时（测量允许误差±3%），除扣减相应虚报工程量部分，每误差超过1%（3%后起算），扣3分，扣完为止。</w:t>
            </w:r>
          </w:p>
        </w:tc>
        <w:tc>
          <w:tcPr>
            <w:tcW w:w="600" w:type="dxa"/>
            <w:tcBorders>
              <w:tl2br w:val="nil"/>
              <w:tr2bl w:val="nil"/>
            </w:tcBorders>
            <w:noWrap w:val="0"/>
            <w:vAlign w:val="center"/>
          </w:tcPr>
          <w:p w14:paraId="41392522">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10</w:t>
            </w:r>
          </w:p>
        </w:tc>
        <w:tc>
          <w:tcPr>
            <w:tcW w:w="328" w:type="dxa"/>
            <w:tcBorders>
              <w:tl2br w:val="nil"/>
              <w:tr2bl w:val="nil"/>
            </w:tcBorders>
            <w:noWrap w:val="0"/>
            <w:vAlign w:val="center"/>
          </w:tcPr>
          <w:p w14:paraId="7C781C27">
            <w:pPr>
              <w:jc w:val="both"/>
              <w:rPr>
                <w:rFonts w:hint="eastAsia" w:ascii="宋体" w:hAnsi="宋体" w:eastAsia="宋体" w:cs="宋体"/>
                <w:i w:val="0"/>
                <w:iCs w:val="0"/>
                <w:color w:val="auto"/>
                <w:sz w:val="20"/>
                <w:szCs w:val="20"/>
                <w:highlight w:val="none"/>
                <w:u w:val="none"/>
              </w:rPr>
            </w:pPr>
          </w:p>
        </w:tc>
        <w:tc>
          <w:tcPr>
            <w:tcW w:w="370" w:type="dxa"/>
            <w:tcBorders>
              <w:tl2br w:val="nil"/>
              <w:tr2bl w:val="nil"/>
            </w:tcBorders>
            <w:noWrap w:val="0"/>
            <w:vAlign w:val="center"/>
          </w:tcPr>
          <w:p w14:paraId="683F203C">
            <w:pPr>
              <w:jc w:val="both"/>
              <w:rPr>
                <w:rFonts w:hint="eastAsia" w:ascii="宋体" w:hAnsi="宋体" w:eastAsia="宋体" w:cs="宋体"/>
                <w:i w:val="0"/>
                <w:iCs w:val="0"/>
                <w:color w:val="auto"/>
                <w:sz w:val="20"/>
                <w:szCs w:val="20"/>
                <w:highlight w:val="none"/>
                <w:u w:val="none"/>
              </w:rPr>
            </w:pPr>
          </w:p>
        </w:tc>
        <w:tc>
          <w:tcPr>
            <w:tcW w:w="371" w:type="dxa"/>
            <w:tcBorders>
              <w:tl2br w:val="nil"/>
              <w:tr2bl w:val="nil"/>
            </w:tcBorders>
            <w:noWrap w:val="0"/>
            <w:vAlign w:val="center"/>
          </w:tcPr>
          <w:p w14:paraId="5F0BED05">
            <w:pPr>
              <w:jc w:val="both"/>
              <w:rPr>
                <w:rFonts w:hint="eastAsia" w:ascii="宋体" w:hAnsi="宋体" w:eastAsia="宋体" w:cs="宋体"/>
                <w:i w:val="0"/>
                <w:iCs w:val="0"/>
                <w:color w:val="auto"/>
                <w:sz w:val="20"/>
                <w:szCs w:val="20"/>
                <w:highlight w:val="none"/>
                <w:u w:val="none"/>
              </w:rPr>
            </w:pPr>
          </w:p>
        </w:tc>
        <w:tc>
          <w:tcPr>
            <w:tcW w:w="967" w:type="dxa"/>
            <w:tcBorders>
              <w:tl2br w:val="nil"/>
              <w:tr2bl w:val="nil"/>
            </w:tcBorders>
            <w:noWrap w:val="0"/>
            <w:vAlign w:val="center"/>
          </w:tcPr>
          <w:p w14:paraId="18FB093C">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考核时间在每个两个月周期的下旬，材料以中心人员签收为准</w:t>
            </w:r>
          </w:p>
        </w:tc>
      </w:tr>
      <w:tr w14:paraId="56DF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469" w:type="dxa"/>
            <w:tcBorders>
              <w:tl2br w:val="nil"/>
              <w:tr2bl w:val="nil"/>
            </w:tcBorders>
            <w:noWrap w:val="0"/>
            <w:vAlign w:val="center"/>
          </w:tcPr>
          <w:p w14:paraId="05224187">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7</w:t>
            </w:r>
          </w:p>
        </w:tc>
        <w:tc>
          <w:tcPr>
            <w:tcW w:w="726" w:type="dxa"/>
            <w:tcBorders>
              <w:tl2br w:val="nil"/>
              <w:tr2bl w:val="nil"/>
            </w:tcBorders>
            <w:noWrap w:val="0"/>
            <w:vAlign w:val="center"/>
          </w:tcPr>
          <w:p w14:paraId="488FA362">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各类投诉处理</w:t>
            </w:r>
          </w:p>
        </w:tc>
        <w:tc>
          <w:tcPr>
            <w:tcW w:w="2252" w:type="dxa"/>
            <w:tcBorders>
              <w:tl2br w:val="nil"/>
              <w:tr2bl w:val="nil"/>
            </w:tcBorders>
            <w:noWrap w:val="0"/>
            <w:vAlign w:val="center"/>
          </w:tcPr>
          <w:p w14:paraId="03E07F47">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群众通过12345政府服务热线投诉，或者通过电话和微信等投诉，记录详细规范，处置完毕后立即向市市政工程服务中心通报。</w:t>
            </w:r>
          </w:p>
        </w:tc>
        <w:tc>
          <w:tcPr>
            <w:tcW w:w="3240" w:type="dxa"/>
            <w:tcBorders>
              <w:tl2br w:val="nil"/>
              <w:tr2bl w:val="nil"/>
            </w:tcBorders>
            <w:noWrap w:val="0"/>
            <w:vAlign w:val="center"/>
          </w:tcPr>
          <w:p w14:paraId="3D1331F3">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群众通过12345政府服务热线投诉，或者通过电话和微信等投诉的有责事件每次扣1分，投诉有责事件未按要求时间节点及时处理的，每推迟1天扣1分，直至扣完。</w:t>
            </w:r>
          </w:p>
        </w:tc>
        <w:tc>
          <w:tcPr>
            <w:tcW w:w="600" w:type="dxa"/>
            <w:tcBorders>
              <w:tl2br w:val="nil"/>
              <w:tr2bl w:val="nil"/>
            </w:tcBorders>
            <w:noWrap w:val="0"/>
            <w:vAlign w:val="center"/>
          </w:tcPr>
          <w:p w14:paraId="1DE17955">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2</w:t>
            </w:r>
          </w:p>
        </w:tc>
        <w:tc>
          <w:tcPr>
            <w:tcW w:w="328" w:type="dxa"/>
            <w:tcBorders>
              <w:tl2br w:val="nil"/>
              <w:tr2bl w:val="nil"/>
            </w:tcBorders>
            <w:noWrap w:val="0"/>
            <w:vAlign w:val="center"/>
          </w:tcPr>
          <w:p w14:paraId="10A9B6E2">
            <w:pPr>
              <w:jc w:val="both"/>
              <w:rPr>
                <w:rFonts w:hint="eastAsia" w:ascii="宋体" w:hAnsi="宋体" w:eastAsia="宋体" w:cs="宋体"/>
                <w:i w:val="0"/>
                <w:iCs w:val="0"/>
                <w:color w:val="auto"/>
                <w:sz w:val="20"/>
                <w:szCs w:val="20"/>
                <w:highlight w:val="none"/>
                <w:u w:val="none"/>
              </w:rPr>
            </w:pPr>
          </w:p>
        </w:tc>
        <w:tc>
          <w:tcPr>
            <w:tcW w:w="370" w:type="dxa"/>
            <w:tcBorders>
              <w:tl2br w:val="nil"/>
              <w:tr2bl w:val="nil"/>
            </w:tcBorders>
            <w:noWrap w:val="0"/>
            <w:vAlign w:val="center"/>
          </w:tcPr>
          <w:p w14:paraId="1A49B0EF">
            <w:pPr>
              <w:jc w:val="both"/>
              <w:rPr>
                <w:rFonts w:hint="eastAsia" w:ascii="宋体" w:hAnsi="宋体" w:eastAsia="宋体" w:cs="宋体"/>
                <w:i w:val="0"/>
                <w:iCs w:val="0"/>
                <w:color w:val="auto"/>
                <w:sz w:val="20"/>
                <w:szCs w:val="20"/>
                <w:highlight w:val="none"/>
                <w:u w:val="none"/>
              </w:rPr>
            </w:pPr>
          </w:p>
        </w:tc>
        <w:tc>
          <w:tcPr>
            <w:tcW w:w="371" w:type="dxa"/>
            <w:tcBorders>
              <w:tl2br w:val="nil"/>
              <w:tr2bl w:val="nil"/>
            </w:tcBorders>
            <w:noWrap w:val="0"/>
            <w:vAlign w:val="center"/>
          </w:tcPr>
          <w:p w14:paraId="4A825884">
            <w:pPr>
              <w:jc w:val="both"/>
              <w:rPr>
                <w:rFonts w:hint="eastAsia" w:ascii="宋体" w:hAnsi="宋体" w:eastAsia="宋体" w:cs="宋体"/>
                <w:i w:val="0"/>
                <w:iCs w:val="0"/>
                <w:color w:val="auto"/>
                <w:sz w:val="20"/>
                <w:szCs w:val="20"/>
                <w:highlight w:val="none"/>
                <w:u w:val="none"/>
              </w:rPr>
            </w:pPr>
          </w:p>
        </w:tc>
        <w:tc>
          <w:tcPr>
            <w:tcW w:w="967" w:type="dxa"/>
            <w:tcBorders>
              <w:tl2br w:val="nil"/>
              <w:tr2bl w:val="nil"/>
            </w:tcBorders>
            <w:noWrap w:val="0"/>
            <w:vAlign w:val="center"/>
          </w:tcPr>
          <w:p w14:paraId="77B4A5FB">
            <w:pPr>
              <w:jc w:val="both"/>
              <w:rPr>
                <w:rFonts w:hint="eastAsia" w:ascii="宋体" w:hAnsi="宋体" w:eastAsia="宋体" w:cs="宋体"/>
                <w:i w:val="0"/>
                <w:iCs w:val="0"/>
                <w:color w:val="auto"/>
                <w:sz w:val="20"/>
                <w:szCs w:val="20"/>
                <w:highlight w:val="none"/>
                <w:u w:val="none"/>
              </w:rPr>
            </w:pPr>
          </w:p>
        </w:tc>
      </w:tr>
      <w:tr w14:paraId="1354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469" w:type="dxa"/>
            <w:tcBorders>
              <w:tl2br w:val="nil"/>
              <w:tr2bl w:val="nil"/>
            </w:tcBorders>
            <w:noWrap w:val="0"/>
            <w:vAlign w:val="center"/>
          </w:tcPr>
          <w:p w14:paraId="187957BC">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8</w:t>
            </w:r>
          </w:p>
        </w:tc>
        <w:tc>
          <w:tcPr>
            <w:tcW w:w="726" w:type="dxa"/>
            <w:tcBorders>
              <w:tl2br w:val="nil"/>
              <w:tr2bl w:val="nil"/>
            </w:tcBorders>
            <w:noWrap w:val="0"/>
            <w:vAlign w:val="center"/>
          </w:tcPr>
          <w:p w14:paraId="353C7240">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数字化城管系统派遣问题处理</w:t>
            </w:r>
          </w:p>
        </w:tc>
        <w:tc>
          <w:tcPr>
            <w:tcW w:w="2252" w:type="dxa"/>
            <w:tcBorders>
              <w:tl2br w:val="nil"/>
              <w:tr2bl w:val="nil"/>
            </w:tcBorders>
            <w:noWrap w:val="0"/>
            <w:vAlign w:val="center"/>
          </w:tcPr>
          <w:p w14:paraId="533F0C07">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属于市政责任范围内案件处置，处置率100%，处置完毕后立即向市指挥中心消案件。</w:t>
            </w:r>
          </w:p>
        </w:tc>
        <w:tc>
          <w:tcPr>
            <w:tcW w:w="3240" w:type="dxa"/>
            <w:tcBorders>
              <w:tl2br w:val="nil"/>
              <w:tr2bl w:val="nil"/>
            </w:tcBorders>
            <w:noWrap w:val="0"/>
            <w:vAlign w:val="center"/>
          </w:tcPr>
          <w:p w14:paraId="2B478839">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处置率达100%，每少1%扣0.5分，直至扣完。</w:t>
            </w:r>
          </w:p>
        </w:tc>
        <w:tc>
          <w:tcPr>
            <w:tcW w:w="600" w:type="dxa"/>
            <w:tcBorders>
              <w:tl2br w:val="nil"/>
              <w:tr2bl w:val="nil"/>
            </w:tcBorders>
            <w:noWrap w:val="0"/>
            <w:vAlign w:val="center"/>
          </w:tcPr>
          <w:p w14:paraId="407F4551">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4</w:t>
            </w:r>
          </w:p>
        </w:tc>
        <w:tc>
          <w:tcPr>
            <w:tcW w:w="328" w:type="dxa"/>
            <w:tcBorders>
              <w:tl2br w:val="nil"/>
              <w:tr2bl w:val="nil"/>
            </w:tcBorders>
            <w:noWrap w:val="0"/>
            <w:vAlign w:val="center"/>
          </w:tcPr>
          <w:p w14:paraId="7FA4F36B">
            <w:pPr>
              <w:jc w:val="both"/>
              <w:rPr>
                <w:rFonts w:hint="eastAsia" w:ascii="宋体" w:hAnsi="宋体" w:eastAsia="宋体" w:cs="宋体"/>
                <w:i w:val="0"/>
                <w:iCs w:val="0"/>
                <w:color w:val="auto"/>
                <w:sz w:val="20"/>
                <w:szCs w:val="20"/>
                <w:highlight w:val="none"/>
                <w:u w:val="none"/>
              </w:rPr>
            </w:pPr>
          </w:p>
        </w:tc>
        <w:tc>
          <w:tcPr>
            <w:tcW w:w="370" w:type="dxa"/>
            <w:tcBorders>
              <w:tl2br w:val="nil"/>
              <w:tr2bl w:val="nil"/>
            </w:tcBorders>
            <w:noWrap w:val="0"/>
            <w:vAlign w:val="center"/>
          </w:tcPr>
          <w:p w14:paraId="5B6AAA88">
            <w:pPr>
              <w:jc w:val="both"/>
              <w:rPr>
                <w:rFonts w:hint="eastAsia" w:ascii="宋体" w:hAnsi="宋体" w:eastAsia="宋体" w:cs="宋体"/>
                <w:i w:val="0"/>
                <w:iCs w:val="0"/>
                <w:color w:val="auto"/>
                <w:sz w:val="20"/>
                <w:szCs w:val="20"/>
                <w:highlight w:val="none"/>
                <w:u w:val="none"/>
              </w:rPr>
            </w:pPr>
          </w:p>
        </w:tc>
        <w:tc>
          <w:tcPr>
            <w:tcW w:w="371" w:type="dxa"/>
            <w:tcBorders>
              <w:tl2br w:val="nil"/>
              <w:tr2bl w:val="nil"/>
            </w:tcBorders>
            <w:noWrap w:val="0"/>
            <w:vAlign w:val="center"/>
          </w:tcPr>
          <w:p w14:paraId="62C975F8">
            <w:pPr>
              <w:jc w:val="both"/>
              <w:rPr>
                <w:rFonts w:hint="eastAsia" w:ascii="宋体" w:hAnsi="宋体" w:eastAsia="宋体" w:cs="宋体"/>
                <w:i w:val="0"/>
                <w:iCs w:val="0"/>
                <w:color w:val="auto"/>
                <w:sz w:val="20"/>
                <w:szCs w:val="20"/>
                <w:highlight w:val="none"/>
                <w:u w:val="none"/>
              </w:rPr>
            </w:pPr>
          </w:p>
        </w:tc>
        <w:tc>
          <w:tcPr>
            <w:tcW w:w="967" w:type="dxa"/>
            <w:tcBorders>
              <w:tl2br w:val="nil"/>
              <w:tr2bl w:val="nil"/>
            </w:tcBorders>
            <w:noWrap w:val="0"/>
            <w:vAlign w:val="center"/>
          </w:tcPr>
          <w:p w14:paraId="09949E21">
            <w:pPr>
              <w:jc w:val="both"/>
              <w:rPr>
                <w:rFonts w:hint="eastAsia" w:ascii="宋体" w:hAnsi="宋体" w:eastAsia="宋体" w:cs="宋体"/>
                <w:i w:val="0"/>
                <w:iCs w:val="0"/>
                <w:color w:val="auto"/>
                <w:sz w:val="20"/>
                <w:szCs w:val="20"/>
                <w:highlight w:val="none"/>
                <w:u w:val="none"/>
              </w:rPr>
            </w:pPr>
          </w:p>
        </w:tc>
      </w:tr>
      <w:tr w14:paraId="63E23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469" w:type="dxa"/>
            <w:tcBorders>
              <w:tl2br w:val="nil"/>
              <w:tr2bl w:val="nil"/>
            </w:tcBorders>
            <w:noWrap w:val="0"/>
            <w:vAlign w:val="center"/>
          </w:tcPr>
          <w:p w14:paraId="21866367">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9</w:t>
            </w:r>
          </w:p>
        </w:tc>
        <w:tc>
          <w:tcPr>
            <w:tcW w:w="726" w:type="dxa"/>
            <w:tcBorders>
              <w:tl2br w:val="nil"/>
              <w:tr2bl w:val="nil"/>
            </w:tcBorders>
            <w:noWrap w:val="0"/>
            <w:vAlign w:val="center"/>
          </w:tcPr>
          <w:p w14:paraId="71460B44">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工资保障</w:t>
            </w:r>
          </w:p>
        </w:tc>
        <w:tc>
          <w:tcPr>
            <w:tcW w:w="2252" w:type="dxa"/>
            <w:tcBorders>
              <w:tl2br w:val="nil"/>
              <w:tr2bl w:val="nil"/>
            </w:tcBorders>
            <w:noWrap w:val="0"/>
            <w:vAlign w:val="center"/>
          </w:tcPr>
          <w:p w14:paraId="54468F9D">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下个月15日前（遇到周末或节假日顺延）支付本月的农民工工资</w:t>
            </w:r>
          </w:p>
        </w:tc>
        <w:tc>
          <w:tcPr>
            <w:tcW w:w="3240" w:type="dxa"/>
            <w:tcBorders>
              <w:tl2br w:val="nil"/>
              <w:tr2bl w:val="nil"/>
            </w:tcBorders>
            <w:noWrap w:val="0"/>
            <w:vAlign w:val="center"/>
          </w:tcPr>
          <w:p w14:paraId="19B3CBCC">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未按规定时间支付农民工工资，扣完该项。</w:t>
            </w:r>
          </w:p>
        </w:tc>
        <w:tc>
          <w:tcPr>
            <w:tcW w:w="600" w:type="dxa"/>
            <w:tcBorders>
              <w:tl2br w:val="nil"/>
              <w:tr2bl w:val="nil"/>
            </w:tcBorders>
            <w:noWrap w:val="0"/>
            <w:vAlign w:val="center"/>
          </w:tcPr>
          <w:p w14:paraId="48E5F9F7">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3</w:t>
            </w:r>
          </w:p>
        </w:tc>
        <w:tc>
          <w:tcPr>
            <w:tcW w:w="328" w:type="dxa"/>
            <w:tcBorders>
              <w:tl2br w:val="nil"/>
              <w:tr2bl w:val="nil"/>
            </w:tcBorders>
            <w:noWrap w:val="0"/>
            <w:vAlign w:val="center"/>
          </w:tcPr>
          <w:p w14:paraId="3946749F">
            <w:pPr>
              <w:jc w:val="both"/>
              <w:rPr>
                <w:rFonts w:hint="eastAsia" w:ascii="宋体" w:hAnsi="宋体" w:eastAsia="宋体" w:cs="宋体"/>
                <w:i w:val="0"/>
                <w:iCs w:val="0"/>
                <w:color w:val="auto"/>
                <w:sz w:val="20"/>
                <w:szCs w:val="20"/>
                <w:highlight w:val="none"/>
                <w:u w:val="none"/>
              </w:rPr>
            </w:pPr>
          </w:p>
        </w:tc>
        <w:tc>
          <w:tcPr>
            <w:tcW w:w="370" w:type="dxa"/>
            <w:tcBorders>
              <w:tl2br w:val="nil"/>
              <w:tr2bl w:val="nil"/>
            </w:tcBorders>
            <w:noWrap w:val="0"/>
            <w:vAlign w:val="center"/>
          </w:tcPr>
          <w:p w14:paraId="3D84221B">
            <w:pPr>
              <w:jc w:val="both"/>
              <w:rPr>
                <w:rFonts w:hint="eastAsia" w:ascii="宋体" w:hAnsi="宋体" w:eastAsia="宋体" w:cs="宋体"/>
                <w:i w:val="0"/>
                <w:iCs w:val="0"/>
                <w:color w:val="auto"/>
                <w:sz w:val="20"/>
                <w:szCs w:val="20"/>
                <w:highlight w:val="none"/>
                <w:u w:val="none"/>
              </w:rPr>
            </w:pPr>
          </w:p>
        </w:tc>
        <w:tc>
          <w:tcPr>
            <w:tcW w:w="371" w:type="dxa"/>
            <w:tcBorders>
              <w:tl2br w:val="nil"/>
              <w:tr2bl w:val="nil"/>
            </w:tcBorders>
            <w:noWrap w:val="0"/>
            <w:vAlign w:val="center"/>
          </w:tcPr>
          <w:p w14:paraId="1EF250F7">
            <w:pPr>
              <w:jc w:val="both"/>
              <w:rPr>
                <w:rFonts w:hint="eastAsia" w:ascii="宋体" w:hAnsi="宋体" w:eastAsia="宋体" w:cs="宋体"/>
                <w:i w:val="0"/>
                <w:iCs w:val="0"/>
                <w:color w:val="auto"/>
                <w:sz w:val="20"/>
                <w:szCs w:val="20"/>
                <w:highlight w:val="none"/>
                <w:u w:val="none"/>
              </w:rPr>
            </w:pPr>
          </w:p>
        </w:tc>
        <w:tc>
          <w:tcPr>
            <w:tcW w:w="967" w:type="dxa"/>
            <w:tcBorders>
              <w:tl2br w:val="nil"/>
              <w:tr2bl w:val="nil"/>
            </w:tcBorders>
            <w:noWrap w:val="0"/>
            <w:vAlign w:val="center"/>
          </w:tcPr>
          <w:p w14:paraId="1C8EFB17">
            <w:pPr>
              <w:jc w:val="both"/>
              <w:rPr>
                <w:rFonts w:hint="eastAsia" w:ascii="宋体" w:hAnsi="宋体" w:eastAsia="宋体" w:cs="宋体"/>
                <w:i w:val="0"/>
                <w:iCs w:val="0"/>
                <w:color w:val="auto"/>
                <w:sz w:val="20"/>
                <w:szCs w:val="20"/>
                <w:highlight w:val="none"/>
                <w:u w:val="none"/>
              </w:rPr>
            </w:pPr>
          </w:p>
        </w:tc>
      </w:tr>
      <w:tr w14:paraId="5FBEF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469" w:type="dxa"/>
            <w:tcBorders>
              <w:tl2br w:val="nil"/>
              <w:tr2bl w:val="nil"/>
            </w:tcBorders>
            <w:noWrap w:val="0"/>
            <w:vAlign w:val="center"/>
          </w:tcPr>
          <w:p w14:paraId="75B7E3EA">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10</w:t>
            </w:r>
          </w:p>
        </w:tc>
        <w:tc>
          <w:tcPr>
            <w:tcW w:w="726" w:type="dxa"/>
            <w:vMerge w:val="restart"/>
            <w:tcBorders>
              <w:tl2br w:val="nil"/>
              <w:tr2bl w:val="nil"/>
            </w:tcBorders>
            <w:noWrap w:val="0"/>
            <w:vAlign w:val="center"/>
          </w:tcPr>
          <w:p w14:paraId="6B0E2AC9">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市政基础设施巡查</w:t>
            </w:r>
          </w:p>
        </w:tc>
        <w:tc>
          <w:tcPr>
            <w:tcW w:w="2252" w:type="dxa"/>
            <w:tcBorders>
              <w:tl2br w:val="nil"/>
              <w:tr2bl w:val="nil"/>
            </w:tcBorders>
            <w:noWrap w:val="0"/>
            <w:vAlign w:val="center"/>
          </w:tcPr>
          <w:p w14:paraId="677349C4">
            <w:pPr>
              <w:keepNext w:val="0"/>
              <w:keepLines w:val="0"/>
              <w:widowControl/>
              <w:suppressLineNumbers w:val="0"/>
              <w:jc w:val="left"/>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1.我局工作人员巡查发现城市道路路面有沉陷大于8cm、严重破碎板块、错台大于4cm、坑洞大于（20*20*8cm）、露骨、病害的。</w:t>
            </w:r>
          </w:p>
        </w:tc>
        <w:tc>
          <w:tcPr>
            <w:tcW w:w="3240" w:type="dxa"/>
            <w:tcBorders>
              <w:tl2br w:val="nil"/>
              <w:tr2bl w:val="nil"/>
            </w:tcBorders>
            <w:noWrap w:val="0"/>
            <w:vAlign w:val="center"/>
          </w:tcPr>
          <w:p w14:paraId="097B11CF">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考核时每发现一处扣1分；日常巡查发现的隐患告知施工企业后，4小时内未安排人员维修或设置警示保护措施的（以处理照片为准），每发现一起扣1分</w:t>
            </w:r>
            <w:r>
              <w:rPr>
                <w:rFonts w:hint="eastAsia" w:ascii="宋体" w:hAnsi="宋体" w:cs="宋体"/>
                <w:i w:val="0"/>
                <w:iCs w:val="0"/>
                <w:color w:val="auto"/>
                <w:sz w:val="20"/>
                <w:szCs w:val="20"/>
                <w:highlight w:val="none"/>
                <w:u w:val="none"/>
                <w:lang w:val="en-US" w:eastAsia="zh-CN" w:bidi="ar"/>
              </w:rPr>
              <w:t>，</w:t>
            </w:r>
            <w:r>
              <w:rPr>
                <w:rFonts w:hint="eastAsia" w:ascii="宋体" w:hAnsi="宋体" w:eastAsia="宋体" w:cs="宋体"/>
                <w:i w:val="0"/>
                <w:iCs w:val="0"/>
                <w:color w:val="auto"/>
                <w:sz w:val="20"/>
                <w:szCs w:val="20"/>
                <w:highlight w:val="none"/>
                <w:u w:val="none"/>
                <w:lang w:val="en-US" w:eastAsia="zh-CN" w:bidi="ar"/>
              </w:rPr>
              <w:t>直至扣完。</w:t>
            </w:r>
          </w:p>
        </w:tc>
        <w:tc>
          <w:tcPr>
            <w:tcW w:w="600" w:type="dxa"/>
            <w:tcBorders>
              <w:tl2br w:val="nil"/>
              <w:tr2bl w:val="nil"/>
            </w:tcBorders>
            <w:noWrap w:val="0"/>
            <w:vAlign w:val="center"/>
          </w:tcPr>
          <w:p w14:paraId="440E3003">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4</w:t>
            </w:r>
          </w:p>
        </w:tc>
        <w:tc>
          <w:tcPr>
            <w:tcW w:w="328" w:type="dxa"/>
            <w:tcBorders>
              <w:tl2br w:val="nil"/>
              <w:tr2bl w:val="nil"/>
            </w:tcBorders>
            <w:noWrap w:val="0"/>
            <w:vAlign w:val="center"/>
          </w:tcPr>
          <w:p w14:paraId="09AA21ED">
            <w:pPr>
              <w:rPr>
                <w:rFonts w:hint="eastAsia" w:ascii="宋体" w:hAnsi="宋体" w:eastAsia="宋体" w:cs="宋体"/>
                <w:i w:val="0"/>
                <w:iCs w:val="0"/>
                <w:color w:val="auto"/>
                <w:sz w:val="20"/>
                <w:szCs w:val="20"/>
                <w:highlight w:val="none"/>
                <w:u w:val="none"/>
              </w:rPr>
            </w:pPr>
          </w:p>
        </w:tc>
        <w:tc>
          <w:tcPr>
            <w:tcW w:w="370" w:type="dxa"/>
            <w:tcBorders>
              <w:tl2br w:val="nil"/>
              <w:tr2bl w:val="nil"/>
            </w:tcBorders>
            <w:noWrap w:val="0"/>
            <w:vAlign w:val="center"/>
          </w:tcPr>
          <w:p w14:paraId="5E2C51FE">
            <w:pPr>
              <w:rPr>
                <w:rFonts w:hint="eastAsia" w:ascii="宋体" w:hAnsi="宋体" w:eastAsia="宋体" w:cs="宋体"/>
                <w:i w:val="0"/>
                <w:iCs w:val="0"/>
                <w:color w:val="auto"/>
                <w:sz w:val="20"/>
                <w:szCs w:val="20"/>
                <w:highlight w:val="none"/>
                <w:u w:val="none"/>
              </w:rPr>
            </w:pPr>
          </w:p>
        </w:tc>
        <w:tc>
          <w:tcPr>
            <w:tcW w:w="371" w:type="dxa"/>
            <w:tcBorders>
              <w:tl2br w:val="nil"/>
              <w:tr2bl w:val="nil"/>
            </w:tcBorders>
            <w:noWrap w:val="0"/>
            <w:vAlign w:val="center"/>
          </w:tcPr>
          <w:p w14:paraId="50DD8F5B">
            <w:pPr>
              <w:rPr>
                <w:rFonts w:hint="eastAsia" w:ascii="宋体" w:hAnsi="宋体" w:eastAsia="宋体" w:cs="宋体"/>
                <w:i w:val="0"/>
                <w:iCs w:val="0"/>
                <w:color w:val="auto"/>
                <w:sz w:val="20"/>
                <w:szCs w:val="20"/>
                <w:highlight w:val="none"/>
                <w:u w:val="none"/>
              </w:rPr>
            </w:pPr>
          </w:p>
        </w:tc>
        <w:tc>
          <w:tcPr>
            <w:tcW w:w="967" w:type="dxa"/>
            <w:tcBorders>
              <w:tl2br w:val="nil"/>
              <w:tr2bl w:val="nil"/>
            </w:tcBorders>
            <w:noWrap w:val="0"/>
            <w:vAlign w:val="center"/>
          </w:tcPr>
          <w:p w14:paraId="4118F501">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日常考核</w:t>
            </w:r>
          </w:p>
        </w:tc>
      </w:tr>
      <w:tr w14:paraId="0B77C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469" w:type="dxa"/>
            <w:tcBorders>
              <w:tl2br w:val="nil"/>
              <w:tr2bl w:val="nil"/>
            </w:tcBorders>
            <w:noWrap w:val="0"/>
            <w:vAlign w:val="center"/>
          </w:tcPr>
          <w:p w14:paraId="73966FF0">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11</w:t>
            </w:r>
          </w:p>
        </w:tc>
        <w:tc>
          <w:tcPr>
            <w:tcW w:w="726" w:type="dxa"/>
            <w:vMerge w:val="continue"/>
            <w:tcBorders>
              <w:tl2br w:val="nil"/>
              <w:tr2bl w:val="nil"/>
            </w:tcBorders>
            <w:noWrap w:val="0"/>
            <w:vAlign w:val="center"/>
          </w:tcPr>
          <w:p w14:paraId="7A7B1935">
            <w:pPr>
              <w:jc w:val="center"/>
              <w:rPr>
                <w:rFonts w:hint="eastAsia" w:ascii="宋体" w:hAnsi="宋体" w:eastAsia="宋体" w:cs="宋体"/>
                <w:i w:val="0"/>
                <w:iCs w:val="0"/>
                <w:color w:val="auto"/>
                <w:sz w:val="20"/>
                <w:szCs w:val="20"/>
                <w:highlight w:val="none"/>
                <w:u w:val="none"/>
              </w:rPr>
            </w:pPr>
          </w:p>
        </w:tc>
        <w:tc>
          <w:tcPr>
            <w:tcW w:w="2252" w:type="dxa"/>
            <w:tcBorders>
              <w:tl2br w:val="nil"/>
              <w:tr2bl w:val="nil"/>
            </w:tcBorders>
            <w:noWrap w:val="0"/>
            <w:vAlign w:val="center"/>
          </w:tcPr>
          <w:p w14:paraId="7558835C">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2.我局工作人员巡查发现排水设施如井盖断裂或缺失、防坠网损坏或缺失的；井框破损，排水泵站房间脏乱差，灭火器材缺少，基础设施损坏，设备故障。</w:t>
            </w:r>
          </w:p>
        </w:tc>
        <w:tc>
          <w:tcPr>
            <w:tcW w:w="3240" w:type="dxa"/>
            <w:tcBorders>
              <w:tl2br w:val="nil"/>
              <w:tr2bl w:val="nil"/>
            </w:tcBorders>
            <w:noWrap w:val="0"/>
            <w:vAlign w:val="center"/>
          </w:tcPr>
          <w:p w14:paraId="067D10AA">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考核时每发现一处扣1分；日常巡查发现的隐患告知施工企业后</w:t>
            </w:r>
            <w:r>
              <w:rPr>
                <w:rFonts w:hint="eastAsia" w:ascii="宋体" w:hAnsi="宋体" w:cs="宋体"/>
                <w:i w:val="0"/>
                <w:iCs w:val="0"/>
                <w:color w:val="auto"/>
                <w:sz w:val="20"/>
                <w:szCs w:val="20"/>
                <w:highlight w:val="none"/>
                <w:u w:val="none"/>
                <w:lang w:val="en-US" w:eastAsia="zh-CN" w:bidi="ar"/>
              </w:rPr>
              <w:t>，</w:t>
            </w:r>
            <w:r>
              <w:rPr>
                <w:rFonts w:hint="eastAsia" w:ascii="宋体" w:hAnsi="宋体" w:eastAsia="宋体" w:cs="宋体"/>
                <w:i w:val="0"/>
                <w:iCs w:val="0"/>
                <w:color w:val="auto"/>
                <w:sz w:val="20"/>
                <w:szCs w:val="20"/>
                <w:highlight w:val="none"/>
                <w:u w:val="none"/>
                <w:lang w:val="en-US" w:eastAsia="zh-CN" w:bidi="ar"/>
              </w:rPr>
              <w:t>2小时内未安排人员维修或设置警示保护措施的及4小时内没有修复的，每发现一起扣1分</w:t>
            </w:r>
            <w:r>
              <w:rPr>
                <w:rFonts w:hint="eastAsia" w:ascii="宋体" w:hAnsi="宋体" w:cs="宋体"/>
                <w:i w:val="0"/>
                <w:iCs w:val="0"/>
                <w:color w:val="auto"/>
                <w:sz w:val="20"/>
                <w:szCs w:val="20"/>
                <w:highlight w:val="none"/>
                <w:u w:val="none"/>
                <w:lang w:val="en-US" w:eastAsia="zh-CN" w:bidi="ar"/>
              </w:rPr>
              <w:t>，</w:t>
            </w:r>
            <w:r>
              <w:rPr>
                <w:rFonts w:hint="eastAsia" w:ascii="宋体" w:hAnsi="宋体" w:eastAsia="宋体" w:cs="宋体"/>
                <w:i w:val="0"/>
                <w:iCs w:val="0"/>
                <w:color w:val="auto"/>
                <w:sz w:val="20"/>
                <w:szCs w:val="20"/>
                <w:highlight w:val="none"/>
                <w:u w:val="none"/>
                <w:lang w:val="en-US" w:eastAsia="zh-CN" w:bidi="ar"/>
              </w:rPr>
              <w:t>直至扣完。</w:t>
            </w:r>
          </w:p>
        </w:tc>
        <w:tc>
          <w:tcPr>
            <w:tcW w:w="600" w:type="dxa"/>
            <w:tcBorders>
              <w:tl2br w:val="nil"/>
              <w:tr2bl w:val="nil"/>
            </w:tcBorders>
            <w:noWrap w:val="0"/>
            <w:vAlign w:val="center"/>
          </w:tcPr>
          <w:p w14:paraId="527E7804">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6</w:t>
            </w:r>
          </w:p>
        </w:tc>
        <w:tc>
          <w:tcPr>
            <w:tcW w:w="328" w:type="dxa"/>
            <w:tcBorders>
              <w:tl2br w:val="nil"/>
              <w:tr2bl w:val="nil"/>
            </w:tcBorders>
            <w:noWrap w:val="0"/>
            <w:vAlign w:val="center"/>
          </w:tcPr>
          <w:p w14:paraId="16A9E4C5">
            <w:pPr>
              <w:jc w:val="both"/>
              <w:rPr>
                <w:rFonts w:hint="eastAsia" w:ascii="宋体" w:hAnsi="宋体" w:eastAsia="宋体" w:cs="宋体"/>
                <w:i w:val="0"/>
                <w:iCs w:val="0"/>
                <w:color w:val="auto"/>
                <w:sz w:val="20"/>
                <w:szCs w:val="20"/>
                <w:highlight w:val="none"/>
                <w:u w:val="none"/>
              </w:rPr>
            </w:pPr>
          </w:p>
        </w:tc>
        <w:tc>
          <w:tcPr>
            <w:tcW w:w="370" w:type="dxa"/>
            <w:tcBorders>
              <w:tl2br w:val="nil"/>
              <w:tr2bl w:val="nil"/>
            </w:tcBorders>
            <w:noWrap w:val="0"/>
            <w:vAlign w:val="center"/>
          </w:tcPr>
          <w:p w14:paraId="1368C6BD">
            <w:pPr>
              <w:jc w:val="both"/>
              <w:rPr>
                <w:rFonts w:hint="eastAsia" w:ascii="宋体" w:hAnsi="宋体" w:eastAsia="宋体" w:cs="宋体"/>
                <w:i w:val="0"/>
                <w:iCs w:val="0"/>
                <w:color w:val="auto"/>
                <w:sz w:val="20"/>
                <w:szCs w:val="20"/>
                <w:highlight w:val="none"/>
                <w:u w:val="none"/>
              </w:rPr>
            </w:pPr>
          </w:p>
        </w:tc>
        <w:tc>
          <w:tcPr>
            <w:tcW w:w="371" w:type="dxa"/>
            <w:tcBorders>
              <w:tl2br w:val="nil"/>
              <w:tr2bl w:val="nil"/>
            </w:tcBorders>
            <w:noWrap w:val="0"/>
            <w:vAlign w:val="center"/>
          </w:tcPr>
          <w:p w14:paraId="3746C81D">
            <w:pPr>
              <w:jc w:val="both"/>
              <w:rPr>
                <w:rFonts w:hint="eastAsia" w:ascii="宋体" w:hAnsi="宋体" w:eastAsia="宋体" w:cs="宋体"/>
                <w:i w:val="0"/>
                <w:iCs w:val="0"/>
                <w:color w:val="auto"/>
                <w:sz w:val="20"/>
                <w:szCs w:val="20"/>
                <w:highlight w:val="none"/>
                <w:u w:val="none"/>
              </w:rPr>
            </w:pPr>
          </w:p>
        </w:tc>
        <w:tc>
          <w:tcPr>
            <w:tcW w:w="967" w:type="dxa"/>
            <w:tcBorders>
              <w:tl2br w:val="nil"/>
              <w:tr2bl w:val="nil"/>
            </w:tcBorders>
            <w:noWrap w:val="0"/>
            <w:vAlign w:val="center"/>
          </w:tcPr>
          <w:p w14:paraId="4CD8F857">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日常考核</w:t>
            </w:r>
          </w:p>
        </w:tc>
      </w:tr>
      <w:tr w14:paraId="7A735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469" w:type="dxa"/>
            <w:tcBorders>
              <w:tl2br w:val="nil"/>
              <w:tr2bl w:val="nil"/>
            </w:tcBorders>
            <w:noWrap w:val="0"/>
            <w:vAlign w:val="center"/>
          </w:tcPr>
          <w:p w14:paraId="59AF5AC6">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12</w:t>
            </w:r>
          </w:p>
        </w:tc>
        <w:tc>
          <w:tcPr>
            <w:tcW w:w="726" w:type="dxa"/>
            <w:vMerge w:val="continue"/>
            <w:tcBorders>
              <w:tl2br w:val="nil"/>
              <w:tr2bl w:val="nil"/>
            </w:tcBorders>
            <w:noWrap w:val="0"/>
            <w:vAlign w:val="center"/>
          </w:tcPr>
          <w:p w14:paraId="25EEDFE1">
            <w:pPr>
              <w:jc w:val="center"/>
              <w:rPr>
                <w:rFonts w:hint="eastAsia" w:ascii="宋体" w:hAnsi="宋体" w:eastAsia="宋体" w:cs="宋体"/>
                <w:i w:val="0"/>
                <w:iCs w:val="0"/>
                <w:color w:val="auto"/>
                <w:sz w:val="20"/>
                <w:szCs w:val="20"/>
                <w:highlight w:val="none"/>
                <w:u w:val="none"/>
              </w:rPr>
            </w:pPr>
          </w:p>
        </w:tc>
        <w:tc>
          <w:tcPr>
            <w:tcW w:w="2252" w:type="dxa"/>
            <w:tcBorders>
              <w:tl2br w:val="nil"/>
              <w:tr2bl w:val="nil"/>
            </w:tcBorders>
            <w:noWrap w:val="0"/>
            <w:vAlign w:val="center"/>
          </w:tcPr>
          <w:p w14:paraId="26D97424">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3.我局工作人员巡查发现人行道有产生坑洞、沉陷和缺失病害的大于（100*100*6cm），路缘石和防护设施损坏大于60cm的</w:t>
            </w:r>
            <w:r>
              <w:rPr>
                <w:rFonts w:hint="eastAsia" w:ascii="宋体" w:hAnsi="宋体" w:cs="宋体"/>
                <w:i w:val="0"/>
                <w:iCs w:val="0"/>
                <w:color w:val="auto"/>
                <w:sz w:val="20"/>
                <w:szCs w:val="20"/>
                <w:highlight w:val="none"/>
                <w:u w:val="none"/>
                <w:lang w:val="en-US" w:eastAsia="zh-CN" w:bidi="ar"/>
              </w:rPr>
              <w:t>。</w:t>
            </w:r>
          </w:p>
        </w:tc>
        <w:tc>
          <w:tcPr>
            <w:tcW w:w="3240" w:type="dxa"/>
            <w:tcBorders>
              <w:tl2br w:val="nil"/>
              <w:tr2bl w:val="nil"/>
            </w:tcBorders>
            <w:noWrap w:val="0"/>
            <w:vAlign w:val="center"/>
          </w:tcPr>
          <w:p w14:paraId="2A199274">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考核时每发现一处扣1分；日常巡查发现的隐患告知施工企业后，2小时内未安排人员维修或设置警示保护措施的，每发现一起扣1分</w:t>
            </w:r>
            <w:r>
              <w:rPr>
                <w:rFonts w:hint="eastAsia" w:ascii="宋体" w:hAnsi="宋体" w:cs="宋体"/>
                <w:i w:val="0"/>
                <w:iCs w:val="0"/>
                <w:color w:val="auto"/>
                <w:sz w:val="20"/>
                <w:szCs w:val="20"/>
                <w:highlight w:val="none"/>
                <w:u w:val="none"/>
                <w:lang w:val="en-US" w:eastAsia="zh-CN" w:bidi="ar"/>
              </w:rPr>
              <w:t>，</w:t>
            </w:r>
            <w:r>
              <w:rPr>
                <w:rFonts w:hint="eastAsia" w:ascii="宋体" w:hAnsi="宋体" w:eastAsia="宋体" w:cs="宋体"/>
                <w:i w:val="0"/>
                <w:iCs w:val="0"/>
                <w:color w:val="auto"/>
                <w:sz w:val="20"/>
                <w:szCs w:val="20"/>
                <w:highlight w:val="none"/>
                <w:u w:val="none"/>
                <w:lang w:val="en-US" w:eastAsia="zh-CN" w:bidi="ar"/>
              </w:rPr>
              <w:t>直至扣完。</w:t>
            </w:r>
          </w:p>
        </w:tc>
        <w:tc>
          <w:tcPr>
            <w:tcW w:w="600" w:type="dxa"/>
            <w:tcBorders>
              <w:tl2br w:val="nil"/>
              <w:tr2bl w:val="nil"/>
            </w:tcBorders>
            <w:noWrap w:val="0"/>
            <w:vAlign w:val="center"/>
          </w:tcPr>
          <w:p w14:paraId="12D64314">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3</w:t>
            </w:r>
          </w:p>
        </w:tc>
        <w:tc>
          <w:tcPr>
            <w:tcW w:w="328" w:type="dxa"/>
            <w:tcBorders>
              <w:tl2br w:val="nil"/>
              <w:tr2bl w:val="nil"/>
            </w:tcBorders>
            <w:noWrap w:val="0"/>
            <w:vAlign w:val="center"/>
          </w:tcPr>
          <w:p w14:paraId="799E84BC">
            <w:pPr>
              <w:jc w:val="both"/>
              <w:rPr>
                <w:rFonts w:hint="eastAsia" w:ascii="宋体" w:hAnsi="宋体" w:eastAsia="宋体" w:cs="宋体"/>
                <w:i w:val="0"/>
                <w:iCs w:val="0"/>
                <w:color w:val="auto"/>
                <w:sz w:val="20"/>
                <w:szCs w:val="20"/>
                <w:highlight w:val="none"/>
                <w:u w:val="none"/>
              </w:rPr>
            </w:pPr>
          </w:p>
        </w:tc>
        <w:tc>
          <w:tcPr>
            <w:tcW w:w="370" w:type="dxa"/>
            <w:tcBorders>
              <w:tl2br w:val="nil"/>
              <w:tr2bl w:val="nil"/>
            </w:tcBorders>
            <w:noWrap w:val="0"/>
            <w:vAlign w:val="center"/>
          </w:tcPr>
          <w:p w14:paraId="551CC08D">
            <w:pPr>
              <w:jc w:val="both"/>
              <w:rPr>
                <w:rFonts w:hint="eastAsia" w:ascii="宋体" w:hAnsi="宋体" w:eastAsia="宋体" w:cs="宋体"/>
                <w:i w:val="0"/>
                <w:iCs w:val="0"/>
                <w:color w:val="auto"/>
                <w:sz w:val="20"/>
                <w:szCs w:val="20"/>
                <w:highlight w:val="none"/>
                <w:u w:val="none"/>
              </w:rPr>
            </w:pPr>
          </w:p>
        </w:tc>
        <w:tc>
          <w:tcPr>
            <w:tcW w:w="371" w:type="dxa"/>
            <w:tcBorders>
              <w:tl2br w:val="nil"/>
              <w:tr2bl w:val="nil"/>
            </w:tcBorders>
            <w:noWrap w:val="0"/>
            <w:vAlign w:val="center"/>
          </w:tcPr>
          <w:p w14:paraId="1B5F6815">
            <w:pPr>
              <w:jc w:val="both"/>
              <w:rPr>
                <w:rFonts w:hint="eastAsia" w:ascii="宋体" w:hAnsi="宋体" w:eastAsia="宋体" w:cs="宋体"/>
                <w:i w:val="0"/>
                <w:iCs w:val="0"/>
                <w:color w:val="auto"/>
                <w:sz w:val="20"/>
                <w:szCs w:val="20"/>
                <w:highlight w:val="none"/>
                <w:u w:val="none"/>
              </w:rPr>
            </w:pPr>
          </w:p>
        </w:tc>
        <w:tc>
          <w:tcPr>
            <w:tcW w:w="967" w:type="dxa"/>
            <w:tcBorders>
              <w:tl2br w:val="nil"/>
              <w:tr2bl w:val="nil"/>
            </w:tcBorders>
            <w:noWrap w:val="0"/>
            <w:vAlign w:val="center"/>
          </w:tcPr>
          <w:p w14:paraId="4119D5C3">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日常考核</w:t>
            </w:r>
          </w:p>
        </w:tc>
      </w:tr>
      <w:tr w14:paraId="57ED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469" w:type="dxa"/>
            <w:tcBorders>
              <w:tl2br w:val="nil"/>
              <w:tr2bl w:val="nil"/>
            </w:tcBorders>
            <w:noWrap w:val="0"/>
            <w:vAlign w:val="center"/>
          </w:tcPr>
          <w:p w14:paraId="05916BDE">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13</w:t>
            </w:r>
          </w:p>
        </w:tc>
        <w:tc>
          <w:tcPr>
            <w:tcW w:w="726" w:type="dxa"/>
            <w:vMerge w:val="continue"/>
            <w:tcBorders>
              <w:tl2br w:val="nil"/>
              <w:tr2bl w:val="nil"/>
            </w:tcBorders>
            <w:noWrap w:val="0"/>
            <w:vAlign w:val="center"/>
          </w:tcPr>
          <w:p w14:paraId="6EE3F493">
            <w:pPr>
              <w:jc w:val="center"/>
              <w:rPr>
                <w:rFonts w:hint="eastAsia" w:ascii="宋体" w:hAnsi="宋体" w:eastAsia="宋体" w:cs="宋体"/>
                <w:i w:val="0"/>
                <w:iCs w:val="0"/>
                <w:color w:val="auto"/>
                <w:sz w:val="20"/>
                <w:szCs w:val="20"/>
                <w:highlight w:val="none"/>
                <w:u w:val="none"/>
              </w:rPr>
            </w:pPr>
          </w:p>
        </w:tc>
        <w:tc>
          <w:tcPr>
            <w:tcW w:w="2252" w:type="dxa"/>
            <w:tcBorders>
              <w:tl2br w:val="nil"/>
              <w:tr2bl w:val="nil"/>
            </w:tcBorders>
            <w:noWrap w:val="0"/>
            <w:vAlign w:val="center"/>
          </w:tcPr>
          <w:p w14:paraId="4BBDDF8B">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4.我局工作人员巡查发现桥梁路面铺装、栏杆、伸缩缝、墩台、锥坡、翼墙、排水设施有病害的。</w:t>
            </w:r>
          </w:p>
        </w:tc>
        <w:tc>
          <w:tcPr>
            <w:tcW w:w="3240" w:type="dxa"/>
            <w:tcBorders>
              <w:tl2br w:val="nil"/>
              <w:tr2bl w:val="nil"/>
            </w:tcBorders>
            <w:noWrap w:val="0"/>
            <w:vAlign w:val="center"/>
          </w:tcPr>
          <w:p w14:paraId="71FCC8D1">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考核时每发现一处扣1分；日常巡查发现的隐患告知施工企业后，24小时内未安排人员维修或设置警示保护措施的，每发现一起扣1分</w:t>
            </w:r>
            <w:r>
              <w:rPr>
                <w:rFonts w:hint="eastAsia" w:ascii="宋体" w:hAnsi="宋体" w:cs="宋体"/>
                <w:i w:val="0"/>
                <w:iCs w:val="0"/>
                <w:color w:val="auto"/>
                <w:sz w:val="20"/>
                <w:szCs w:val="20"/>
                <w:highlight w:val="none"/>
                <w:u w:val="none"/>
                <w:lang w:val="en-US" w:eastAsia="zh-CN" w:bidi="ar"/>
              </w:rPr>
              <w:t>，</w:t>
            </w:r>
            <w:r>
              <w:rPr>
                <w:rFonts w:hint="eastAsia" w:ascii="宋体" w:hAnsi="宋体" w:eastAsia="宋体" w:cs="宋体"/>
                <w:i w:val="0"/>
                <w:iCs w:val="0"/>
                <w:color w:val="auto"/>
                <w:sz w:val="20"/>
                <w:szCs w:val="20"/>
                <w:highlight w:val="none"/>
                <w:u w:val="none"/>
                <w:lang w:val="en-US" w:eastAsia="zh-CN" w:bidi="ar"/>
              </w:rPr>
              <w:t>直至扣完。</w:t>
            </w:r>
          </w:p>
        </w:tc>
        <w:tc>
          <w:tcPr>
            <w:tcW w:w="600" w:type="dxa"/>
            <w:tcBorders>
              <w:tl2br w:val="nil"/>
              <w:tr2bl w:val="nil"/>
            </w:tcBorders>
            <w:noWrap w:val="0"/>
            <w:vAlign w:val="center"/>
          </w:tcPr>
          <w:p w14:paraId="6FDB3D32">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2</w:t>
            </w:r>
          </w:p>
        </w:tc>
        <w:tc>
          <w:tcPr>
            <w:tcW w:w="328" w:type="dxa"/>
            <w:tcBorders>
              <w:tl2br w:val="nil"/>
              <w:tr2bl w:val="nil"/>
            </w:tcBorders>
            <w:noWrap w:val="0"/>
            <w:vAlign w:val="center"/>
          </w:tcPr>
          <w:p w14:paraId="1EE99832">
            <w:pPr>
              <w:jc w:val="both"/>
              <w:rPr>
                <w:rFonts w:hint="eastAsia" w:ascii="宋体" w:hAnsi="宋体" w:eastAsia="宋体" w:cs="宋体"/>
                <w:i w:val="0"/>
                <w:iCs w:val="0"/>
                <w:color w:val="auto"/>
                <w:sz w:val="20"/>
                <w:szCs w:val="20"/>
                <w:highlight w:val="none"/>
                <w:u w:val="none"/>
              </w:rPr>
            </w:pPr>
          </w:p>
        </w:tc>
        <w:tc>
          <w:tcPr>
            <w:tcW w:w="370" w:type="dxa"/>
            <w:tcBorders>
              <w:tl2br w:val="nil"/>
              <w:tr2bl w:val="nil"/>
            </w:tcBorders>
            <w:noWrap w:val="0"/>
            <w:vAlign w:val="center"/>
          </w:tcPr>
          <w:p w14:paraId="22528659">
            <w:pPr>
              <w:jc w:val="both"/>
              <w:rPr>
                <w:rFonts w:hint="eastAsia" w:ascii="宋体" w:hAnsi="宋体" w:eastAsia="宋体" w:cs="宋体"/>
                <w:i w:val="0"/>
                <w:iCs w:val="0"/>
                <w:color w:val="auto"/>
                <w:sz w:val="20"/>
                <w:szCs w:val="20"/>
                <w:highlight w:val="none"/>
                <w:u w:val="none"/>
              </w:rPr>
            </w:pPr>
          </w:p>
        </w:tc>
        <w:tc>
          <w:tcPr>
            <w:tcW w:w="371" w:type="dxa"/>
            <w:tcBorders>
              <w:tl2br w:val="nil"/>
              <w:tr2bl w:val="nil"/>
            </w:tcBorders>
            <w:noWrap w:val="0"/>
            <w:vAlign w:val="center"/>
          </w:tcPr>
          <w:p w14:paraId="3B53A656">
            <w:pPr>
              <w:jc w:val="both"/>
              <w:rPr>
                <w:rFonts w:hint="eastAsia" w:ascii="宋体" w:hAnsi="宋体" w:eastAsia="宋体" w:cs="宋体"/>
                <w:i w:val="0"/>
                <w:iCs w:val="0"/>
                <w:color w:val="auto"/>
                <w:sz w:val="20"/>
                <w:szCs w:val="20"/>
                <w:highlight w:val="none"/>
                <w:u w:val="none"/>
              </w:rPr>
            </w:pPr>
          </w:p>
        </w:tc>
        <w:tc>
          <w:tcPr>
            <w:tcW w:w="967" w:type="dxa"/>
            <w:tcBorders>
              <w:tl2br w:val="nil"/>
              <w:tr2bl w:val="nil"/>
            </w:tcBorders>
            <w:noWrap w:val="0"/>
            <w:vAlign w:val="center"/>
          </w:tcPr>
          <w:p w14:paraId="393DDFD6">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日常考核</w:t>
            </w:r>
          </w:p>
        </w:tc>
      </w:tr>
      <w:tr w14:paraId="3990C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0" w:hRule="atLeast"/>
          <w:jc w:val="center"/>
        </w:trPr>
        <w:tc>
          <w:tcPr>
            <w:tcW w:w="469" w:type="dxa"/>
            <w:tcBorders>
              <w:tl2br w:val="nil"/>
              <w:tr2bl w:val="nil"/>
            </w:tcBorders>
            <w:noWrap w:val="0"/>
            <w:vAlign w:val="center"/>
          </w:tcPr>
          <w:p w14:paraId="31E1FDB4">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14</w:t>
            </w:r>
          </w:p>
        </w:tc>
        <w:tc>
          <w:tcPr>
            <w:tcW w:w="726" w:type="dxa"/>
            <w:vMerge w:val="continue"/>
            <w:tcBorders>
              <w:tl2br w:val="nil"/>
              <w:tr2bl w:val="nil"/>
            </w:tcBorders>
            <w:noWrap w:val="0"/>
            <w:vAlign w:val="center"/>
          </w:tcPr>
          <w:p w14:paraId="08771CC0">
            <w:pPr>
              <w:jc w:val="center"/>
              <w:rPr>
                <w:rFonts w:hint="eastAsia" w:ascii="宋体" w:hAnsi="宋体" w:eastAsia="宋体" w:cs="宋体"/>
                <w:i w:val="0"/>
                <w:iCs w:val="0"/>
                <w:color w:val="auto"/>
                <w:sz w:val="20"/>
                <w:szCs w:val="20"/>
                <w:highlight w:val="none"/>
                <w:u w:val="none"/>
              </w:rPr>
            </w:pPr>
          </w:p>
        </w:tc>
        <w:tc>
          <w:tcPr>
            <w:tcW w:w="2252" w:type="dxa"/>
            <w:tcBorders>
              <w:tl2br w:val="nil"/>
              <w:tr2bl w:val="nil"/>
            </w:tcBorders>
            <w:noWrap w:val="0"/>
            <w:vAlign w:val="center"/>
          </w:tcPr>
          <w:p w14:paraId="64A73D3D">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1.我局工作人员巡查发现城市道路路面隔离栏、挡车柱等损坏。</w:t>
            </w:r>
          </w:p>
        </w:tc>
        <w:tc>
          <w:tcPr>
            <w:tcW w:w="3240" w:type="dxa"/>
            <w:tcBorders>
              <w:tl2br w:val="nil"/>
              <w:tr2bl w:val="nil"/>
            </w:tcBorders>
            <w:noWrap w:val="0"/>
            <w:vAlign w:val="center"/>
          </w:tcPr>
          <w:p w14:paraId="16A6C6E4">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考核时每发现一处扣1分；日常巡查发现的隐患告知施工企业后，24小时内未安排人员维修或设置警示保护措施的，每发现一起扣1分</w:t>
            </w:r>
            <w:r>
              <w:rPr>
                <w:rFonts w:hint="eastAsia" w:ascii="宋体" w:hAnsi="宋体" w:cs="宋体"/>
                <w:i w:val="0"/>
                <w:iCs w:val="0"/>
                <w:color w:val="auto"/>
                <w:sz w:val="20"/>
                <w:szCs w:val="20"/>
                <w:highlight w:val="none"/>
                <w:u w:val="none"/>
                <w:lang w:val="en-US" w:eastAsia="zh-CN" w:bidi="ar"/>
              </w:rPr>
              <w:t>，</w:t>
            </w:r>
            <w:r>
              <w:rPr>
                <w:rFonts w:hint="eastAsia" w:ascii="宋体" w:hAnsi="宋体" w:eastAsia="宋体" w:cs="宋体"/>
                <w:i w:val="0"/>
                <w:iCs w:val="0"/>
                <w:color w:val="auto"/>
                <w:sz w:val="20"/>
                <w:szCs w:val="20"/>
                <w:highlight w:val="none"/>
                <w:u w:val="none"/>
                <w:lang w:val="en-US" w:eastAsia="zh-CN" w:bidi="ar"/>
              </w:rPr>
              <w:t>直至扣完。</w:t>
            </w:r>
          </w:p>
        </w:tc>
        <w:tc>
          <w:tcPr>
            <w:tcW w:w="600" w:type="dxa"/>
            <w:tcBorders>
              <w:tl2br w:val="nil"/>
              <w:tr2bl w:val="nil"/>
            </w:tcBorders>
            <w:noWrap w:val="0"/>
            <w:vAlign w:val="center"/>
          </w:tcPr>
          <w:p w14:paraId="1358D101">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5</w:t>
            </w:r>
          </w:p>
        </w:tc>
        <w:tc>
          <w:tcPr>
            <w:tcW w:w="328" w:type="dxa"/>
            <w:tcBorders>
              <w:tl2br w:val="nil"/>
              <w:tr2bl w:val="nil"/>
            </w:tcBorders>
            <w:noWrap w:val="0"/>
            <w:vAlign w:val="center"/>
          </w:tcPr>
          <w:p w14:paraId="3AEAB5A9">
            <w:pPr>
              <w:jc w:val="both"/>
              <w:rPr>
                <w:rFonts w:hint="eastAsia" w:ascii="宋体" w:hAnsi="宋体" w:eastAsia="宋体" w:cs="宋体"/>
                <w:i w:val="0"/>
                <w:iCs w:val="0"/>
                <w:color w:val="auto"/>
                <w:sz w:val="20"/>
                <w:szCs w:val="20"/>
                <w:highlight w:val="none"/>
                <w:u w:val="none"/>
              </w:rPr>
            </w:pPr>
          </w:p>
        </w:tc>
        <w:tc>
          <w:tcPr>
            <w:tcW w:w="370" w:type="dxa"/>
            <w:tcBorders>
              <w:tl2br w:val="nil"/>
              <w:tr2bl w:val="nil"/>
            </w:tcBorders>
            <w:noWrap w:val="0"/>
            <w:vAlign w:val="center"/>
          </w:tcPr>
          <w:p w14:paraId="797CDE17">
            <w:pPr>
              <w:jc w:val="both"/>
              <w:rPr>
                <w:rFonts w:hint="eastAsia" w:ascii="宋体" w:hAnsi="宋体" w:eastAsia="宋体" w:cs="宋体"/>
                <w:i w:val="0"/>
                <w:iCs w:val="0"/>
                <w:color w:val="auto"/>
                <w:sz w:val="20"/>
                <w:szCs w:val="20"/>
                <w:highlight w:val="none"/>
                <w:u w:val="none"/>
              </w:rPr>
            </w:pPr>
          </w:p>
        </w:tc>
        <w:tc>
          <w:tcPr>
            <w:tcW w:w="371" w:type="dxa"/>
            <w:tcBorders>
              <w:tl2br w:val="nil"/>
              <w:tr2bl w:val="nil"/>
            </w:tcBorders>
            <w:noWrap w:val="0"/>
            <w:vAlign w:val="center"/>
          </w:tcPr>
          <w:p w14:paraId="7A82E006">
            <w:pPr>
              <w:jc w:val="both"/>
              <w:rPr>
                <w:rFonts w:hint="eastAsia" w:ascii="宋体" w:hAnsi="宋体" w:eastAsia="宋体" w:cs="宋体"/>
                <w:i w:val="0"/>
                <w:iCs w:val="0"/>
                <w:color w:val="auto"/>
                <w:sz w:val="20"/>
                <w:szCs w:val="20"/>
                <w:highlight w:val="none"/>
                <w:u w:val="none"/>
              </w:rPr>
            </w:pPr>
          </w:p>
        </w:tc>
        <w:tc>
          <w:tcPr>
            <w:tcW w:w="967" w:type="dxa"/>
            <w:tcBorders>
              <w:tl2br w:val="nil"/>
              <w:tr2bl w:val="nil"/>
            </w:tcBorders>
            <w:noWrap w:val="0"/>
            <w:vAlign w:val="center"/>
          </w:tcPr>
          <w:p w14:paraId="781C205A">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日常考核</w:t>
            </w:r>
          </w:p>
        </w:tc>
      </w:tr>
      <w:tr w14:paraId="1656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469" w:type="dxa"/>
            <w:tcBorders>
              <w:tl2br w:val="nil"/>
              <w:tr2bl w:val="nil"/>
            </w:tcBorders>
            <w:noWrap w:val="0"/>
            <w:vAlign w:val="center"/>
          </w:tcPr>
          <w:p w14:paraId="557866D2">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15</w:t>
            </w:r>
          </w:p>
        </w:tc>
        <w:tc>
          <w:tcPr>
            <w:tcW w:w="726" w:type="dxa"/>
            <w:tcBorders>
              <w:tl2br w:val="nil"/>
              <w:tr2bl w:val="nil"/>
            </w:tcBorders>
            <w:noWrap w:val="0"/>
            <w:vAlign w:val="center"/>
          </w:tcPr>
          <w:p w14:paraId="7BB5ABA8">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安全文明施工</w:t>
            </w:r>
          </w:p>
        </w:tc>
        <w:tc>
          <w:tcPr>
            <w:tcW w:w="2252" w:type="dxa"/>
            <w:tcBorders>
              <w:tl2br w:val="nil"/>
              <w:tr2bl w:val="nil"/>
            </w:tcBorders>
            <w:noWrap w:val="0"/>
            <w:vAlign w:val="center"/>
          </w:tcPr>
          <w:p w14:paraId="072BA905">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施工现场无安全责任事件（故），施工现场需设置围挡、车辆导向牌、施工提示牌、安全警示灯；施工现场及周边环境卫生、整洁，施工完成及时清理垃圾；工人规定穿着反光衣。</w:t>
            </w:r>
          </w:p>
        </w:tc>
        <w:tc>
          <w:tcPr>
            <w:tcW w:w="3240" w:type="dxa"/>
            <w:tcBorders>
              <w:tl2br w:val="nil"/>
              <w:tr2bl w:val="nil"/>
            </w:tcBorders>
            <w:noWrap w:val="0"/>
            <w:vAlign w:val="center"/>
          </w:tcPr>
          <w:p w14:paraId="71D0CE75">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施工现场出现安全责任事件（故）的，扣完该项分数；项目公示牌，施工提示牌，车辆导向牌，不按规定摆放无安全警示灯，反光标志不醒目不齐全每处扣1分；施工现场留有施工人员生活垃圾，影响周边环境卫生、路面有现场拌水泥留有痕迹不整洁，施工垃圾未及时清理，每次扣1分。没有按规定穿着反光衣的，有穿拖鞋的，不戴安全帽的，横穿马路不走斑马线的，每人每次扣1分。直至扣完。</w:t>
            </w:r>
          </w:p>
        </w:tc>
        <w:tc>
          <w:tcPr>
            <w:tcW w:w="600" w:type="dxa"/>
            <w:tcBorders>
              <w:tl2br w:val="nil"/>
              <w:tr2bl w:val="nil"/>
            </w:tcBorders>
            <w:noWrap w:val="0"/>
            <w:vAlign w:val="center"/>
          </w:tcPr>
          <w:p w14:paraId="7CC0FDC7">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20</w:t>
            </w:r>
          </w:p>
        </w:tc>
        <w:tc>
          <w:tcPr>
            <w:tcW w:w="328" w:type="dxa"/>
            <w:tcBorders>
              <w:tl2br w:val="nil"/>
              <w:tr2bl w:val="nil"/>
            </w:tcBorders>
            <w:noWrap w:val="0"/>
            <w:vAlign w:val="center"/>
          </w:tcPr>
          <w:p w14:paraId="42594BA3">
            <w:pPr>
              <w:jc w:val="both"/>
              <w:rPr>
                <w:rFonts w:hint="eastAsia" w:ascii="宋体" w:hAnsi="宋体" w:eastAsia="宋体" w:cs="宋体"/>
                <w:i w:val="0"/>
                <w:iCs w:val="0"/>
                <w:color w:val="auto"/>
                <w:sz w:val="20"/>
                <w:szCs w:val="20"/>
                <w:highlight w:val="none"/>
                <w:u w:val="none"/>
              </w:rPr>
            </w:pPr>
          </w:p>
        </w:tc>
        <w:tc>
          <w:tcPr>
            <w:tcW w:w="370" w:type="dxa"/>
            <w:tcBorders>
              <w:tl2br w:val="nil"/>
              <w:tr2bl w:val="nil"/>
            </w:tcBorders>
            <w:noWrap w:val="0"/>
            <w:vAlign w:val="center"/>
          </w:tcPr>
          <w:p w14:paraId="13566DC0">
            <w:pPr>
              <w:jc w:val="both"/>
              <w:rPr>
                <w:rFonts w:hint="eastAsia" w:ascii="宋体" w:hAnsi="宋体" w:eastAsia="宋体" w:cs="宋体"/>
                <w:i w:val="0"/>
                <w:iCs w:val="0"/>
                <w:color w:val="auto"/>
                <w:sz w:val="20"/>
                <w:szCs w:val="20"/>
                <w:highlight w:val="none"/>
                <w:u w:val="none"/>
              </w:rPr>
            </w:pPr>
          </w:p>
        </w:tc>
        <w:tc>
          <w:tcPr>
            <w:tcW w:w="371" w:type="dxa"/>
            <w:tcBorders>
              <w:tl2br w:val="nil"/>
              <w:tr2bl w:val="nil"/>
            </w:tcBorders>
            <w:noWrap w:val="0"/>
            <w:vAlign w:val="center"/>
          </w:tcPr>
          <w:p w14:paraId="596277A9">
            <w:pPr>
              <w:jc w:val="both"/>
              <w:rPr>
                <w:rFonts w:hint="eastAsia" w:ascii="宋体" w:hAnsi="宋体" w:eastAsia="宋体" w:cs="宋体"/>
                <w:i w:val="0"/>
                <w:iCs w:val="0"/>
                <w:color w:val="auto"/>
                <w:sz w:val="20"/>
                <w:szCs w:val="20"/>
                <w:highlight w:val="none"/>
                <w:u w:val="none"/>
              </w:rPr>
            </w:pPr>
          </w:p>
        </w:tc>
        <w:tc>
          <w:tcPr>
            <w:tcW w:w="967" w:type="dxa"/>
            <w:tcBorders>
              <w:tl2br w:val="nil"/>
              <w:tr2bl w:val="nil"/>
            </w:tcBorders>
            <w:noWrap w:val="0"/>
            <w:vAlign w:val="center"/>
          </w:tcPr>
          <w:p w14:paraId="5C132241">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日常考核（现场扣除）</w:t>
            </w:r>
          </w:p>
        </w:tc>
      </w:tr>
      <w:tr w14:paraId="19546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469" w:type="dxa"/>
            <w:tcBorders>
              <w:tl2br w:val="nil"/>
              <w:tr2bl w:val="nil"/>
            </w:tcBorders>
            <w:noWrap w:val="0"/>
            <w:vAlign w:val="center"/>
          </w:tcPr>
          <w:p w14:paraId="048F0E1F">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16</w:t>
            </w:r>
          </w:p>
        </w:tc>
        <w:tc>
          <w:tcPr>
            <w:tcW w:w="726" w:type="dxa"/>
            <w:tcBorders>
              <w:tl2br w:val="nil"/>
              <w:tr2bl w:val="nil"/>
            </w:tcBorders>
            <w:noWrap w:val="0"/>
            <w:vAlign w:val="center"/>
          </w:tcPr>
          <w:p w14:paraId="3462ECFB">
            <w:pPr>
              <w:keepNext w:val="0"/>
              <w:keepLines w:val="0"/>
              <w:widowControl/>
              <w:suppressLineNumbers w:val="0"/>
              <w:jc w:val="left"/>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工程质量验收</w:t>
            </w:r>
          </w:p>
        </w:tc>
        <w:tc>
          <w:tcPr>
            <w:tcW w:w="2252" w:type="dxa"/>
            <w:tcBorders>
              <w:tl2br w:val="nil"/>
              <w:tr2bl w:val="nil"/>
            </w:tcBorders>
            <w:noWrap w:val="0"/>
            <w:vAlign w:val="center"/>
          </w:tcPr>
          <w:p w14:paraId="2E2444BA">
            <w:pPr>
              <w:keepNext w:val="0"/>
              <w:keepLines w:val="0"/>
              <w:widowControl/>
              <w:suppressLineNumbers w:val="0"/>
              <w:jc w:val="left"/>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维修养护质量达到《市政工程质量验收标准》</w:t>
            </w:r>
            <w:r>
              <w:rPr>
                <w:rFonts w:hint="eastAsia" w:ascii="宋体" w:hAnsi="宋体" w:cs="宋体"/>
                <w:i w:val="0"/>
                <w:iCs w:val="0"/>
                <w:color w:val="auto"/>
                <w:sz w:val="20"/>
                <w:szCs w:val="20"/>
                <w:highlight w:val="none"/>
                <w:u w:val="none"/>
                <w:lang w:val="en-US" w:eastAsia="zh-CN" w:bidi="ar"/>
              </w:rPr>
              <w:t>。</w:t>
            </w:r>
          </w:p>
        </w:tc>
        <w:tc>
          <w:tcPr>
            <w:tcW w:w="3240" w:type="dxa"/>
            <w:tcBorders>
              <w:tl2br w:val="nil"/>
              <w:tr2bl w:val="nil"/>
            </w:tcBorders>
            <w:noWrap w:val="0"/>
            <w:vAlign w:val="center"/>
          </w:tcPr>
          <w:p w14:paraId="3CD4435C">
            <w:pPr>
              <w:keepNext w:val="0"/>
              <w:keepLines w:val="0"/>
              <w:widowControl/>
              <w:suppressLineNumbers w:val="0"/>
              <w:jc w:val="left"/>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在维修养护过程中，每发现一处质量不合格（1.沥青维修碾压不够造成翻砂、下沉；2.混凝土维修达不到设计强度、出现开裂、下沉；3.人行道维修不平整、透水砖损坏、路缘石损坏、检查井改损坏等）现场发现每处扣1分，直至扣完。</w:t>
            </w:r>
          </w:p>
        </w:tc>
        <w:tc>
          <w:tcPr>
            <w:tcW w:w="600" w:type="dxa"/>
            <w:tcBorders>
              <w:tl2br w:val="nil"/>
              <w:tr2bl w:val="nil"/>
            </w:tcBorders>
            <w:noWrap w:val="0"/>
            <w:vAlign w:val="center"/>
          </w:tcPr>
          <w:p w14:paraId="1993B699">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10</w:t>
            </w:r>
          </w:p>
        </w:tc>
        <w:tc>
          <w:tcPr>
            <w:tcW w:w="328" w:type="dxa"/>
            <w:tcBorders>
              <w:tl2br w:val="nil"/>
              <w:tr2bl w:val="nil"/>
            </w:tcBorders>
            <w:noWrap w:val="0"/>
            <w:vAlign w:val="center"/>
          </w:tcPr>
          <w:p w14:paraId="61780410">
            <w:pPr>
              <w:rPr>
                <w:rFonts w:hint="eastAsia" w:ascii="宋体" w:hAnsi="宋体" w:eastAsia="宋体" w:cs="宋体"/>
                <w:i w:val="0"/>
                <w:iCs w:val="0"/>
                <w:color w:val="auto"/>
                <w:sz w:val="20"/>
                <w:szCs w:val="20"/>
                <w:highlight w:val="none"/>
                <w:u w:val="none"/>
              </w:rPr>
            </w:pPr>
          </w:p>
        </w:tc>
        <w:tc>
          <w:tcPr>
            <w:tcW w:w="370" w:type="dxa"/>
            <w:tcBorders>
              <w:tl2br w:val="nil"/>
              <w:tr2bl w:val="nil"/>
            </w:tcBorders>
            <w:noWrap w:val="0"/>
            <w:vAlign w:val="center"/>
          </w:tcPr>
          <w:p w14:paraId="7CBACFD5">
            <w:pPr>
              <w:rPr>
                <w:rFonts w:hint="eastAsia" w:ascii="宋体" w:hAnsi="宋体" w:eastAsia="宋体" w:cs="宋体"/>
                <w:i w:val="0"/>
                <w:iCs w:val="0"/>
                <w:color w:val="auto"/>
                <w:sz w:val="20"/>
                <w:szCs w:val="20"/>
                <w:highlight w:val="none"/>
                <w:u w:val="none"/>
              </w:rPr>
            </w:pPr>
          </w:p>
        </w:tc>
        <w:tc>
          <w:tcPr>
            <w:tcW w:w="371" w:type="dxa"/>
            <w:tcBorders>
              <w:tl2br w:val="nil"/>
              <w:tr2bl w:val="nil"/>
            </w:tcBorders>
            <w:noWrap w:val="0"/>
            <w:vAlign w:val="center"/>
          </w:tcPr>
          <w:p w14:paraId="3613C8C5">
            <w:pPr>
              <w:rPr>
                <w:rFonts w:hint="eastAsia" w:ascii="宋体" w:hAnsi="宋体" w:eastAsia="宋体" w:cs="宋体"/>
                <w:i w:val="0"/>
                <w:iCs w:val="0"/>
                <w:color w:val="auto"/>
                <w:sz w:val="20"/>
                <w:szCs w:val="20"/>
                <w:highlight w:val="none"/>
                <w:u w:val="none"/>
              </w:rPr>
            </w:pPr>
          </w:p>
        </w:tc>
        <w:tc>
          <w:tcPr>
            <w:tcW w:w="967" w:type="dxa"/>
            <w:tcBorders>
              <w:tl2br w:val="nil"/>
              <w:tr2bl w:val="nil"/>
            </w:tcBorders>
            <w:noWrap w:val="0"/>
            <w:vAlign w:val="center"/>
          </w:tcPr>
          <w:p w14:paraId="46B004F5">
            <w:pPr>
              <w:rPr>
                <w:rFonts w:hint="eastAsia" w:ascii="宋体" w:hAnsi="宋体" w:eastAsia="宋体" w:cs="宋体"/>
                <w:i w:val="0"/>
                <w:iCs w:val="0"/>
                <w:color w:val="auto"/>
                <w:sz w:val="20"/>
                <w:szCs w:val="20"/>
                <w:highlight w:val="none"/>
                <w:u w:val="none"/>
              </w:rPr>
            </w:pPr>
          </w:p>
        </w:tc>
      </w:tr>
      <w:tr w14:paraId="272BE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9" w:type="dxa"/>
            <w:tcBorders>
              <w:tl2br w:val="nil"/>
              <w:tr2bl w:val="nil"/>
            </w:tcBorders>
            <w:noWrap/>
            <w:vAlign w:val="center"/>
          </w:tcPr>
          <w:p w14:paraId="194A4CB6">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17</w:t>
            </w:r>
          </w:p>
        </w:tc>
        <w:tc>
          <w:tcPr>
            <w:tcW w:w="726" w:type="dxa"/>
            <w:tcBorders>
              <w:tl2br w:val="nil"/>
              <w:tr2bl w:val="nil"/>
            </w:tcBorders>
            <w:noWrap w:val="0"/>
            <w:vAlign w:val="center"/>
          </w:tcPr>
          <w:p w14:paraId="39C37A9A">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施工进度考核</w:t>
            </w:r>
          </w:p>
        </w:tc>
        <w:tc>
          <w:tcPr>
            <w:tcW w:w="2252" w:type="dxa"/>
            <w:tcBorders>
              <w:tl2br w:val="nil"/>
              <w:tr2bl w:val="nil"/>
            </w:tcBorders>
            <w:noWrap w:val="0"/>
            <w:vAlign w:val="center"/>
          </w:tcPr>
          <w:p w14:paraId="61773ADC">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按照维修计划实施</w:t>
            </w:r>
            <w:r>
              <w:rPr>
                <w:rFonts w:hint="eastAsia" w:ascii="宋体" w:hAnsi="宋体" w:cs="宋体"/>
                <w:i w:val="0"/>
                <w:iCs w:val="0"/>
                <w:color w:val="auto"/>
                <w:sz w:val="20"/>
                <w:szCs w:val="20"/>
                <w:highlight w:val="none"/>
                <w:u w:val="none"/>
                <w:lang w:val="en-US" w:eastAsia="zh-CN" w:bidi="ar"/>
              </w:rPr>
              <w:t>。</w:t>
            </w:r>
          </w:p>
        </w:tc>
        <w:tc>
          <w:tcPr>
            <w:tcW w:w="3240" w:type="dxa"/>
            <w:tcBorders>
              <w:tl2br w:val="nil"/>
              <w:tr2bl w:val="nil"/>
            </w:tcBorders>
            <w:noWrap w:val="0"/>
            <w:vAlign w:val="center"/>
          </w:tcPr>
          <w:p w14:paraId="2FE6A7DD">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没有完成维修计划的，每一项扣1分（特殊情况除外，如养护期长，下雨及业主要求暂停的除外），扣完为止。</w:t>
            </w:r>
          </w:p>
        </w:tc>
        <w:tc>
          <w:tcPr>
            <w:tcW w:w="600" w:type="dxa"/>
            <w:tcBorders>
              <w:tl2br w:val="nil"/>
              <w:tr2bl w:val="nil"/>
            </w:tcBorders>
            <w:noWrap w:val="0"/>
            <w:vAlign w:val="center"/>
          </w:tcPr>
          <w:p w14:paraId="282FE8C6">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5</w:t>
            </w:r>
          </w:p>
        </w:tc>
        <w:tc>
          <w:tcPr>
            <w:tcW w:w="328" w:type="dxa"/>
            <w:tcBorders>
              <w:tl2br w:val="nil"/>
              <w:tr2bl w:val="nil"/>
            </w:tcBorders>
            <w:noWrap w:val="0"/>
            <w:vAlign w:val="center"/>
          </w:tcPr>
          <w:p w14:paraId="4E544914">
            <w:pPr>
              <w:keepNext w:val="0"/>
              <w:keepLines w:val="0"/>
              <w:widowControl/>
              <w:suppressLineNumbers w:val="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 xml:space="preserve"> </w:t>
            </w:r>
          </w:p>
        </w:tc>
        <w:tc>
          <w:tcPr>
            <w:tcW w:w="370" w:type="dxa"/>
            <w:tcBorders>
              <w:tl2br w:val="nil"/>
              <w:tr2bl w:val="nil"/>
            </w:tcBorders>
            <w:noWrap w:val="0"/>
            <w:vAlign w:val="center"/>
          </w:tcPr>
          <w:p w14:paraId="67E1E7CF">
            <w:pPr>
              <w:jc w:val="both"/>
              <w:rPr>
                <w:rFonts w:hint="eastAsia" w:ascii="宋体" w:hAnsi="宋体" w:eastAsia="宋体" w:cs="宋体"/>
                <w:i w:val="0"/>
                <w:iCs w:val="0"/>
                <w:color w:val="auto"/>
                <w:sz w:val="20"/>
                <w:szCs w:val="20"/>
                <w:highlight w:val="none"/>
                <w:u w:val="none"/>
              </w:rPr>
            </w:pPr>
          </w:p>
        </w:tc>
        <w:tc>
          <w:tcPr>
            <w:tcW w:w="371" w:type="dxa"/>
            <w:tcBorders>
              <w:tl2br w:val="nil"/>
              <w:tr2bl w:val="nil"/>
            </w:tcBorders>
            <w:noWrap w:val="0"/>
            <w:vAlign w:val="center"/>
          </w:tcPr>
          <w:p w14:paraId="24DD69EF">
            <w:pPr>
              <w:jc w:val="both"/>
              <w:rPr>
                <w:rFonts w:hint="eastAsia" w:ascii="宋体" w:hAnsi="宋体" w:eastAsia="宋体" w:cs="宋体"/>
                <w:i w:val="0"/>
                <w:iCs w:val="0"/>
                <w:color w:val="auto"/>
                <w:sz w:val="20"/>
                <w:szCs w:val="20"/>
                <w:highlight w:val="none"/>
                <w:u w:val="none"/>
              </w:rPr>
            </w:pPr>
          </w:p>
        </w:tc>
        <w:tc>
          <w:tcPr>
            <w:tcW w:w="967" w:type="dxa"/>
            <w:tcBorders>
              <w:tl2br w:val="nil"/>
              <w:tr2bl w:val="nil"/>
            </w:tcBorders>
            <w:noWrap w:val="0"/>
            <w:vAlign w:val="center"/>
          </w:tcPr>
          <w:p w14:paraId="0F42593E">
            <w:pPr>
              <w:jc w:val="both"/>
              <w:rPr>
                <w:rFonts w:hint="eastAsia" w:ascii="宋体" w:hAnsi="宋体" w:eastAsia="宋体" w:cs="宋体"/>
                <w:i w:val="0"/>
                <w:iCs w:val="0"/>
                <w:color w:val="auto"/>
                <w:sz w:val="20"/>
                <w:szCs w:val="20"/>
                <w:highlight w:val="none"/>
                <w:u w:val="none"/>
              </w:rPr>
            </w:pPr>
          </w:p>
        </w:tc>
      </w:tr>
      <w:tr w14:paraId="456AD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469" w:type="dxa"/>
            <w:tcBorders>
              <w:tl2br w:val="nil"/>
              <w:tr2bl w:val="nil"/>
            </w:tcBorders>
            <w:noWrap/>
            <w:vAlign w:val="center"/>
          </w:tcPr>
          <w:p w14:paraId="549AABA8">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总分</w:t>
            </w:r>
          </w:p>
        </w:tc>
        <w:tc>
          <w:tcPr>
            <w:tcW w:w="726" w:type="dxa"/>
            <w:tcBorders>
              <w:tl2br w:val="nil"/>
              <w:tr2bl w:val="nil"/>
            </w:tcBorders>
            <w:noWrap w:val="0"/>
            <w:vAlign w:val="center"/>
          </w:tcPr>
          <w:p w14:paraId="1C0E8A5D">
            <w:pPr>
              <w:jc w:val="both"/>
              <w:rPr>
                <w:rFonts w:hint="eastAsia" w:ascii="宋体" w:hAnsi="宋体" w:eastAsia="宋体" w:cs="宋体"/>
                <w:i w:val="0"/>
                <w:iCs w:val="0"/>
                <w:color w:val="auto"/>
                <w:sz w:val="20"/>
                <w:szCs w:val="20"/>
                <w:highlight w:val="none"/>
                <w:u w:val="none"/>
              </w:rPr>
            </w:pPr>
          </w:p>
        </w:tc>
        <w:tc>
          <w:tcPr>
            <w:tcW w:w="2252" w:type="dxa"/>
            <w:tcBorders>
              <w:tl2br w:val="nil"/>
              <w:tr2bl w:val="nil"/>
            </w:tcBorders>
            <w:noWrap w:val="0"/>
            <w:vAlign w:val="center"/>
          </w:tcPr>
          <w:p w14:paraId="0F13BB18">
            <w:pPr>
              <w:jc w:val="both"/>
              <w:rPr>
                <w:color w:val="auto"/>
                <w:sz w:val="20"/>
                <w:szCs w:val="20"/>
                <w:highlight w:val="none"/>
              </w:rPr>
            </w:pPr>
          </w:p>
        </w:tc>
        <w:tc>
          <w:tcPr>
            <w:tcW w:w="3240" w:type="dxa"/>
            <w:tcBorders>
              <w:tl2br w:val="nil"/>
              <w:tr2bl w:val="nil"/>
            </w:tcBorders>
            <w:noWrap w:val="0"/>
            <w:vAlign w:val="center"/>
          </w:tcPr>
          <w:p w14:paraId="79EC2080">
            <w:pPr>
              <w:jc w:val="both"/>
              <w:rPr>
                <w:color w:val="auto"/>
                <w:sz w:val="20"/>
                <w:szCs w:val="20"/>
                <w:highlight w:val="none"/>
              </w:rPr>
            </w:pPr>
          </w:p>
        </w:tc>
        <w:tc>
          <w:tcPr>
            <w:tcW w:w="600" w:type="dxa"/>
            <w:tcBorders>
              <w:tl2br w:val="nil"/>
              <w:tr2bl w:val="nil"/>
            </w:tcBorders>
            <w:noWrap w:val="0"/>
            <w:vAlign w:val="center"/>
          </w:tcPr>
          <w:p w14:paraId="52EA4484">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100</w:t>
            </w:r>
          </w:p>
        </w:tc>
        <w:tc>
          <w:tcPr>
            <w:tcW w:w="328" w:type="dxa"/>
            <w:tcBorders>
              <w:tl2br w:val="nil"/>
              <w:tr2bl w:val="nil"/>
            </w:tcBorders>
            <w:noWrap w:val="0"/>
            <w:vAlign w:val="center"/>
          </w:tcPr>
          <w:p w14:paraId="1E62820B">
            <w:pPr>
              <w:jc w:val="both"/>
              <w:rPr>
                <w:color w:val="auto"/>
                <w:sz w:val="20"/>
                <w:szCs w:val="20"/>
                <w:highlight w:val="none"/>
              </w:rPr>
            </w:pPr>
          </w:p>
        </w:tc>
        <w:tc>
          <w:tcPr>
            <w:tcW w:w="370" w:type="dxa"/>
            <w:tcBorders>
              <w:tl2br w:val="nil"/>
              <w:tr2bl w:val="nil"/>
            </w:tcBorders>
            <w:noWrap w:val="0"/>
            <w:vAlign w:val="center"/>
          </w:tcPr>
          <w:p w14:paraId="489C6F27">
            <w:pPr>
              <w:jc w:val="both"/>
              <w:rPr>
                <w:color w:val="auto"/>
                <w:sz w:val="20"/>
                <w:szCs w:val="20"/>
                <w:highlight w:val="none"/>
              </w:rPr>
            </w:pPr>
          </w:p>
        </w:tc>
        <w:tc>
          <w:tcPr>
            <w:tcW w:w="371" w:type="dxa"/>
            <w:tcBorders>
              <w:tl2br w:val="nil"/>
              <w:tr2bl w:val="nil"/>
            </w:tcBorders>
            <w:noWrap w:val="0"/>
            <w:vAlign w:val="center"/>
          </w:tcPr>
          <w:p w14:paraId="025B00CE">
            <w:pPr>
              <w:jc w:val="both"/>
              <w:rPr>
                <w:color w:val="auto"/>
                <w:sz w:val="20"/>
                <w:szCs w:val="20"/>
                <w:highlight w:val="none"/>
              </w:rPr>
            </w:pPr>
          </w:p>
        </w:tc>
        <w:tc>
          <w:tcPr>
            <w:tcW w:w="967" w:type="dxa"/>
            <w:tcBorders>
              <w:tl2br w:val="nil"/>
              <w:tr2bl w:val="nil"/>
            </w:tcBorders>
            <w:noWrap w:val="0"/>
            <w:vAlign w:val="center"/>
          </w:tcPr>
          <w:p w14:paraId="66F8BB10">
            <w:pPr>
              <w:jc w:val="both"/>
              <w:rPr>
                <w:color w:val="auto"/>
                <w:sz w:val="20"/>
                <w:szCs w:val="20"/>
                <w:highlight w:val="none"/>
              </w:rPr>
            </w:pPr>
          </w:p>
        </w:tc>
      </w:tr>
      <w:tr w14:paraId="01D7D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9323" w:type="dxa"/>
            <w:gridSpan w:val="9"/>
            <w:tcBorders>
              <w:tl2br w:val="nil"/>
              <w:tr2bl w:val="nil"/>
            </w:tcBorders>
            <w:noWrap/>
            <w:vAlign w:val="center"/>
          </w:tcPr>
          <w:p w14:paraId="53B627E8">
            <w:pPr>
              <w:jc w:val="both"/>
              <w:rPr>
                <w:color w:val="auto"/>
                <w:sz w:val="20"/>
                <w:szCs w:val="20"/>
                <w:highlight w:val="none"/>
              </w:rPr>
            </w:pPr>
            <w:r>
              <w:rPr>
                <w:rFonts w:hint="eastAsia"/>
                <w:color w:val="auto"/>
                <w:sz w:val="20"/>
                <w:szCs w:val="20"/>
                <w:highlight w:val="none"/>
              </w:rPr>
              <w:t>备注：总分为100分，每期考核分数高于90分(含90分)不作处罚，低于90分，每扣1分处罚当期结算价的1%，低于80分每扣1分处罚当期结算价的1.5%，低于70分每扣1分处罚当期结算价的2%，处罚费用在下次送审结算之中核减，低于60分每扣1分处罚当期结算价的</w:t>
            </w:r>
            <w:r>
              <w:rPr>
                <w:rFonts w:hint="eastAsia"/>
                <w:color w:val="auto"/>
                <w:sz w:val="20"/>
                <w:szCs w:val="20"/>
                <w:highlight w:val="none"/>
                <w:lang w:val="en-US" w:eastAsia="zh-CN"/>
              </w:rPr>
              <w:t>2.5</w:t>
            </w:r>
            <w:r>
              <w:rPr>
                <w:rFonts w:hint="eastAsia"/>
                <w:color w:val="auto"/>
                <w:sz w:val="20"/>
                <w:szCs w:val="20"/>
                <w:highlight w:val="none"/>
              </w:rPr>
              <w:t>%同时采购人有权依法解除合同。</w:t>
            </w:r>
          </w:p>
        </w:tc>
      </w:tr>
    </w:tbl>
    <w:p w14:paraId="77EA1BDD">
      <w:pPr>
        <w:widowControl/>
        <w:rPr>
          <w:rFonts w:hint="eastAsia" w:ascii="宋体"/>
          <w:color w:val="auto"/>
          <w:szCs w:val="20"/>
          <w:highlight w:val="none"/>
        </w:rPr>
      </w:pPr>
    </w:p>
    <w:p w14:paraId="457AD55C">
      <w:pPr>
        <w:widowControl/>
        <w:rPr>
          <w:rFonts w:hint="eastAsia" w:ascii="宋体"/>
          <w:color w:val="auto"/>
          <w:szCs w:val="20"/>
          <w:highlight w:val="none"/>
        </w:rPr>
      </w:pPr>
      <w:r>
        <w:rPr>
          <w:rFonts w:hint="eastAsia" w:ascii="宋体"/>
          <w:color w:val="auto"/>
          <w:szCs w:val="20"/>
          <w:highlight w:val="none"/>
        </w:rPr>
        <w:t>评分人:                                           评分日期：     年      月      日</w:t>
      </w:r>
    </w:p>
    <w:p w14:paraId="5C991A52">
      <w:pPr>
        <w:pStyle w:val="222"/>
        <w:jc w:val="both"/>
        <w:rPr>
          <w:rFonts w:hint="eastAsia"/>
          <w:b/>
          <w:color w:val="auto"/>
          <w:sz w:val="28"/>
          <w:szCs w:val="28"/>
          <w:highlight w:val="none"/>
        </w:rPr>
      </w:pPr>
    </w:p>
    <w:p w14:paraId="7BEDDD0D">
      <w:pPr>
        <w:pStyle w:val="222"/>
        <w:jc w:val="center"/>
        <w:rPr>
          <w:rFonts w:hint="eastAsia"/>
          <w:b/>
          <w:color w:val="auto"/>
          <w:sz w:val="28"/>
          <w:szCs w:val="28"/>
          <w:highlight w:val="none"/>
        </w:rPr>
      </w:pPr>
      <w:r>
        <w:rPr>
          <w:rFonts w:hint="eastAsia"/>
          <w:b/>
          <w:color w:val="auto"/>
          <w:sz w:val="28"/>
          <w:szCs w:val="28"/>
          <w:highlight w:val="none"/>
        </w:rPr>
        <w:t>中小企业划型标准规定</w:t>
      </w:r>
    </w:p>
    <w:p w14:paraId="00B25920">
      <w:pPr>
        <w:pStyle w:val="222"/>
        <w:jc w:val="center"/>
        <w:rPr>
          <w:rFonts w:ascii="宋体" w:hAnsi="宋体"/>
          <w:color w:val="auto"/>
          <w:sz w:val="21"/>
          <w:szCs w:val="21"/>
          <w:highlight w:val="none"/>
        </w:rPr>
      </w:pPr>
      <w:r>
        <w:rPr>
          <w:rFonts w:hint="eastAsia" w:ascii="宋体" w:hAnsi="宋体"/>
          <w:color w:val="auto"/>
          <w:szCs w:val="21"/>
          <w:highlight w:val="none"/>
        </w:rPr>
        <w:t>工信部联企业[2011]300号</w:t>
      </w:r>
    </w:p>
    <w:p w14:paraId="18F5F80C">
      <w:pPr>
        <w:pStyle w:val="222"/>
        <w:rPr>
          <w:rFonts w:hint="eastAsia"/>
          <w:color w:val="auto"/>
          <w:szCs w:val="21"/>
          <w:highlight w:val="none"/>
        </w:rPr>
      </w:pPr>
    </w:p>
    <w:p w14:paraId="4136F6AB">
      <w:pPr>
        <w:pStyle w:val="222"/>
        <w:rPr>
          <w:color w:val="auto"/>
          <w:szCs w:val="21"/>
          <w:highlight w:val="none"/>
        </w:rPr>
      </w:pPr>
      <w:r>
        <w:rPr>
          <w:rFonts w:hint="eastAsia"/>
          <w:color w:val="auto"/>
          <w:szCs w:val="21"/>
          <w:highlight w:val="none"/>
        </w:rPr>
        <w:t>　　一、根据《中华人民共和国中小企业促进法》和《国务院关于进一步促进中小企业发展的若干意见》</w:t>
      </w:r>
      <w:r>
        <w:rPr>
          <w:color w:val="auto"/>
          <w:szCs w:val="21"/>
          <w:highlight w:val="none"/>
        </w:rPr>
        <w:t>(</w:t>
      </w:r>
      <w:r>
        <w:rPr>
          <w:rFonts w:hint="eastAsia"/>
          <w:color w:val="auto"/>
          <w:szCs w:val="21"/>
          <w:highlight w:val="none"/>
        </w:rPr>
        <w:t>国发</w:t>
      </w:r>
      <w:r>
        <w:rPr>
          <w:color w:val="auto"/>
          <w:szCs w:val="21"/>
          <w:highlight w:val="none"/>
        </w:rPr>
        <w:t>[2009]36</w:t>
      </w:r>
      <w:r>
        <w:rPr>
          <w:rFonts w:hint="eastAsia"/>
          <w:color w:val="auto"/>
          <w:szCs w:val="21"/>
          <w:highlight w:val="none"/>
        </w:rPr>
        <w:t>号</w:t>
      </w:r>
      <w:r>
        <w:rPr>
          <w:color w:val="auto"/>
          <w:szCs w:val="21"/>
          <w:highlight w:val="none"/>
        </w:rPr>
        <w:t>)</w:t>
      </w:r>
      <w:r>
        <w:rPr>
          <w:rFonts w:hint="eastAsia"/>
          <w:color w:val="auto"/>
          <w:szCs w:val="21"/>
          <w:highlight w:val="none"/>
        </w:rPr>
        <w:t>，制定本规定。</w:t>
      </w:r>
    </w:p>
    <w:p w14:paraId="34D7DEB6">
      <w:pPr>
        <w:pStyle w:val="222"/>
        <w:rPr>
          <w:color w:val="auto"/>
          <w:szCs w:val="21"/>
          <w:highlight w:val="none"/>
        </w:rPr>
      </w:pPr>
      <w:r>
        <w:rPr>
          <w:rFonts w:hint="eastAsia"/>
          <w:color w:val="auto"/>
          <w:szCs w:val="21"/>
          <w:highlight w:val="none"/>
        </w:rPr>
        <w:t>　　二、中小企业划分为中型、小型、微型三种类型，具体标准根据企业从业人员、营业收入、资产总额等指标，结合行业特点制定。</w:t>
      </w:r>
    </w:p>
    <w:p w14:paraId="7A9C9D56">
      <w:pPr>
        <w:pStyle w:val="222"/>
        <w:rPr>
          <w:color w:val="auto"/>
          <w:szCs w:val="21"/>
          <w:highlight w:val="none"/>
        </w:rPr>
      </w:pPr>
      <w:r>
        <w:rPr>
          <w:rFonts w:hint="eastAsia"/>
          <w:color w:val="auto"/>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AA947BC">
      <w:pPr>
        <w:pStyle w:val="222"/>
        <w:rPr>
          <w:color w:val="auto"/>
          <w:szCs w:val="21"/>
          <w:highlight w:val="none"/>
        </w:rPr>
      </w:pPr>
      <w:r>
        <w:rPr>
          <w:rFonts w:hint="eastAsia"/>
          <w:color w:val="auto"/>
          <w:szCs w:val="21"/>
          <w:highlight w:val="none"/>
        </w:rPr>
        <w:t>　　四、各行业划型标准为：</w:t>
      </w:r>
    </w:p>
    <w:p w14:paraId="36151C8F">
      <w:pPr>
        <w:pStyle w:val="222"/>
        <w:rPr>
          <w:color w:val="auto"/>
          <w:szCs w:val="21"/>
          <w:highlight w:val="none"/>
        </w:rPr>
      </w:pPr>
      <w:r>
        <w:rPr>
          <w:rFonts w:hint="eastAsia"/>
          <w:color w:val="auto"/>
          <w:szCs w:val="21"/>
          <w:highlight w:val="none"/>
        </w:rPr>
        <w:t>　　（一）农、林、牧、渔业。营业收入</w:t>
      </w:r>
      <w:r>
        <w:rPr>
          <w:color w:val="auto"/>
          <w:szCs w:val="21"/>
          <w:highlight w:val="none"/>
        </w:rPr>
        <w:t>20000</w:t>
      </w:r>
      <w:r>
        <w:rPr>
          <w:rFonts w:hint="eastAsia"/>
          <w:color w:val="auto"/>
          <w:szCs w:val="21"/>
          <w:highlight w:val="none"/>
        </w:rPr>
        <w:t>万元以下的为中小微型企业。其中，营业收入</w:t>
      </w:r>
      <w:r>
        <w:rPr>
          <w:color w:val="auto"/>
          <w:szCs w:val="21"/>
          <w:highlight w:val="none"/>
        </w:rPr>
        <w:t>500</w:t>
      </w:r>
      <w:r>
        <w:rPr>
          <w:rFonts w:hint="eastAsia"/>
          <w:color w:val="auto"/>
          <w:szCs w:val="21"/>
          <w:highlight w:val="none"/>
        </w:rPr>
        <w:t>万元及以上的为中型企业，营业收入</w:t>
      </w:r>
      <w:r>
        <w:rPr>
          <w:color w:val="auto"/>
          <w:szCs w:val="21"/>
          <w:highlight w:val="none"/>
        </w:rPr>
        <w:t>50</w:t>
      </w:r>
      <w:r>
        <w:rPr>
          <w:rFonts w:hint="eastAsia"/>
          <w:color w:val="auto"/>
          <w:szCs w:val="21"/>
          <w:highlight w:val="none"/>
        </w:rPr>
        <w:t>万元及以上的为小型企业，营业收入</w:t>
      </w:r>
      <w:r>
        <w:rPr>
          <w:color w:val="auto"/>
          <w:szCs w:val="21"/>
          <w:highlight w:val="none"/>
        </w:rPr>
        <w:t>50</w:t>
      </w:r>
      <w:r>
        <w:rPr>
          <w:rFonts w:hint="eastAsia"/>
          <w:color w:val="auto"/>
          <w:szCs w:val="21"/>
          <w:highlight w:val="none"/>
        </w:rPr>
        <w:t>万元以下的为微型企业。</w:t>
      </w:r>
    </w:p>
    <w:p w14:paraId="550E3C15">
      <w:pPr>
        <w:pStyle w:val="222"/>
        <w:rPr>
          <w:color w:val="auto"/>
          <w:szCs w:val="21"/>
          <w:highlight w:val="none"/>
        </w:rPr>
      </w:pPr>
      <w:r>
        <w:rPr>
          <w:rFonts w:hint="eastAsia"/>
          <w:color w:val="auto"/>
          <w:szCs w:val="21"/>
          <w:highlight w:val="none"/>
        </w:rPr>
        <w:t>　　（二）工业。从业人员</w:t>
      </w:r>
      <w:r>
        <w:rPr>
          <w:color w:val="auto"/>
          <w:szCs w:val="21"/>
          <w:highlight w:val="none"/>
        </w:rPr>
        <w:t>1000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300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300</w:t>
      </w:r>
      <w:r>
        <w:rPr>
          <w:rFonts w:hint="eastAsia"/>
          <w:color w:val="auto"/>
          <w:szCs w:val="21"/>
          <w:highlight w:val="none"/>
        </w:rPr>
        <w:t>万元以下的为微型企业。</w:t>
      </w:r>
    </w:p>
    <w:p w14:paraId="46C569EC">
      <w:pPr>
        <w:pStyle w:val="222"/>
        <w:rPr>
          <w:color w:val="auto"/>
          <w:szCs w:val="21"/>
          <w:highlight w:val="none"/>
        </w:rPr>
      </w:pPr>
      <w:r>
        <w:rPr>
          <w:rFonts w:hint="eastAsia"/>
          <w:color w:val="auto"/>
          <w:szCs w:val="21"/>
          <w:highlight w:val="none"/>
        </w:rPr>
        <w:t>　　（三）建筑业。营业收入</w:t>
      </w:r>
      <w:r>
        <w:rPr>
          <w:color w:val="auto"/>
          <w:szCs w:val="21"/>
          <w:highlight w:val="none"/>
        </w:rPr>
        <w:t>80000</w:t>
      </w:r>
      <w:r>
        <w:rPr>
          <w:rFonts w:hint="eastAsia"/>
          <w:color w:val="auto"/>
          <w:szCs w:val="21"/>
          <w:highlight w:val="none"/>
        </w:rPr>
        <w:t>万元以下或资产总额</w:t>
      </w:r>
      <w:r>
        <w:rPr>
          <w:color w:val="auto"/>
          <w:szCs w:val="21"/>
          <w:highlight w:val="none"/>
        </w:rPr>
        <w:t>80000</w:t>
      </w:r>
      <w:r>
        <w:rPr>
          <w:rFonts w:hint="eastAsia"/>
          <w:color w:val="auto"/>
          <w:szCs w:val="21"/>
          <w:highlight w:val="none"/>
        </w:rPr>
        <w:t>万元以下的为中小微型企业。其中，营业收入</w:t>
      </w:r>
      <w:r>
        <w:rPr>
          <w:color w:val="auto"/>
          <w:szCs w:val="21"/>
          <w:highlight w:val="none"/>
        </w:rPr>
        <w:t>6000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300</w:t>
      </w:r>
      <w:r>
        <w:rPr>
          <w:rFonts w:hint="eastAsia"/>
          <w:color w:val="auto"/>
          <w:szCs w:val="21"/>
          <w:highlight w:val="none"/>
        </w:rPr>
        <w:t>万元及以上，且资产总额</w:t>
      </w:r>
      <w:r>
        <w:rPr>
          <w:color w:val="auto"/>
          <w:szCs w:val="21"/>
          <w:highlight w:val="none"/>
        </w:rPr>
        <w:t>300</w:t>
      </w:r>
      <w:r>
        <w:rPr>
          <w:rFonts w:hint="eastAsia"/>
          <w:color w:val="auto"/>
          <w:szCs w:val="21"/>
          <w:highlight w:val="none"/>
        </w:rPr>
        <w:t>万元及以上的为小型企业；营业收入</w:t>
      </w:r>
      <w:r>
        <w:rPr>
          <w:color w:val="auto"/>
          <w:szCs w:val="21"/>
          <w:highlight w:val="none"/>
        </w:rPr>
        <w:t>300</w:t>
      </w:r>
      <w:r>
        <w:rPr>
          <w:rFonts w:hint="eastAsia"/>
          <w:color w:val="auto"/>
          <w:szCs w:val="21"/>
          <w:highlight w:val="none"/>
        </w:rPr>
        <w:t>万元以下或资产总额</w:t>
      </w:r>
      <w:r>
        <w:rPr>
          <w:color w:val="auto"/>
          <w:szCs w:val="21"/>
          <w:highlight w:val="none"/>
        </w:rPr>
        <w:t>300</w:t>
      </w:r>
      <w:r>
        <w:rPr>
          <w:rFonts w:hint="eastAsia"/>
          <w:color w:val="auto"/>
          <w:szCs w:val="21"/>
          <w:highlight w:val="none"/>
        </w:rPr>
        <w:t>万元以下的为微型企业。</w:t>
      </w:r>
    </w:p>
    <w:p w14:paraId="7E79348F">
      <w:pPr>
        <w:pStyle w:val="222"/>
        <w:rPr>
          <w:color w:val="auto"/>
          <w:szCs w:val="21"/>
          <w:highlight w:val="none"/>
        </w:rPr>
      </w:pPr>
      <w:r>
        <w:rPr>
          <w:rFonts w:hint="eastAsia"/>
          <w:color w:val="auto"/>
          <w:szCs w:val="21"/>
          <w:highlight w:val="none"/>
        </w:rPr>
        <w:t>　　（四）批发业。从业人员</w:t>
      </w:r>
      <w:r>
        <w:rPr>
          <w:color w:val="auto"/>
          <w:szCs w:val="21"/>
          <w:highlight w:val="none"/>
        </w:rPr>
        <w:t>200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20</w:t>
      </w:r>
      <w:r>
        <w:rPr>
          <w:rFonts w:hint="eastAsia"/>
          <w:color w:val="auto"/>
          <w:szCs w:val="21"/>
          <w:highlight w:val="none"/>
        </w:rPr>
        <w:t>人及以上，且营业收入</w:t>
      </w:r>
      <w:r>
        <w:rPr>
          <w:color w:val="auto"/>
          <w:szCs w:val="21"/>
          <w:highlight w:val="none"/>
        </w:rPr>
        <w:t>5000</w:t>
      </w:r>
      <w:r>
        <w:rPr>
          <w:rFonts w:hint="eastAsia"/>
          <w:color w:val="auto"/>
          <w:szCs w:val="21"/>
          <w:highlight w:val="none"/>
        </w:rPr>
        <w:t>万元及以上的为中型企业；从业人员</w:t>
      </w:r>
      <w:r>
        <w:rPr>
          <w:color w:val="auto"/>
          <w:szCs w:val="21"/>
          <w:highlight w:val="none"/>
        </w:rPr>
        <w:t>5</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万元及以上的为小型企业；从业人员</w:t>
      </w:r>
      <w:r>
        <w:rPr>
          <w:color w:val="auto"/>
          <w:szCs w:val="21"/>
          <w:highlight w:val="none"/>
        </w:rPr>
        <w:t>5</w:t>
      </w:r>
      <w:r>
        <w:rPr>
          <w:rFonts w:hint="eastAsia"/>
          <w:color w:val="auto"/>
          <w:szCs w:val="21"/>
          <w:highlight w:val="none"/>
        </w:rPr>
        <w:t>人以下或营业收入</w:t>
      </w:r>
      <w:r>
        <w:rPr>
          <w:color w:val="auto"/>
          <w:szCs w:val="21"/>
          <w:highlight w:val="none"/>
        </w:rPr>
        <w:t>1000</w:t>
      </w:r>
      <w:r>
        <w:rPr>
          <w:rFonts w:hint="eastAsia"/>
          <w:color w:val="auto"/>
          <w:szCs w:val="21"/>
          <w:highlight w:val="none"/>
        </w:rPr>
        <w:t>万元以下的为微型企业。</w:t>
      </w:r>
    </w:p>
    <w:p w14:paraId="67F3D369">
      <w:pPr>
        <w:pStyle w:val="222"/>
        <w:rPr>
          <w:color w:val="auto"/>
          <w:szCs w:val="21"/>
          <w:highlight w:val="none"/>
        </w:rPr>
      </w:pPr>
      <w:r>
        <w:rPr>
          <w:rFonts w:hint="eastAsia"/>
          <w:color w:val="auto"/>
          <w:szCs w:val="21"/>
          <w:highlight w:val="none"/>
        </w:rPr>
        <w:t>　　（五）零售业。从业人员</w:t>
      </w:r>
      <w:r>
        <w:rPr>
          <w:color w:val="auto"/>
          <w:szCs w:val="21"/>
          <w:highlight w:val="none"/>
        </w:rPr>
        <w:t>300</w:t>
      </w:r>
      <w:r>
        <w:rPr>
          <w:rFonts w:hint="eastAsia"/>
          <w:color w:val="auto"/>
          <w:szCs w:val="21"/>
          <w:highlight w:val="none"/>
        </w:rPr>
        <w:t>人以下或营业收入</w:t>
      </w:r>
      <w:r>
        <w:rPr>
          <w:color w:val="auto"/>
          <w:szCs w:val="21"/>
          <w:highlight w:val="none"/>
        </w:rPr>
        <w:t>20000</w:t>
      </w:r>
      <w:r>
        <w:rPr>
          <w:rFonts w:hint="eastAsia"/>
          <w:color w:val="auto"/>
          <w:szCs w:val="21"/>
          <w:highlight w:val="none"/>
        </w:rPr>
        <w:t>万元以下的为中小微型企业。其中，从业人员</w:t>
      </w:r>
      <w:r>
        <w:rPr>
          <w:color w:val="auto"/>
          <w:szCs w:val="21"/>
          <w:highlight w:val="none"/>
        </w:rPr>
        <w:t>50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38410F98">
      <w:pPr>
        <w:pStyle w:val="222"/>
        <w:rPr>
          <w:color w:val="auto"/>
          <w:szCs w:val="21"/>
          <w:highlight w:val="none"/>
        </w:rPr>
      </w:pPr>
      <w:r>
        <w:rPr>
          <w:rFonts w:hint="eastAsia"/>
          <w:color w:val="auto"/>
          <w:szCs w:val="21"/>
          <w:highlight w:val="none"/>
        </w:rPr>
        <w:t>　　（六）交通运输业。从业人员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3000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200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200</w:t>
      </w:r>
      <w:r>
        <w:rPr>
          <w:rFonts w:hint="eastAsia"/>
          <w:color w:val="auto"/>
          <w:szCs w:val="21"/>
          <w:highlight w:val="none"/>
        </w:rPr>
        <w:t>万元以下的为微型企业。</w:t>
      </w:r>
    </w:p>
    <w:p w14:paraId="47D291D6">
      <w:pPr>
        <w:pStyle w:val="222"/>
        <w:rPr>
          <w:color w:val="auto"/>
          <w:szCs w:val="21"/>
          <w:highlight w:val="none"/>
        </w:rPr>
      </w:pPr>
      <w:r>
        <w:rPr>
          <w:rFonts w:hint="eastAsia"/>
          <w:color w:val="auto"/>
          <w:szCs w:val="21"/>
          <w:highlight w:val="none"/>
        </w:rPr>
        <w:t>　　（七）仓储业。从业人员</w:t>
      </w:r>
      <w:r>
        <w:rPr>
          <w:color w:val="auto"/>
          <w:szCs w:val="21"/>
          <w:highlight w:val="none"/>
        </w:rPr>
        <w:t>200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6883008A">
      <w:pPr>
        <w:pStyle w:val="222"/>
        <w:rPr>
          <w:color w:val="auto"/>
          <w:szCs w:val="21"/>
          <w:highlight w:val="none"/>
        </w:rPr>
      </w:pPr>
      <w:r>
        <w:rPr>
          <w:rFonts w:hint="eastAsia"/>
          <w:color w:val="auto"/>
          <w:szCs w:val="21"/>
          <w:highlight w:val="none"/>
        </w:rPr>
        <w:t>　　（八）邮政业。从业人员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79245E8F">
      <w:pPr>
        <w:pStyle w:val="222"/>
        <w:rPr>
          <w:color w:val="auto"/>
          <w:szCs w:val="21"/>
          <w:highlight w:val="none"/>
        </w:rPr>
      </w:pPr>
      <w:r>
        <w:rPr>
          <w:rFonts w:hint="eastAsia"/>
          <w:color w:val="auto"/>
          <w:szCs w:val="21"/>
          <w:highlight w:val="none"/>
        </w:rPr>
        <w:t>　　（九）住宿业。从业人员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091229B1">
      <w:pPr>
        <w:pStyle w:val="222"/>
        <w:rPr>
          <w:color w:val="auto"/>
          <w:szCs w:val="21"/>
          <w:highlight w:val="none"/>
        </w:rPr>
      </w:pPr>
      <w:r>
        <w:rPr>
          <w:rFonts w:hint="eastAsia"/>
          <w:color w:val="auto"/>
          <w:szCs w:val="21"/>
          <w:highlight w:val="none"/>
        </w:rPr>
        <w:t>　　（十）餐饮业。从业人员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577EF462">
      <w:pPr>
        <w:pStyle w:val="222"/>
        <w:rPr>
          <w:color w:val="auto"/>
          <w:szCs w:val="21"/>
          <w:highlight w:val="none"/>
        </w:rPr>
      </w:pPr>
      <w:r>
        <w:rPr>
          <w:rFonts w:hint="eastAsia"/>
          <w:color w:val="auto"/>
          <w:szCs w:val="21"/>
          <w:highlight w:val="none"/>
        </w:rPr>
        <w:t>　　（十一）信息传输业。从业人员</w:t>
      </w:r>
      <w:r>
        <w:rPr>
          <w:color w:val="auto"/>
          <w:szCs w:val="21"/>
          <w:highlight w:val="none"/>
        </w:rPr>
        <w:t>2000</w:t>
      </w:r>
      <w:r>
        <w:rPr>
          <w:rFonts w:hint="eastAsia"/>
          <w:color w:val="auto"/>
          <w:szCs w:val="21"/>
          <w:highlight w:val="none"/>
        </w:rPr>
        <w:t>人以下或营业收入</w:t>
      </w:r>
      <w:r>
        <w:rPr>
          <w:color w:val="auto"/>
          <w:szCs w:val="21"/>
          <w:highlight w:val="none"/>
        </w:rPr>
        <w:t>100000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2E71D299">
      <w:pPr>
        <w:pStyle w:val="222"/>
        <w:rPr>
          <w:color w:val="auto"/>
          <w:szCs w:val="21"/>
          <w:highlight w:val="none"/>
        </w:rPr>
      </w:pPr>
      <w:r>
        <w:rPr>
          <w:rFonts w:hint="eastAsia"/>
          <w:color w:val="auto"/>
          <w:szCs w:val="21"/>
          <w:highlight w:val="none"/>
        </w:rPr>
        <w:t>　　（十二）软件和信息技术服务业。从业人员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50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50</w:t>
      </w:r>
      <w:r>
        <w:rPr>
          <w:rFonts w:hint="eastAsia"/>
          <w:color w:val="auto"/>
          <w:szCs w:val="21"/>
          <w:highlight w:val="none"/>
        </w:rPr>
        <w:t>万元以下的为微型企业。</w:t>
      </w:r>
    </w:p>
    <w:p w14:paraId="1186E6FA">
      <w:pPr>
        <w:pStyle w:val="222"/>
        <w:rPr>
          <w:color w:val="auto"/>
          <w:szCs w:val="21"/>
          <w:highlight w:val="none"/>
        </w:rPr>
      </w:pPr>
      <w:r>
        <w:rPr>
          <w:rFonts w:hint="eastAsia"/>
          <w:color w:val="auto"/>
          <w:szCs w:val="21"/>
          <w:highlight w:val="none"/>
        </w:rPr>
        <w:t>　　（十三）房地产开发经营。营业收入</w:t>
      </w:r>
      <w:r>
        <w:rPr>
          <w:color w:val="auto"/>
          <w:szCs w:val="21"/>
          <w:highlight w:val="none"/>
        </w:rPr>
        <w:t>200000</w:t>
      </w:r>
      <w:r>
        <w:rPr>
          <w:rFonts w:hint="eastAsia"/>
          <w:color w:val="auto"/>
          <w:szCs w:val="21"/>
          <w:highlight w:val="none"/>
        </w:rPr>
        <w:t>万元以下或资产总额</w:t>
      </w:r>
      <w:r>
        <w:rPr>
          <w:color w:val="auto"/>
          <w:szCs w:val="21"/>
          <w:highlight w:val="none"/>
        </w:rPr>
        <w:t>10000</w:t>
      </w:r>
      <w:r>
        <w:rPr>
          <w:rFonts w:hint="eastAsia"/>
          <w:color w:val="auto"/>
          <w:szCs w:val="21"/>
          <w:highlight w:val="none"/>
        </w:rPr>
        <w:t>万元以下的为中小微型企业。其中，营业收入</w:t>
      </w:r>
      <w:r>
        <w:rPr>
          <w:color w:val="auto"/>
          <w:szCs w:val="21"/>
          <w:highlight w:val="none"/>
        </w:rPr>
        <w:t>1000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100</w:t>
      </w:r>
      <w:r>
        <w:rPr>
          <w:rFonts w:hint="eastAsia"/>
          <w:color w:val="auto"/>
          <w:szCs w:val="21"/>
          <w:highlight w:val="none"/>
        </w:rPr>
        <w:t>万元及以上，且资产总额</w:t>
      </w:r>
      <w:r>
        <w:rPr>
          <w:color w:val="auto"/>
          <w:szCs w:val="21"/>
          <w:highlight w:val="none"/>
        </w:rPr>
        <w:t>2000</w:t>
      </w:r>
      <w:r>
        <w:rPr>
          <w:rFonts w:hint="eastAsia"/>
          <w:color w:val="auto"/>
          <w:szCs w:val="21"/>
          <w:highlight w:val="none"/>
        </w:rPr>
        <w:t>万元及以上的为小型企业；营业收入</w:t>
      </w:r>
      <w:r>
        <w:rPr>
          <w:color w:val="auto"/>
          <w:szCs w:val="21"/>
          <w:highlight w:val="none"/>
        </w:rPr>
        <w:t>100</w:t>
      </w:r>
      <w:r>
        <w:rPr>
          <w:rFonts w:hint="eastAsia"/>
          <w:color w:val="auto"/>
          <w:szCs w:val="21"/>
          <w:highlight w:val="none"/>
        </w:rPr>
        <w:t>万元以下或资产总额</w:t>
      </w:r>
      <w:r>
        <w:rPr>
          <w:color w:val="auto"/>
          <w:szCs w:val="21"/>
          <w:highlight w:val="none"/>
        </w:rPr>
        <w:t>2000</w:t>
      </w:r>
      <w:r>
        <w:rPr>
          <w:rFonts w:hint="eastAsia"/>
          <w:color w:val="auto"/>
          <w:szCs w:val="21"/>
          <w:highlight w:val="none"/>
        </w:rPr>
        <w:t>万元以下的为微型企业。</w:t>
      </w:r>
    </w:p>
    <w:p w14:paraId="43F56BA1">
      <w:pPr>
        <w:pStyle w:val="222"/>
        <w:rPr>
          <w:color w:val="auto"/>
          <w:szCs w:val="21"/>
          <w:highlight w:val="none"/>
        </w:rPr>
      </w:pPr>
      <w:r>
        <w:rPr>
          <w:rFonts w:hint="eastAsia"/>
          <w:color w:val="auto"/>
          <w:szCs w:val="21"/>
          <w:highlight w:val="none"/>
        </w:rPr>
        <w:t>　　（十四）物业管理。从业人员</w:t>
      </w:r>
      <w:r>
        <w:rPr>
          <w:color w:val="auto"/>
          <w:szCs w:val="21"/>
          <w:highlight w:val="none"/>
        </w:rPr>
        <w:t>1000</w:t>
      </w:r>
      <w:r>
        <w:rPr>
          <w:rFonts w:hint="eastAsia"/>
          <w:color w:val="auto"/>
          <w:szCs w:val="21"/>
          <w:highlight w:val="none"/>
        </w:rPr>
        <w:t>人以下或营业收入</w:t>
      </w:r>
      <w:r>
        <w:rPr>
          <w:color w:val="auto"/>
          <w:szCs w:val="21"/>
          <w:highlight w:val="none"/>
        </w:rPr>
        <w:t>5000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万元及以上的为小型企业；从业人员</w:t>
      </w:r>
      <w:r>
        <w:rPr>
          <w:color w:val="auto"/>
          <w:szCs w:val="21"/>
          <w:highlight w:val="none"/>
        </w:rPr>
        <w:t>100</w:t>
      </w:r>
      <w:r>
        <w:rPr>
          <w:rFonts w:hint="eastAsia"/>
          <w:color w:val="auto"/>
          <w:szCs w:val="21"/>
          <w:highlight w:val="none"/>
        </w:rPr>
        <w:t>人以下或营业收入</w:t>
      </w:r>
      <w:r>
        <w:rPr>
          <w:color w:val="auto"/>
          <w:szCs w:val="21"/>
          <w:highlight w:val="none"/>
        </w:rPr>
        <w:t>500</w:t>
      </w:r>
      <w:r>
        <w:rPr>
          <w:rFonts w:hint="eastAsia"/>
          <w:color w:val="auto"/>
          <w:szCs w:val="21"/>
          <w:highlight w:val="none"/>
        </w:rPr>
        <w:t>万元以下的为微型企业。</w:t>
      </w:r>
    </w:p>
    <w:p w14:paraId="086BC42F">
      <w:pPr>
        <w:pStyle w:val="222"/>
        <w:rPr>
          <w:color w:val="auto"/>
          <w:szCs w:val="21"/>
          <w:highlight w:val="none"/>
        </w:rPr>
      </w:pPr>
      <w:r>
        <w:rPr>
          <w:rFonts w:hint="eastAsia"/>
          <w:color w:val="auto"/>
          <w:szCs w:val="21"/>
          <w:highlight w:val="none"/>
        </w:rPr>
        <w:t>　　（十五）租赁和商务服务业。从业人员</w:t>
      </w:r>
      <w:r>
        <w:rPr>
          <w:color w:val="auto"/>
          <w:szCs w:val="21"/>
          <w:highlight w:val="none"/>
        </w:rPr>
        <w:t>300</w:t>
      </w:r>
      <w:r>
        <w:rPr>
          <w:rFonts w:hint="eastAsia"/>
          <w:color w:val="auto"/>
          <w:szCs w:val="21"/>
          <w:highlight w:val="none"/>
        </w:rPr>
        <w:t>人以下或资产总额</w:t>
      </w:r>
      <w:r>
        <w:rPr>
          <w:color w:val="auto"/>
          <w:szCs w:val="21"/>
          <w:highlight w:val="none"/>
        </w:rPr>
        <w:t>120000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人及以上，且资产总额</w:t>
      </w:r>
      <w:r>
        <w:rPr>
          <w:color w:val="auto"/>
          <w:szCs w:val="21"/>
          <w:highlight w:val="none"/>
        </w:rPr>
        <w:t>8000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人及以上，且资产总额</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人以下或资产总额</w:t>
      </w:r>
      <w:r>
        <w:rPr>
          <w:color w:val="auto"/>
          <w:szCs w:val="21"/>
          <w:highlight w:val="none"/>
        </w:rPr>
        <w:t>100</w:t>
      </w:r>
      <w:r>
        <w:rPr>
          <w:rFonts w:hint="eastAsia"/>
          <w:color w:val="auto"/>
          <w:szCs w:val="21"/>
          <w:highlight w:val="none"/>
        </w:rPr>
        <w:t>万元以下的为微型企业。</w:t>
      </w:r>
    </w:p>
    <w:p w14:paraId="640A5757">
      <w:pPr>
        <w:pStyle w:val="222"/>
        <w:rPr>
          <w:color w:val="auto"/>
          <w:szCs w:val="21"/>
          <w:highlight w:val="none"/>
        </w:rPr>
      </w:pPr>
      <w:r>
        <w:rPr>
          <w:rFonts w:hint="eastAsia"/>
          <w:color w:val="auto"/>
          <w:szCs w:val="21"/>
          <w:highlight w:val="none"/>
        </w:rPr>
        <w:t>　　（十六）其他未列明行业。从业人员</w:t>
      </w:r>
      <w:r>
        <w:rPr>
          <w:color w:val="auto"/>
          <w:szCs w:val="21"/>
          <w:highlight w:val="none"/>
        </w:rPr>
        <w:t>300</w:t>
      </w:r>
      <w:r>
        <w:rPr>
          <w:rFonts w:hint="eastAsia"/>
          <w:color w:val="auto"/>
          <w:szCs w:val="21"/>
          <w:highlight w:val="none"/>
        </w:rPr>
        <w:t>人以下的为中小微型企业。其中，从业人员</w:t>
      </w:r>
      <w:r>
        <w:rPr>
          <w:color w:val="auto"/>
          <w:szCs w:val="21"/>
          <w:highlight w:val="none"/>
        </w:rPr>
        <w:t>100</w:t>
      </w:r>
      <w:r>
        <w:rPr>
          <w:rFonts w:hint="eastAsia"/>
          <w:color w:val="auto"/>
          <w:szCs w:val="21"/>
          <w:highlight w:val="none"/>
        </w:rPr>
        <w:t>人及以上的为中型企业；从业人员</w:t>
      </w:r>
      <w:r>
        <w:rPr>
          <w:color w:val="auto"/>
          <w:szCs w:val="21"/>
          <w:highlight w:val="none"/>
        </w:rPr>
        <w:t>10</w:t>
      </w:r>
      <w:r>
        <w:rPr>
          <w:rFonts w:hint="eastAsia"/>
          <w:color w:val="auto"/>
          <w:szCs w:val="21"/>
          <w:highlight w:val="none"/>
        </w:rPr>
        <w:t>人及以上的为小型企业；从业人员</w:t>
      </w:r>
      <w:r>
        <w:rPr>
          <w:color w:val="auto"/>
          <w:szCs w:val="21"/>
          <w:highlight w:val="none"/>
        </w:rPr>
        <w:t>10</w:t>
      </w:r>
      <w:r>
        <w:rPr>
          <w:rFonts w:hint="eastAsia"/>
          <w:color w:val="auto"/>
          <w:szCs w:val="21"/>
          <w:highlight w:val="none"/>
        </w:rPr>
        <w:t>人以下的为微型企业。</w:t>
      </w:r>
    </w:p>
    <w:p w14:paraId="2139AC63">
      <w:pPr>
        <w:pStyle w:val="222"/>
        <w:rPr>
          <w:color w:val="auto"/>
          <w:szCs w:val="21"/>
          <w:highlight w:val="none"/>
        </w:rPr>
      </w:pPr>
      <w:r>
        <w:rPr>
          <w:rFonts w:hint="eastAsia"/>
          <w:color w:val="auto"/>
          <w:szCs w:val="21"/>
          <w:highlight w:val="none"/>
        </w:rPr>
        <w:t>　　五、企业类型的划分以统计部门的统计数据为依据。</w:t>
      </w:r>
    </w:p>
    <w:p w14:paraId="239BA4FC">
      <w:pPr>
        <w:pStyle w:val="222"/>
        <w:rPr>
          <w:color w:val="auto"/>
          <w:szCs w:val="21"/>
          <w:highlight w:val="none"/>
        </w:rPr>
      </w:pPr>
      <w:r>
        <w:rPr>
          <w:rFonts w:hint="eastAsia"/>
          <w:color w:val="auto"/>
          <w:szCs w:val="21"/>
          <w:highlight w:val="none"/>
        </w:rPr>
        <w:t>　　六、本规定适用于在中华人民共和国境内依法设立的各类所有制和各种组织形式的企业。个体工商户和本规定以外的行业，参照本规定进行划型。</w:t>
      </w:r>
    </w:p>
    <w:p w14:paraId="1D58028B">
      <w:pPr>
        <w:pStyle w:val="222"/>
        <w:rPr>
          <w:color w:val="auto"/>
          <w:szCs w:val="21"/>
          <w:highlight w:val="none"/>
        </w:rPr>
      </w:pPr>
      <w:r>
        <w:rPr>
          <w:rFonts w:hint="eastAsia"/>
          <w:color w:val="auto"/>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52295EE2">
      <w:pPr>
        <w:pStyle w:val="222"/>
        <w:rPr>
          <w:color w:val="auto"/>
          <w:szCs w:val="21"/>
          <w:highlight w:val="none"/>
        </w:rPr>
      </w:pPr>
      <w:r>
        <w:rPr>
          <w:rFonts w:hint="eastAsia"/>
          <w:color w:val="auto"/>
          <w:szCs w:val="21"/>
          <w:highlight w:val="none"/>
        </w:rPr>
        <w:t>　　八、本规定由工业和信息化部、国家统计局会同有关部门根据《国民经济行业分类》修订情况和企业发展变化情况适时修订。</w:t>
      </w:r>
    </w:p>
    <w:p w14:paraId="5389F345">
      <w:pPr>
        <w:pStyle w:val="222"/>
        <w:rPr>
          <w:color w:val="auto"/>
          <w:szCs w:val="21"/>
          <w:highlight w:val="none"/>
        </w:rPr>
      </w:pPr>
      <w:r>
        <w:rPr>
          <w:rFonts w:hint="eastAsia"/>
          <w:color w:val="auto"/>
          <w:szCs w:val="21"/>
          <w:highlight w:val="none"/>
        </w:rPr>
        <w:t>　　九、本规定由工业和信息化部、国家统计局会同有关部门负责解释。</w:t>
      </w:r>
    </w:p>
    <w:p w14:paraId="601B190D">
      <w:pPr>
        <w:pStyle w:val="222"/>
        <w:ind w:firstLine="420"/>
        <w:rPr>
          <w:color w:val="auto"/>
          <w:szCs w:val="21"/>
          <w:highlight w:val="none"/>
        </w:rPr>
      </w:pPr>
      <w:r>
        <w:rPr>
          <w:rFonts w:hint="eastAsia"/>
          <w:color w:val="auto"/>
          <w:szCs w:val="21"/>
          <w:highlight w:val="none"/>
        </w:rPr>
        <w:t>十、本规定自发布之日起执行，原国家经贸委、原国家计委、财政部和国家统计局</w:t>
      </w:r>
      <w:r>
        <w:rPr>
          <w:color w:val="auto"/>
          <w:szCs w:val="21"/>
          <w:highlight w:val="none"/>
        </w:rPr>
        <w:t>2003</w:t>
      </w:r>
      <w:r>
        <w:rPr>
          <w:rFonts w:hint="eastAsia"/>
          <w:color w:val="auto"/>
          <w:szCs w:val="21"/>
          <w:highlight w:val="none"/>
        </w:rPr>
        <w:t>年颁布的《中小企业标准暂行规定》同时废止。</w:t>
      </w:r>
    </w:p>
    <w:p w14:paraId="1CA50920">
      <w:pPr>
        <w:rPr>
          <w:rFonts w:hint="eastAsia" w:ascii="宋体" w:hAnsi="宋体" w:cs="宋体"/>
          <w:color w:val="auto"/>
          <w:sz w:val="20"/>
          <w:szCs w:val="20"/>
          <w:highlight w:val="none"/>
        </w:rPr>
      </w:pPr>
    </w:p>
    <w:p w14:paraId="01A8ABEB">
      <w:pPr>
        <w:spacing w:before="3"/>
        <w:rPr>
          <w:rFonts w:hint="eastAsia" w:ascii="宋体" w:hAnsi="宋体" w:cs="宋体"/>
          <w:color w:val="auto"/>
          <w:sz w:val="15"/>
          <w:szCs w:val="15"/>
          <w:highlight w:val="none"/>
        </w:rPr>
      </w:pPr>
    </w:p>
    <w:p w14:paraId="7F137322">
      <w:pPr>
        <w:widowControl/>
        <w:rPr>
          <w:rFonts w:ascii="宋体" w:hAnsi="宋体" w:cs="宋体"/>
          <w:color w:val="auto"/>
          <w:sz w:val="20"/>
          <w:szCs w:val="20"/>
          <w:highlight w:val="none"/>
        </w:rPr>
        <w:sectPr>
          <w:headerReference r:id="rId5" w:type="first"/>
          <w:footerReference r:id="rId7" w:type="first"/>
          <w:footerReference r:id="rId6" w:type="default"/>
          <w:pgSz w:w="11910" w:h="16840"/>
          <w:pgMar w:top="1520" w:right="1500" w:bottom="280" w:left="1680" w:header="720" w:footer="720" w:gutter="0"/>
          <w:pgBorders>
            <w:top w:val="none" w:sz="0" w:space="0"/>
            <w:left w:val="none" w:sz="0" w:space="0"/>
            <w:bottom w:val="none" w:sz="0" w:space="0"/>
            <w:right w:val="none" w:sz="0" w:space="0"/>
          </w:pgBorders>
          <w:cols w:space="1701" w:num="1"/>
          <w:titlePg/>
        </w:sectPr>
      </w:pPr>
    </w:p>
    <w:p w14:paraId="16DDC881">
      <w:pPr>
        <w:pStyle w:val="194"/>
        <w:keepNext w:val="0"/>
        <w:keepLines w:val="0"/>
        <w:tabs>
          <w:tab w:val="left" w:pos="0"/>
          <w:tab w:val="left" w:pos="3165"/>
          <w:tab w:val="center" w:pos="4153"/>
        </w:tabs>
        <w:spacing w:before="0" w:after="0" w:line="360" w:lineRule="auto"/>
        <w:jc w:val="center"/>
        <w:rPr>
          <w:rFonts w:hint="eastAsia"/>
          <w:color w:val="auto"/>
          <w:highlight w:val="none"/>
        </w:rPr>
      </w:pPr>
      <w:bookmarkStart w:id="44" w:name="_Toc25688"/>
      <w:r>
        <w:rPr>
          <w:rFonts w:hint="eastAsia"/>
          <w:color w:val="auto"/>
          <w:highlight w:val="none"/>
        </w:rPr>
        <w:t>第三章  投标人须知</w:t>
      </w:r>
      <w:bookmarkEnd w:id="44"/>
    </w:p>
    <w:p w14:paraId="134DA129">
      <w:pPr>
        <w:jc w:val="center"/>
        <w:rPr>
          <w:rFonts w:hint="eastAsia"/>
          <w:color w:val="auto"/>
          <w:sz w:val="36"/>
          <w:szCs w:val="36"/>
          <w:highlight w:val="none"/>
        </w:rPr>
      </w:pPr>
      <w:bookmarkStart w:id="45" w:name="_Toc254970526"/>
      <w:bookmarkStart w:id="46" w:name="_Toc254970667"/>
      <w:r>
        <w:rPr>
          <w:rFonts w:hint="eastAsia"/>
          <w:color w:val="auto"/>
          <w:sz w:val="36"/>
          <w:szCs w:val="36"/>
          <w:highlight w:val="none"/>
        </w:rPr>
        <w:t>投标人须知前附表</w:t>
      </w:r>
      <w:bookmarkEnd w:id="45"/>
      <w:bookmarkEnd w:id="46"/>
    </w:p>
    <w:tbl>
      <w:tblPr>
        <w:tblStyle w:val="30"/>
        <w:tblW w:w="91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175"/>
      </w:tblGrid>
      <w:tr w14:paraId="75D9E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0F7B1717">
            <w:pPr>
              <w:spacing w:line="360" w:lineRule="auto"/>
              <w:jc w:val="left"/>
              <w:rPr>
                <w:rFonts w:hint="eastAsia" w:ascii="宋体" w:hAnsi="宋体"/>
                <w:color w:val="auto"/>
                <w:szCs w:val="21"/>
                <w:highlight w:val="none"/>
              </w:rPr>
            </w:pPr>
            <w:r>
              <w:rPr>
                <w:rFonts w:hint="eastAsia" w:ascii="宋体" w:hAnsi="宋体"/>
                <w:color w:val="auto"/>
                <w:szCs w:val="21"/>
                <w:highlight w:val="none"/>
              </w:rPr>
              <w:t>条款号</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840EED7">
            <w:pPr>
              <w:spacing w:line="360" w:lineRule="auto"/>
              <w:jc w:val="center"/>
              <w:rPr>
                <w:rFonts w:hint="eastAsia" w:ascii="宋体" w:hAnsi="宋体"/>
                <w:color w:val="auto"/>
                <w:szCs w:val="21"/>
                <w:highlight w:val="none"/>
              </w:rPr>
            </w:pPr>
            <w:r>
              <w:rPr>
                <w:rFonts w:hint="eastAsia" w:ascii="宋体" w:hAnsi="宋体"/>
                <w:color w:val="auto"/>
                <w:szCs w:val="21"/>
                <w:highlight w:val="none"/>
              </w:rPr>
              <w:t>编列内容</w:t>
            </w:r>
          </w:p>
        </w:tc>
      </w:tr>
      <w:tr w14:paraId="17A8D4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3619DF6A">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D7B8C83">
            <w:pPr>
              <w:spacing w:line="360" w:lineRule="auto"/>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投标人的资格要求详见招标公告。</w:t>
            </w:r>
          </w:p>
          <w:p w14:paraId="3026E0BA">
            <w:pPr>
              <w:spacing w:line="360" w:lineRule="auto"/>
              <w:jc w:val="left"/>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投标人出现下列情形之一的，不得参加政府采购活动：</w:t>
            </w:r>
          </w:p>
          <w:p w14:paraId="463645B0">
            <w:pPr>
              <w:spacing w:line="360" w:lineRule="auto"/>
              <w:jc w:val="left"/>
              <w:rPr>
                <w:rFonts w:hint="eastAsia"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480F37C">
            <w:pPr>
              <w:spacing w:line="360" w:lineRule="auto"/>
              <w:jc w:val="left"/>
              <w:rPr>
                <w:rFonts w:hint="eastAsia"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1FBA19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3D06E9FB">
            <w:pPr>
              <w:spacing w:line="360" w:lineRule="auto"/>
              <w:jc w:val="center"/>
              <w:rPr>
                <w:rFonts w:ascii="宋体" w:hAnsi="宋体"/>
                <w:color w:val="auto"/>
                <w:szCs w:val="21"/>
                <w:highlight w:val="none"/>
              </w:rPr>
            </w:pPr>
            <w:bookmarkStart w:id="47" w:name="_9.2"/>
            <w:bookmarkEnd w:id="47"/>
            <w:bookmarkStart w:id="48" w:name="_5"/>
            <w:bookmarkEnd w:id="48"/>
            <w:bookmarkStart w:id="49" w:name="_8.1"/>
            <w:bookmarkEnd w:id="49"/>
            <w:r>
              <w:rPr>
                <w:rFonts w:hint="eastAsia" w:ascii="宋体" w:hAnsi="宋体"/>
                <w:color w:val="auto"/>
                <w:szCs w:val="21"/>
                <w:highlight w:val="none"/>
              </w:rPr>
              <w:t>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688BA1C">
            <w:pPr>
              <w:pStyle w:val="218"/>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本项目是否接受联合体投标：详见招标公告。</w:t>
            </w:r>
          </w:p>
        </w:tc>
      </w:tr>
      <w:tr w14:paraId="3ED9BE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5BC0E438">
            <w:pPr>
              <w:spacing w:line="360" w:lineRule="auto"/>
              <w:jc w:val="center"/>
              <w:rPr>
                <w:rFonts w:ascii="宋体" w:hAnsi="宋体"/>
                <w:color w:val="auto"/>
                <w:szCs w:val="21"/>
                <w:highlight w:val="none"/>
              </w:rPr>
            </w:pPr>
            <w:r>
              <w:rPr>
                <w:rFonts w:hint="eastAsia" w:ascii="宋体" w:hAnsi="宋体"/>
                <w:color w:val="auto"/>
                <w:szCs w:val="21"/>
                <w:highlight w:val="none"/>
              </w:rPr>
              <w:t>7.2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523F47E">
            <w:pPr>
              <w:pStyle w:val="218"/>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不允许分包</w:t>
            </w:r>
          </w:p>
        </w:tc>
      </w:tr>
      <w:tr w14:paraId="68402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978" w:type="dxa"/>
            <w:vMerge w:val="restart"/>
            <w:tcBorders>
              <w:top w:val="single" w:color="auto" w:sz="4" w:space="0"/>
              <w:left w:val="single" w:color="auto" w:sz="4" w:space="0"/>
              <w:bottom w:val="single" w:color="auto" w:sz="4" w:space="0"/>
              <w:right w:val="single" w:color="auto" w:sz="4" w:space="0"/>
            </w:tcBorders>
            <w:noWrap w:val="0"/>
            <w:vAlign w:val="center"/>
          </w:tcPr>
          <w:p w14:paraId="5B8C1CB6">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CED6806">
            <w:pPr>
              <w:spacing w:line="360" w:lineRule="auto"/>
              <w:rPr>
                <w:rFonts w:hint="eastAsia" w:ascii="宋体" w:hAnsi="宋体"/>
                <w:color w:val="auto"/>
                <w:szCs w:val="21"/>
                <w:highlight w:val="none"/>
              </w:rPr>
            </w:pPr>
            <w:r>
              <w:rPr>
                <w:rFonts w:hint="eastAsia" w:ascii="宋体" w:hAnsi="宋体"/>
                <w:color w:val="auto"/>
                <w:szCs w:val="21"/>
                <w:highlight w:val="none"/>
              </w:rPr>
              <w:t>不组织现场考察</w:t>
            </w:r>
            <w:r>
              <w:rPr>
                <w:rFonts w:ascii="宋体" w:hAnsi="宋体"/>
                <w:color w:val="auto"/>
                <w:szCs w:val="21"/>
                <w:highlight w:val="none"/>
              </w:rPr>
              <w:t xml:space="preserve"> </w:t>
            </w:r>
          </w:p>
        </w:tc>
      </w:tr>
      <w:tr w14:paraId="05653F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78" w:type="dxa"/>
            <w:vMerge w:val="continue"/>
            <w:tcBorders>
              <w:top w:val="single" w:color="auto" w:sz="4" w:space="0"/>
              <w:left w:val="single" w:color="auto" w:sz="4" w:space="0"/>
              <w:bottom w:val="single" w:color="auto" w:sz="4" w:space="0"/>
              <w:right w:val="single" w:color="auto" w:sz="4" w:space="0"/>
            </w:tcBorders>
            <w:noWrap w:val="0"/>
            <w:vAlign w:val="center"/>
          </w:tcPr>
          <w:p w14:paraId="30CCF002">
            <w:pPr>
              <w:spacing w:line="360" w:lineRule="auto"/>
              <w:jc w:val="center"/>
              <w:rPr>
                <w:rFonts w:hint="eastAsia" w:ascii="宋体" w:hAnsi="宋体"/>
                <w:color w:val="auto"/>
                <w:szCs w:val="21"/>
                <w:highlight w:val="none"/>
              </w:rPr>
            </w:pP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B80213C">
            <w:pPr>
              <w:spacing w:line="360" w:lineRule="auto"/>
              <w:rPr>
                <w:rFonts w:hint="eastAsia" w:ascii="宋体" w:hAnsi="宋体"/>
                <w:color w:val="auto"/>
                <w:szCs w:val="21"/>
                <w:highlight w:val="none"/>
              </w:rPr>
            </w:pPr>
            <w:r>
              <w:rPr>
                <w:rFonts w:hint="eastAsia" w:ascii="宋体" w:hAnsi="宋体"/>
                <w:color w:val="auto"/>
                <w:szCs w:val="21"/>
                <w:highlight w:val="none"/>
              </w:rPr>
              <w:t>不组织召开开标前答疑会</w:t>
            </w:r>
            <w:r>
              <w:rPr>
                <w:rFonts w:ascii="宋体" w:hAnsi="宋体"/>
                <w:color w:val="auto"/>
                <w:szCs w:val="21"/>
                <w:highlight w:val="none"/>
              </w:rPr>
              <w:t xml:space="preserve"> </w:t>
            </w:r>
          </w:p>
        </w:tc>
      </w:tr>
      <w:tr w14:paraId="2D1341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vMerge w:val="restart"/>
            <w:tcBorders>
              <w:top w:val="single" w:color="auto" w:sz="4" w:space="0"/>
              <w:left w:val="single" w:color="auto" w:sz="4" w:space="0"/>
              <w:bottom w:val="single" w:color="auto" w:sz="4" w:space="0"/>
              <w:right w:val="single" w:color="auto" w:sz="4" w:space="0"/>
            </w:tcBorders>
            <w:noWrap w:val="0"/>
            <w:vAlign w:val="center"/>
          </w:tcPr>
          <w:p w14:paraId="03333B1D">
            <w:pPr>
              <w:spacing w:line="360" w:lineRule="auto"/>
              <w:rPr>
                <w:rFonts w:hint="eastAsia" w:ascii="宋体" w:hAnsi="宋体"/>
                <w:color w:val="auto"/>
                <w:szCs w:val="21"/>
                <w:highlight w:val="none"/>
              </w:rPr>
            </w:pPr>
            <w:bookmarkStart w:id="50" w:name="_13.1"/>
            <w:bookmarkEnd w:id="50"/>
            <w:r>
              <w:rPr>
                <w:rFonts w:hint="eastAsia" w:ascii="宋体" w:hAnsi="宋体"/>
                <w:color w:val="auto"/>
                <w:szCs w:val="21"/>
                <w:highlight w:val="none"/>
              </w:rPr>
              <w:t>13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0F906A3">
            <w:pPr>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报价文件：</w:t>
            </w:r>
          </w:p>
          <w:p w14:paraId="66D4BA50">
            <w:pPr>
              <w:keepNext w:val="0"/>
              <w:keepLines w:val="0"/>
              <w:pageBreakBefore w:val="0"/>
              <w:widowControl w:val="0"/>
              <w:tabs>
                <w:tab w:val="left" w:pos="459"/>
              </w:tabs>
              <w:bidi w:val="0"/>
              <w:spacing w:line="400" w:lineRule="exact"/>
              <w:ind w:left="420"/>
              <w:jc w:val="left"/>
              <w:rPr>
                <w:rFonts w:hint="eastAsia"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（必须提供，否则按无效投标处理）</w:t>
            </w:r>
          </w:p>
          <w:p w14:paraId="46F7E578">
            <w:pPr>
              <w:keepNext w:val="0"/>
              <w:keepLines w:val="0"/>
              <w:pageBreakBefore w:val="0"/>
              <w:widowControl w:val="0"/>
              <w:tabs>
                <w:tab w:val="left" w:pos="459"/>
              </w:tabs>
              <w:bidi w:val="0"/>
              <w:spacing w:line="400" w:lineRule="exact"/>
              <w:ind w:left="420"/>
              <w:jc w:val="left"/>
              <w:rPr>
                <w:rFonts w:hint="eastAsia" w:ascii="宋体" w:hAnsi="宋体"/>
                <w:color w:val="auto"/>
                <w:szCs w:val="21"/>
                <w:highlight w:val="none"/>
              </w:rPr>
            </w:pPr>
            <w:r>
              <w:rPr>
                <w:rFonts w:hint="eastAsia" w:ascii="宋体" w:hAnsi="宋体"/>
                <w:color w:val="auto"/>
                <w:szCs w:val="21"/>
                <w:highlight w:val="none"/>
              </w:rPr>
              <w:t>2.开标一览表（格式后附）；（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29669C4">
            <w:pPr>
              <w:keepNext w:val="0"/>
              <w:keepLines w:val="0"/>
              <w:pageBreakBefore w:val="0"/>
              <w:widowControl w:val="0"/>
              <w:tabs>
                <w:tab w:val="left" w:pos="459"/>
              </w:tabs>
              <w:bidi w:val="0"/>
              <w:spacing w:line="400" w:lineRule="exact"/>
              <w:ind w:left="420"/>
              <w:jc w:val="left"/>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投标人的《中小企业声明函》（格式后附）或《残疾人福利性单位声明函》</w:t>
            </w:r>
          </w:p>
          <w:p w14:paraId="468FE20A">
            <w:pPr>
              <w:keepNext w:val="0"/>
              <w:keepLines w:val="0"/>
              <w:pageBreakBefore w:val="0"/>
              <w:widowControl w:val="0"/>
              <w:tabs>
                <w:tab w:val="left" w:pos="459"/>
              </w:tabs>
              <w:bidi w:val="0"/>
              <w:spacing w:line="400" w:lineRule="exact"/>
              <w:jc w:val="left"/>
              <w:rPr>
                <w:rFonts w:hint="eastAsia" w:ascii="宋体" w:hAnsi="宋体" w:eastAsia="宋体"/>
                <w:b/>
                <w:bCs/>
                <w:color w:val="auto"/>
                <w:szCs w:val="21"/>
                <w:highlight w:val="none"/>
                <w:lang w:eastAsia="zh-CN"/>
              </w:rPr>
            </w:pPr>
            <w:r>
              <w:rPr>
                <w:rFonts w:hint="eastAsia" w:ascii="宋体" w:hAnsi="宋体"/>
                <w:color w:val="auto"/>
                <w:szCs w:val="21"/>
                <w:highlight w:val="none"/>
              </w:rPr>
              <w:t>（格式后附）或属于监狱企业的证明文件</w:t>
            </w:r>
            <w:r>
              <w:rPr>
                <w:rFonts w:hint="eastAsia" w:ascii="宋体" w:hAnsi="宋体"/>
                <w:color w:val="auto"/>
                <w:szCs w:val="21"/>
                <w:highlight w:val="none"/>
                <w:lang w:eastAsia="zh-CN"/>
              </w:rPr>
              <w:t>；</w:t>
            </w:r>
            <w:r>
              <w:rPr>
                <w:rFonts w:hint="eastAsia" w:ascii="宋体" w:hAnsi="宋体"/>
                <w:b/>
                <w:bCs/>
                <w:color w:val="auto"/>
                <w:szCs w:val="21"/>
                <w:highlight w:val="none"/>
                <w:lang w:eastAsia="zh-CN"/>
              </w:rPr>
              <w:t>（如有，请提供，否则不给予价格扣除）</w:t>
            </w:r>
          </w:p>
          <w:p w14:paraId="3A177988">
            <w:pPr>
              <w:keepNext w:val="0"/>
              <w:keepLines w:val="0"/>
              <w:pageBreakBefore w:val="0"/>
              <w:widowControl w:val="0"/>
              <w:tabs>
                <w:tab w:val="left" w:pos="459"/>
              </w:tabs>
              <w:bidi w:val="0"/>
              <w:spacing w:line="400" w:lineRule="exact"/>
              <w:ind w:left="420"/>
              <w:jc w:val="left"/>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.投标人针对报价需要说明的其他文件和说明（格式自拟）。</w:t>
            </w:r>
          </w:p>
          <w:p w14:paraId="15BFA7CF">
            <w:pPr>
              <w:pStyle w:val="222"/>
              <w:keepNext w:val="0"/>
              <w:keepLines w:val="0"/>
              <w:pageBreakBefore w:val="0"/>
              <w:widowControl w:val="0"/>
              <w:bidi w:val="0"/>
              <w:spacing w:line="400" w:lineRule="exact"/>
              <w:ind w:firstLine="420"/>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5.《关于符合本国产品标准的声明函》或者财政部会同有关部门规定的有关证明文件；</w:t>
            </w:r>
            <w:r>
              <w:rPr>
                <w:rFonts w:hint="eastAsia" w:ascii="宋体" w:hAnsi="宋体" w:eastAsia="宋体" w:cs="Times New Roman"/>
                <w:b/>
                <w:bCs/>
                <w:color w:val="auto"/>
                <w:sz w:val="21"/>
                <w:szCs w:val="21"/>
                <w:highlight w:val="none"/>
                <w:lang w:val="en-US" w:eastAsia="zh-CN" w:bidi="ar-SA"/>
              </w:rPr>
              <w:t>（供应商根据自身响应情况出具）</w:t>
            </w:r>
          </w:p>
          <w:p w14:paraId="768094B8">
            <w:pPr>
              <w:keepNext w:val="0"/>
              <w:keepLines w:val="0"/>
              <w:pageBreakBefore w:val="0"/>
              <w:widowControl w:val="0"/>
              <w:tabs>
                <w:tab w:val="left" w:pos="15"/>
              </w:tabs>
              <w:bidi w:val="0"/>
              <w:spacing w:line="400" w:lineRule="exact"/>
              <w:ind w:left="15" w:firstLine="403"/>
              <w:jc w:val="left"/>
              <w:rPr>
                <w:rFonts w:hint="eastAsia" w:ascii="宋体" w:hAnsi="宋体"/>
                <w:color w:val="auto"/>
                <w:szCs w:val="21"/>
                <w:highlight w:val="none"/>
              </w:rPr>
            </w:pPr>
            <w:r>
              <w:rPr>
                <w:rFonts w:hint="eastAsia" w:ascii="宋体" w:hAnsi="宋体" w:cs="宋体"/>
                <w:b/>
                <w:color w:val="auto"/>
                <w:szCs w:val="21"/>
                <w:highlight w:val="none"/>
              </w:rPr>
              <w:t>注：</w:t>
            </w:r>
            <w:r>
              <w:rPr>
                <w:rFonts w:hint="eastAsia" w:ascii="宋体" w:hAnsi="宋体"/>
                <w:b/>
                <w:bCs/>
                <w:color w:val="auto"/>
                <w:szCs w:val="21"/>
                <w:highlight w:val="none"/>
              </w:rPr>
              <w:t>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p>
        </w:tc>
      </w:tr>
      <w:tr w14:paraId="634B04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vMerge w:val="continue"/>
            <w:tcBorders>
              <w:top w:val="single" w:color="auto" w:sz="4" w:space="0"/>
              <w:left w:val="single" w:color="auto" w:sz="4" w:space="0"/>
              <w:bottom w:val="single" w:color="auto" w:sz="4" w:space="0"/>
              <w:right w:val="single" w:color="auto" w:sz="4" w:space="0"/>
            </w:tcBorders>
            <w:noWrap w:val="0"/>
            <w:vAlign w:val="center"/>
          </w:tcPr>
          <w:p w14:paraId="4FC4719C">
            <w:pPr>
              <w:spacing w:line="360" w:lineRule="auto"/>
              <w:rPr>
                <w:rFonts w:hint="eastAsia" w:ascii="宋体" w:hAnsi="宋体"/>
                <w:color w:val="auto"/>
                <w:szCs w:val="21"/>
                <w:highlight w:val="none"/>
              </w:rPr>
            </w:pPr>
            <w:bookmarkStart w:id="51" w:name="_13.2"/>
            <w:bookmarkEnd w:id="51"/>
          </w:p>
        </w:tc>
        <w:tc>
          <w:tcPr>
            <w:tcW w:w="8175" w:type="dxa"/>
            <w:tcBorders>
              <w:top w:val="single" w:color="auto" w:sz="4" w:space="0"/>
              <w:left w:val="single" w:color="auto" w:sz="4" w:space="0"/>
              <w:bottom w:val="single" w:color="auto" w:sz="4" w:space="0"/>
              <w:right w:val="single" w:color="auto" w:sz="4" w:space="0"/>
            </w:tcBorders>
            <w:noWrap w:val="0"/>
            <w:vAlign w:val="center"/>
          </w:tcPr>
          <w:p w14:paraId="3469F620">
            <w:pPr>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资格证明文件</w:t>
            </w:r>
          </w:p>
          <w:p w14:paraId="18910731">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1.投标人为法人或者其他组织的，提供营业执照等证明文件</w:t>
            </w:r>
            <w:r>
              <w:rPr>
                <w:rFonts w:hint="eastAsia" w:ascii="宋体" w:hAnsi="宋体" w:cs="宋体"/>
                <w:color w:val="auto"/>
                <w:szCs w:val="21"/>
                <w:highlight w:val="none"/>
              </w:rPr>
              <w:t>（如营业执照或者事业单位法人证书或者</w:t>
            </w:r>
            <w:r>
              <w:rPr>
                <w:rStyle w:val="288"/>
                <w:color w:val="auto"/>
                <w:sz w:val="21"/>
                <w:szCs w:val="21"/>
                <w:highlight w:val="none"/>
              </w:rPr>
              <w:t>执业许可证</w:t>
            </w:r>
            <w:r>
              <w:rPr>
                <w:rFonts w:hint="eastAsia" w:ascii="宋体" w:hAnsi="宋体" w:cs="宋体"/>
                <w:color w:val="auto"/>
                <w:szCs w:val="21"/>
                <w:highlight w:val="none"/>
              </w:rPr>
              <w:t>或者登记证书等）</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11BBD48">
            <w:pPr>
              <w:spacing w:line="360" w:lineRule="auto"/>
              <w:ind w:firstLine="420"/>
              <w:jc w:val="left"/>
              <w:rPr>
                <w:rFonts w:hint="eastAsia" w:ascii="宋体" w:hAnsi="宋体"/>
                <w:color w:val="auto"/>
                <w:szCs w:val="21"/>
                <w:highlight w:val="none"/>
              </w:rPr>
            </w:pPr>
            <w:r>
              <w:rPr>
                <w:rFonts w:hint="eastAsia" w:ascii="宋体" w:hAnsi="宋体" w:cs="宋体"/>
                <w:color w:val="auto"/>
                <w:szCs w:val="21"/>
                <w:highlight w:val="none"/>
              </w:rPr>
              <w:t>2.投标人根据防财监〔2023〕58号文要求提供的《防城港市政府采购供应商信用承诺函》（格式附后）</w:t>
            </w:r>
            <w:r>
              <w:rPr>
                <w:rFonts w:hint="eastAsia"/>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6675818">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3.投标人直接控股信息表（格式后附）；（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C7312ED">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.投标人直接管理关系信息表（格式后附）；（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32BD379">
            <w:pPr>
              <w:keepNext w:val="0"/>
              <w:keepLines w:val="0"/>
              <w:pageBreakBefore w:val="0"/>
              <w:widowControl w:val="0"/>
              <w:bidi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5.投标声明（格式后附）；（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49A24E4">
            <w:pPr>
              <w:keepNext w:val="0"/>
              <w:keepLines w:val="0"/>
              <w:pageBreakBefore w:val="0"/>
              <w:widowControl w:val="0"/>
              <w:bidi w:val="0"/>
              <w:spacing w:line="400" w:lineRule="exact"/>
              <w:ind w:firstLine="420"/>
              <w:jc w:val="left"/>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6.特定资格要求：</w:t>
            </w:r>
            <w:r>
              <w:rPr>
                <w:rFonts w:hint="eastAsia" w:ascii="宋体" w:hAnsi="宋体" w:eastAsia="宋体" w:cs="Times New Roman"/>
                <w:b/>
                <w:bCs/>
                <w:color w:val="auto"/>
                <w:sz w:val="21"/>
                <w:szCs w:val="21"/>
                <w:highlight w:val="none"/>
                <w:lang w:val="en-US" w:eastAsia="zh-CN" w:bidi="ar-SA"/>
              </w:rPr>
              <w:t>【必须提供，否则响应文件按无效处理】</w:t>
            </w:r>
          </w:p>
          <w:p w14:paraId="19AE5258">
            <w:pPr>
              <w:keepNext w:val="0"/>
              <w:keepLines w:val="0"/>
              <w:pageBreakBefore w:val="0"/>
              <w:widowControl w:val="0"/>
              <w:bidi w:val="0"/>
              <w:spacing w:line="400" w:lineRule="exact"/>
              <w:ind w:firstLine="420"/>
              <w:jc w:val="left"/>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（1）有效的</w:t>
            </w:r>
            <w:r>
              <w:rPr>
                <w:rFonts w:hint="eastAsia" w:ascii="宋体" w:hAnsi="宋体" w:cs="宋体"/>
                <w:color w:val="auto"/>
                <w:highlight w:val="none"/>
              </w:rPr>
              <w:t>市政公用工程施工总承包</w:t>
            </w:r>
            <w:r>
              <w:rPr>
                <w:rFonts w:hint="eastAsia" w:ascii="宋体" w:hAnsi="宋体" w:eastAsia="宋体" w:cs="Times New Roman"/>
                <w:color w:val="auto"/>
                <w:sz w:val="21"/>
                <w:szCs w:val="21"/>
                <w:highlight w:val="none"/>
                <w:lang w:val="en-US" w:eastAsia="zh-CN" w:bidi="ar-SA"/>
              </w:rPr>
              <w:t>二级（含）以上资质证书、安全生产许可证复印件</w:t>
            </w:r>
            <w:r>
              <w:rPr>
                <w:rFonts w:hint="eastAsia"/>
                <w:color w:val="auto"/>
                <w:highlight w:val="none"/>
                <w:lang w:val="en-US" w:eastAsia="zh-CN"/>
              </w:rPr>
              <w:t>或扫描件</w:t>
            </w:r>
            <w:r>
              <w:rPr>
                <w:rFonts w:hint="eastAsia" w:ascii="宋体" w:hAnsi="宋体" w:eastAsia="宋体" w:cs="Times New Roman"/>
                <w:color w:val="auto"/>
                <w:sz w:val="21"/>
                <w:szCs w:val="21"/>
                <w:highlight w:val="none"/>
                <w:lang w:val="en-US" w:eastAsia="zh-CN" w:bidi="ar-SA"/>
              </w:rPr>
              <w:t>；</w:t>
            </w:r>
          </w:p>
          <w:p w14:paraId="59DDC332">
            <w:pPr>
              <w:keepNext w:val="0"/>
              <w:keepLines w:val="0"/>
              <w:pageBreakBefore w:val="0"/>
              <w:widowControl w:val="0"/>
              <w:bidi w:val="0"/>
              <w:spacing w:line="400" w:lineRule="exact"/>
              <w:ind w:firstLine="420"/>
              <w:jc w:val="left"/>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（2）投标人拟投入的项目经理有效的</w:t>
            </w:r>
            <w:r>
              <w:rPr>
                <w:rFonts w:hint="eastAsia" w:ascii="宋体" w:hAnsi="宋体" w:cs="宋体"/>
                <w:color w:val="auto"/>
                <w:highlight w:val="none"/>
              </w:rPr>
              <w:t>市政公用工程专业</w:t>
            </w:r>
            <w:r>
              <w:rPr>
                <w:rFonts w:hint="eastAsia" w:ascii="宋体" w:hAnsi="宋体" w:eastAsia="宋体" w:cs="Times New Roman"/>
                <w:color w:val="auto"/>
                <w:sz w:val="21"/>
                <w:szCs w:val="21"/>
                <w:highlight w:val="none"/>
                <w:lang w:val="en-US" w:eastAsia="zh-CN" w:bidi="ar-SA"/>
              </w:rPr>
              <w:t>二级及以上注册建造师资格证复印件或打印件、安全生产考核合格证（B类）复印件或打印件及有效的身份证正反面复印件；</w:t>
            </w:r>
          </w:p>
          <w:p w14:paraId="3A366E2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（3）拟投入本工程的技术负责人具有市政公用工程相关专业工程师及以上职称</w:t>
            </w:r>
            <w:r>
              <w:rPr>
                <w:rFonts w:hint="eastAsia" w:ascii="宋体" w:hAnsi="宋体"/>
                <w:color w:val="auto"/>
                <w:szCs w:val="21"/>
                <w:highlight w:val="none"/>
              </w:rPr>
              <w:t>证书</w:t>
            </w:r>
            <w:r>
              <w:rPr>
                <w:rFonts w:hint="eastAsia" w:ascii="宋体" w:hAnsi="宋体" w:cs="宋体"/>
                <w:bCs/>
                <w:color w:val="auto"/>
                <w:szCs w:val="21"/>
                <w:highlight w:val="none"/>
              </w:rPr>
              <w:t>复印件或打印件</w:t>
            </w:r>
            <w:r>
              <w:rPr>
                <w:rFonts w:hint="eastAsia" w:ascii="宋体" w:hAnsi="宋体" w:cs="宋体"/>
                <w:bCs/>
                <w:color w:val="auto"/>
                <w:szCs w:val="21"/>
                <w:highlight w:val="none"/>
                <w:lang w:eastAsia="zh-CN"/>
              </w:rPr>
              <w:t>；</w:t>
            </w:r>
          </w:p>
          <w:p w14:paraId="11F7071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（4）拟投入本项目的专职安全生产管理人员须具备有效的安全生产考核合格证书（C类）</w:t>
            </w:r>
            <w:r>
              <w:rPr>
                <w:rFonts w:hint="eastAsia" w:ascii="宋体" w:hAnsi="宋体" w:eastAsia="宋体" w:cs="Times New Roman"/>
                <w:color w:val="auto"/>
                <w:kern w:val="2"/>
                <w:sz w:val="21"/>
                <w:szCs w:val="21"/>
                <w:highlight w:val="none"/>
                <w:lang w:val="en-US" w:eastAsia="zh-CN" w:bidi="ar-SA"/>
              </w:rPr>
              <w:t>复印件或打印件；</w:t>
            </w:r>
          </w:p>
          <w:p w14:paraId="3809E60B">
            <w:pPr>
              <w:keepNext w:val="0"/>
              <w:keepLines w:val="0"/>
              <w:pageBreakBefore w:val="0"/>
              <w:widowControl w:val="0"/>
              <w:bidi w:val="0"/>
              <w:spacing w:line="400" w:lineRule="exact"/>
              <w:ind w:firstLine="420"/>
              <w:jc w:val="left"/>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w:t>
            </w:r>
            <w:r>
              <w:rPr>
                <w:rFonts w:hint="eastAsia" w:ascii="宋体" w:hAnsi="宋体" w:cs="Times New Roman"/>
                <w:color w:val="auto"/>
                <w:sz w:val="21"/>
                <w:szCs w:val="21"/>
                <w:highlight w:val="none"/>
                <w:lang w:val="en-US" w:eastAsia="zh-CN" w:bidi="ar-SA"/>
              </w:rPr>
              <w:t>5</w:t>
            </w:r>
            <w:r>
              <w:rPr>
                <w:rFonts w:hint="eastAsia" w:ascii="宋体" w:hAnsi="宋体" w:eastAsia="宋体" w:cs="Times New Roman"/>
                <w:color w:val="auto"/>
                <w:sz w:val="21"/>
                <w:szCs w:val="21"/>
                <w:highlight w:val="none"/>
                <w:lang w:val="en-US" w:eastAsia="zh-CN" w:bidi="ar-SA"/>
              </w:rPr>
              <w:t>）投标人在人员、设备、资金等方面具有相应能力的承诺函（格式自拟）。</w:t>
            </w:r>
          </w:p>
          <w:p w14:paraId="5A2F91F8">
            <w:pPr>
              <w:keepNext w:val="0"/>
              <w:keepLines w:val="0"/>
              <w:pageBreakBefore w:val="0"/>
              <w:widowControl w:val="0"/>
              <w:bidi w:val="0"/>
              <w:spacing w:line="400" w:lineRule="exact"/>
              <w:ind w:firstLine="420"/>
              <w:jc w:val="left"/>
              <w:rPr>
                <w:rFonts w:hint="eastAsia" w:ascii="宋体" w:hAnsi="宋体" w:cs="Courier New"/>
                <w:b/>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.除招标文件规定必须提供以外，投标人认为需要提供的其他证明材料。</w:t>
            </w:r>
          </w:p>
          <w:p w14:paraId="1A04C50A">
            <w:pPr>
              <w:keepNext w:val="0"/>
              <w:keepLines w:val="0"/>
              <w:pageBreakBefore w:val="0"/>
              <w:widowControl w:val="0"/>
              <w:bidi w:val="0"/>
              <w:spacing w:line="400" w:lineRule="exact"/>
              <w:jc w:val="left"/>
              <w:rPr>
                <w:rFonts w:hint="eastAsia" w:ascii="宋体" w:hAnsi="宋体" w:cs="Courier New"/>
                <w:b/>
                <w:color w:val="auto"/>
                <w:szCs w:val="21"/>
                <w:highlight w:val="none"/>
              </w:rPr>
            </w:pPr>
            <w:r>
              <w:rPr>
                <w:rFonts w:hint="eastAsia" w:ascii="宋体" w:hAnsi="宋体"/>
                <w:b/>
                <w:bCs/>
                <w:color w:val="auto"/>
                <w:szCs w:val="21"/>
                <w:highlight w:val="none"/>
              </w:rPr>
              <w:t>注：以上标明“必须提供”的材料 ，必须加盖投标人公章；必须提供的材料在第</w:t>
            </w:r>
            <w:r>
              <w:rPr>
                <w:rFonts w:hint="eastAsia" w:ascii="宋体" w:hAnsi="宋体"/>
                <w:b/>
                <w:bCs/>
                <w:color w:val="auto"/>
                <w:szCs w:val="21"/>
                <w:highlight w:val="none"/>
                <w:lang w:eastAsia="zh-CN"/>
              </w:rPr>
              <w:t>六</w:t>
            </w:r>
            <w:r>
              <w:rPr>
                <w:rFonts w:hint="eastAsia" w:ascii="宋体" w:hAnsi="宋体"/>
                <w:b/>
                <w:bCs/>
                <w:color w:val="auto"/>
                <w:szCs w:val="21"/>
                <w:highlight w:val="none"/>
              </w:rPr>
              <w:t>章“投标文件格式”中 有要求法定代表人或委托代理人签字的，必须由法定代表人或委托代理人签字，否则投标文件按无效投标处理。其中，投标声明必须由法定代表人在规定签章处签字（或盖章）并加盖投标人公章，否则投标文件按无效投标处理</w:t>
            </w:r>
            <w:r>
              <w:rPr>
                <w:rFonts w:hint="eastAsia" w:ascii="宋体" w:hAnsi="宋体" w:cs="Courier New"/>
                <w:b/>
                <w:color w:val="auto"/>
                <w:szCs w:val="21"/>
                <w:highlight w:val="none"/>
              </w:rPr>
              <w:t>。</w:t>
            </w:r>
          </w:p>
        </w:tc>
      </w:tr>
      <w:tr w14:paraId="312A2E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vMerge w:val="continue"/>
            <w:tcBorders>
              <w:top w:val="single" w:color="auto" w:sz="4" w:space="0"/>
              <w:left w:val="single" w:color="auto" w:sz="4" w:space="0"/>
              <w:bottom w:val="single" w:color="auto" w:sz="4" w:space="0"/>
              <w:right w:val="single" w:color="auto" w:sz="4" w:space="0"/>
            </w:tcBorders>
            <w:noWrap w:val="0"/>
            <w:vAlign w:val="center"/>
          </w:tcPr>
          <w:p w14:paraId="0F903613">
            <w:pPr>
              <w:spacing w:line="360" w:lineRule="auto"/>
              <w:rPr>
                <w:rFonts w:hint="eastAsia" w:ascii="宋体" w:hAnsi="宋体"/>
                <w:color w:val="auto"/>
                <w:szCs w:val="21"/>
                <w:highlight w:val="none"/>
              </w:rPr>
            </w:pPr>
            <w:bookmarkStart w:id="52" w:name="_13.3"/>
            <w:bookmarkEnd w:id="52"/>
          </w:p>
        </w:tc>
        <w:tc>
          <w:tcPr>
            <w:tcW w:w="8175" w:type="dxa"/>
            <w:tcBorders>
              <w:top w:val="single" w:color="auto" w:sz="4" w:space="0"/>
              <w:left w:val="single" w:color="auto" w:sz="4" w:space="0"/>
              <w:bottom w:val="single" w:color="auto" w:sz="4" w:space="0"/>
              <w:right w:val="single" w:color="auto" w:sz="4" w:space="0"/>
            </w:tcBorders>
            <w:noWrap w:val="0"/>
            <w:vAlign w:val="center"/>
          </w:tcPr>
          <w:p w14:paraId="0EA676E8">
            <w:pPr>
              <w:spacing w:line="360" w:lineRule="auto"/>
              <w:jc w:val="left"/>
              <w:rPr>
                <w:rFonts w:hint="eastAsia" w:ascii="宋体" w:hAnsi="宋体" w:cs="Courier New"/>
                <w:b/>
                <w:color w:val="auto"/>
                <w:szCs w:val="21"/>
                <w:highlight w:val="none"/>
              </w:rPr>
            </w:pPr>
            <w:r>
              <w:rPr>
                <w:rFonts w:hint="eastAsia"/>
                <w:b/>
                <w:color w:val="auto"/>
                <w:highlight w:val="none"/>
              </w:rPr>
              <w:t>商务及技术文件</w:t>
            </w:r>
            <w:r>
              <w:rPr>
                <w:rFonts w:hint="eastAsia" w:ascii="宋体" w:hAnsi="宋体" w:cs="Courier New"/>
                <w:b/>
                <w:color w:val="auto"/>
                <w:szCs w:val="21"/>
                <w:highlight w:val="none"/>
              </w:rPr>
              <w:t>：</w:t>
            </w:r>
          </w:p>
          <w:p w14:paraId="7D869675">
            <w:pPr>
              <w:spacing w:line="400" w:lineRule="exact"/>
              <w:ind w:left="413"/>
              <w:jc w:val="left"/>
              <w:rPr>
                <w:rFonts w:hint="eastAsia"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F4B6D9E">
            <w:pPr>
              <w:spacing w:line="400" w:lineRule="exact"/>
              <w:ind w:left="413"/>
              <w:jc w:val="left"/>
              <w:rPr>
                <w:rFonts w:ascii="宋体" w:hAnsi="宋体"/>
                <w:color w:val="auto"/>
                <w:szCs w:val="21"/>
                <w:highlight w:val="none"/>
              </w:rPr>
            </w:pPr>
            <w:r>
              <w:rPr>
                <w:rFonts w:hint="eastAsia" w:ascii="宋体" w:hAnsi="宋体"/>
                <w:color w:val="auto"/>
                <w:szCs w:val="21"/>
                <w:highlight w:val="none"/>
              </w:rPr>
              <w:t>2.法定代表人身份证明及法定代表人有效身份证正反面复印件（格式后附）；（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39C205E">
            <w:pPr>
              <w:spacing w:line="400" w:lineRule="exact"/>
              <w:ind w:left="413"/>
              <w:jc w:val="left"/>
              <w:rPr>
                <w:rFonts w:ascii="宋体" w:hAnsi="宋体"/>
                <w:color w:val="auto"/>
                <w:szCs w:val="21"/>
                <w:highlight w:val="none"/>
              </w:rPr>
            </w:pPr>
            <w:r>
              <w:rPr>
                <w:rFonts w:hint="eastAsia" w:ascii="宋体" w:hAnsi="宋体"/>
                <w:color w:val="auto"/>
                <w:szCs w:val="21"/>
                <w:highlight w:val="none"/>
              </w:rPr>
              <w:t>3.授权委托书及委托代理人有效身份证正反面复印件（格式后附）；（</w:t>
            </w:r>
            <w:r>
              <w:rPr>
                <w:rFonts w:hint="eastAsia" w:ascii="宋体" w:hAnsi="宋体"/>
                <w:b/>
                <w:color w:val="auto"/>
                <w:szCs w:val="21"/>
                <w:highlight w:val="none"/>
              </w:rPr>
              <w:t>委托时必须提供，否则按无效投标处理</w:t>
            </w:r>
            <w:r>
              <w:rPr>
                <w:rFonts w:hint="eastAsia" w:ascii="宋体" w:hAnsi="宋体"/>
                <w:color w:val="auto"/>
                <w:szCs w:val="21"/>
                <w:highlight w:val="none"/>
              </w:rPr>
              <w:t>）</w:t>
            </w:r>
          </w:p>
          <w:p w14:paraId="3227A563">
            <w:pPr>
              <w:spacing w:line="400" w:lineRule="exact"/>
              <w:ind w:left="413"/>
              <w:jc w:val="left"/>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商务要求偏离表（格式后附）；（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6FE98D9">
            <w:pPr>
              <w:spacing w:line="400" w:lineRule="exact"/>
              <w:ind w:left="413"/>
              <w:jc w:val="left"/>
              <w:rPr>
                <w:rFonts w:hint="eastAsia" w:ascii="宋体" w:hAnsi="宋体"/>
                <w:color w:val="auto"/>
                <w:szCs w:val="21"/>
                <w:highlight w:val="none"/>
              </w:rPr>
            </w:pPr>
            <w:r>
              <w:rPr>
                <w:rFonts w:hint="eastAsia" w:ascii="宋体" w:hAnsi="宋体"/>
                <w:color w:val="auto"/>
                <w:szCs w:val="21"/>
                <w:highlight w:val="none"/>
              </w:rPr>
              <w:t>5.承诺</w:t>
            </w:r>
            <w:r>
              <w:rPr>
                <w:rFonts w:hint="eastAsia" w:ascii="宋体" w:hAnsi="宋体"/>
                <w:color w:val="auto"/>
                <w:szCs w:val="21"/>
                <w:highlight w:val="none"/>
                <w:lang w:eastAsia="zh-CN"/>
              </w:rPr>
              <w:t>函</w:t>
            </w:r>
            <w:r>
              <w:rPr>
                <w:rFonts w:hint="eastAsia" w:ascii="宋体" w:hAnsi="宋体"/>
                <w:color w:val="auto"/>
                <w:szCs w:val="21"/>
                <w:highlight w:val="none"/>
              </w:rPr>
              <w:t>（格式后附）；（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B5D6F73">
            <w:pPr>
              <w:spacing w:line="400" w:lineRule="exact"/>
              <w:ind w:left="413"/>
              <w:jc w:val="left"/>
              <w:rPr>
                <w:rFonts w:hint="eastAsia" w:ascii="宋体" w:hAnsi="宋体"/>
                <w:color w:val="auto"/>
                <w:szCs w:val="21"/>
                <w:highlight w:val="none"/>
              </w:rPr>
            </w:pPr>
            <w:r>
              <w:rPr>
                <w:rFonts w:hint="eastAsia" w:ascii="宋体" w:hAnsi="宋体"/>
                <w:color w:val="auto"/>
                <w:szCs w:val="21"/>
                <w:highlight w:val="none"/>
              </w:rPr>
              <w:t>6.投标人情况介绍（格式自拟）；</w:t>
            </w:r>
          </w:p>
          <w:p w14:paraId="19911275">
            <w:pPr>
              <w:pStyle w:val="218"/>
              <w:spacing w:line="400" w:lineRule="exact"/>
              <w:ind w:firstLine="420"/>
              <w:rPr>
                <w:rFonts w:hint="eastAsia"/>
                <w:color w:val="auto"/>
                <w:highlight w:val="none"/>
                <w:lang w:val="en-US" w:eastAsia="zh-CN"/>
              </w:rPr>
            </w:pPr>
            <w:r>
              <w:rPr>
                <w:rFonts w:hint="eastAsia" w:ascii="宋体" w:hAnsi="宋体"/>
                <w:color w:val="auto"/>
                <w:szCs w:val="21"/>
                <w:highlight w:val="none"/>
                <w:lang w:val="en-US" w:eastAsia="zh-CN"/>
              </w:rPr>
              <w:t>7.代理服务费承诺书（格式后附）；</w:t>
            </w:r>
            <w:r>
              <w:rPr>
                <w:rFonts w:hint="eastAsia" w:ascii="宋体" w:hAnsi="宋体"/>
                <w:b/>
                <w:bCs/>
                <w:color w:val="auto"/>
                <w:szCs w:val="21"/>
                <w:highlight w:val="none"/>
                <w:lang w:val="en-US" w:eastAsia="zh-CN"/>
              </w:rPr>
              <w:t xml:space="preserve"> </w:t>
            </w:r>
          </w:p>
          <w:p w14:paraId="05D1D483">
            <w:pPr>
              <w:spacing w:line="400" w:lineRule="exact"/>
              <w:ind w:left="420"/>
              <w:jc w:val="left"/>
              <w:rPr>
                <w:rFonts w:hint="eastAsia" w:ascii="宋体" w:hAnsi="宋体"/>
                <w:color w:val="auto"/>
                <w:szCs w:val="21"/>
                <w:highlight w:val="none"/>
              </w:rPr>
            </w:pPr>
            <w:r>
              <w:rPr>
                <w:rFonts w:hint="eastAsia" w:ascii="宋体" w:hAnsi="宋体"/>
                <w:color w:val="auto"/>
                <w:szCs w:val="21"/>
                <w:highlight w:val="none"/>
              </w:rPr>
              <w:t>8.技术要求偏离表（格式后附）；（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6566BED">
            <w:pPr>
              <w:spacing w:line="400" w:lineRule="exact"/>
              <w:ind w:left="420"/>
              <w:jc w:val="left"/>
              <w:rPr>
                <w:rFonts w:hint="eastAsia" w:ascii="宋体" w:hAnsi="宋体" w:cs="宋体"/>
                <w:color w:val="auto"/>
                <w:szCs w:val="21"/>
                <w:highlight w:val="none"/>
              </w:rPr>
            </w:pPr>
            <w:r>
              <w:rPr>
                <w:rFonts w:hint="eastAsia" w:ascii="宋体" w:hAnsi="宋体"/>
                <w:color w:val="auto"/>
                <w:szCs w:val="21"/>
                <w:highlight w:val="none"/>
              </w:rPr>
              <w:t>9.</w:t>
            </w:r>
            <w:r>
              <w:rPr>
                <w:rFonts w:hint="eastAsia" w:ascii="宋体" w:hAnsi="宋体" w:cs="宋体"/>
                <w:color w:val="auto"/>
                <w:szCs w:val="21"/>
                <w:highlight w:val="none"/>
                <w:lang w:eastAsia="zh-CN"/>
              </w:rPr>
              <w:t>技术服务方案</w:t>
            </w:r>
            <w:r>
              <w:rPr>
                <w:rFonts w:hint="eastAsia" w:ascii="宋体" w:hAnsi="宋体" w:cs="宋体"/>
                <w:color w:val="auto"/>
                <w:szCs w:val="21"/>
                <w:highlight w:val="none"/>
              </w:rPr>
              <w:t>（格式自拟）</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8029FB4">
            <w:pPr>
              <w:spacing w:line="400" w:lineRule="exact"/>
              <w:ind w:left="413"/>
              <w:jc w:val="left"/>
              <w:rPr>
                <w:rFonts w:hint="eastAsia" w:ascii="宋体" w:hAnsi="宋体"/>
                <w:color w:val="auto"/>
                <w:szCs w:val="21"/>
                <w:highlight w:val="none"/>
              </w:rPr>
            </w:pPr>
            <w:r>
              <w:rPr>
                <w:rFonts w:hint="eastAsia" w:ascii="宋体" w:hAnsi="宋体"/>
                <w:color w:val="auto"/>
                <w:szCs w:val="21"/>
                <w:highlight w:val="none"/>
              </w:rPr>
              <w:t>10.项目实施人员一览表（格式后附）；（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D46EBC7">
            <w:pPr>
              <w:spacing w:line="400" w:lineRule="exact"/>
              <w:ind w:left="420"/>
              <w:jc w:val="left"/>
              <w:rPr>
                <w:rFonts w:hint="eastAsia" w:ascii="宋体" w:hAnsi="宋体"/>
                <w:color w:val="auto"/>
                <w:szCs w:val="21"/>
                <w:highlight w:val="none"/>
              </w:rPr>
            </w:pPr>
            <w:r>
              <w:rPr>
                <w:rFonts w:hint="eastAsia" w:ascii="宋体" w:hAnsi="宋体"/>
                <w:color w:val="auto"/>
                <w:szCs w:val="21"/>
                <w:highlight w:val="none"/>
              </w:rPr>
              <w:t>11.投标人对本项目的合理化建议和改进措施（格式自拟）；</w:t>
            </w:r>
          </w:p>
          <w:p w14:paraId="699A0406">
            <w:pPr>
              <w:spacing w:line="400" w:lineRule="exact"/>
              <w:ind w:left="413"/>
              <w:jc w:val="left"/>
              <w:rPr>
                <w:rFonts w:hint="eastAsia" w:ascii="宋体" w:hAnsi="宋体"/>
                <w:color w:val="auto"/>
                <w:szCs w:val="21"/>
                <w:highlight w:val="none"/>
              </w:rPr>
            </w:pPr>
            <w:r>
              <w:rPr>
                <w:rFonts w:hint="eastAsia" w:ascii="宋体" w:hAnsi="宋体"/>
                <w:color w:val="auto"/>
                <w:szCs w:val="21"/>
                <w:highlight w:val="none"/>
              </w:rPr>
              <w:t>12.除招标文件规定必须提供以外，投标人认为需要提供的其他证明材料（格式自拟）。（投标人根据“第二章 采购需求”及“第四章 评标方法及评标标准”提供有关证明材料）。</w:t>
            </w:r>
          </w:p>
          <w:p w14:paraId="2D93E168">
            <w:pPr>
              <w:spacing w:line="360" w:lineRule="auto"/>
              <w:jc w:val="left"/>
              <w:rPr>
                <w:rFonts w:hint="eastAsia" w:ascii="宋体" w:hAnsi="宋体" w:cs="Courier New"/>
                <w:b/>
                <w:color w:val="auto"/>
                <w:szCs w:val="21"/>
                <w:highlight w:val="none"/>
              </w:rPr>
            </w:pPr>
            <w:r>
              <w:rPr>
                <w:rFonts w:hint="eastAsia" w:ascii="宋体" w:hAnsi="宋体"/>
                <w:b/>
                <w:bCs/>
                <w:color w:val="auto"/>
                <w:szCs w:val="21"/>
                <w:highlight w:val="none"/>
              </w:rPr>
              <w:t>注：以上标明“必须提供”的材料 ，必须加盖投标人公章；必须提供的材料在第</w:t>
            </w:r>
            <w:r>
              <w:rPr>
                <w:rFonts w:hint="eastAsia" w:ascii="宋体" w:hAnsi="宋体"/>
                <w:b/>
                <w:bCs/>
                <w:color w:val="auto"/>
                <w:szCs w:val="21"/>
                <w:highlight w:val="none"/>
                <w:lang w:eastAsia="zh-CN"/>
              </w:rPr>
              <w:t>六</w:t>
            </w:r>
            <w:r>
              <w:rPr>
                <w:rFonts w:hint="eastAsia" w:ascii="宋体" w:hAnsi="宋体"/>
                <w:b/>
                <w:bCs/>
                <w:color w:val="auto"/>
                <w:szCs w:val="21"/>
                <w:highlight w:val="none"/>
              </w:rPr>
              <w:t>章“投标文件格式”中 有要求法定代表人或委托代理人签字的，必须由法定代表人或委托代理人签字，否则投标文件按无效投标处理。其中，投标声明必须由法定代表人在规定签章处签字（或盖章）并加盖投标人公章，否则投标文件按无效投标处理</w:t>
            </w:r>
            <w:r>
              <w:rPr>
                <w:rFonts w:hint="eastAsia" w:ascii="宋体" w:hAnsi="宋体" w:cs="Courier New"/>
                <w:b/>
                <w:color w:val="auto"/>
                <w:szCs w:val="21"/>
                <w:highlight w:val="none"/>
              </w:rPr>
              <w:t>。</w:t>
            </w:r>
          </w:p>
        </w:tc>
      </w:tr>
      <w:tr w14:paraId="45C4CD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4974F369">
            <w:pPr>
              <w:spacing w:line="360" w:lineRule="exact"/>
              <w:jc w:val="center"/>
              <w:rPr>
                <w:rFonts w:hint="eastAsia" w:ascii="宋体" w:hAnsi="宋体"/>
                <w:color w:val="auto"/>
                <w:szCs w:val="21"/>
                <w:highlight w:val="none"/>
              </w:rPr>
            </w:pPr>
            <w:bookmarkStart w:id="53" w:name="_13.5"/>
            <w:bookmarkEnd w:id="53"/>
            <w:bookmarkStart w:id="54" w:name="_13.4"/>
            <w:bookmarkEnd w:id="54"/>
            <w:bookmarkStart w:id="55" w:name="_16.2"/>
            <w:bookmarkEnd w:id="55"/>
            <w:r>
              <w:rPr>
                <w:rFonts w:hint="eastAsia" w:ascii="宋体" w:hAnsi="宋体"/>
                <w:color w:val="auto"/>
                <w:szCs w:val="21"/>
                <w:highlight w:val="none"/>
              </w:rPr>
              <w:t>16</w:t>
            </w:r>
            <w:bookmarkStart w:id="56" w:name="_Hlt19693759"/>
            <w:bookmarkStart w:id="57" w:name="_Hlt19194066"/>
            <w:bookmarkStart w:id="58" w:name="_Hlt19194067"/>
            <w:bookmarkStart w:id="59" w:name="_Hlt19693758"/>
            <w:r>
              <w:rPr>
                <w:rFonts w:hint="eastAsia" w:ascii="宋体" w:hAnsi="宋体"/>
                <w:color w:val="auto"/>
                <w:szCs w:val="21"/>
                <w:highlight w:val="none"/>
              </w:rPr>
              <w:t>.</w:t>
            </w:r>
            <w:bookmarkEnd w:id="56"/>
            <w:bookmarkEnd w:id="57"/>
            <w:bookmarkEnd w:id="58"/>
            <w:bookmarkEnd w:id="59"/>
            <w:r>
              <w:rPr>
                <w:rFonts w:hint="eastAsia" w:ascii="宋体" w:hAnsi="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noWrap w:val="0"/>
            <w:vAlign w:val="top"/>
          </w:tcPr>
          <w:p w14:paraId="22B40965">
            <w:pPr>
              <w:spacing w:line="400" w:lineRule="exact"/>
              <w:jc w:val="left"/>
              <w:rPr>
                <w:rFonts w:hint="eastAsia" w:ascii="宋体" w:hAnsi="宋体" w:cs="宋体"/>
                <w:color w:val="auto"/>
                <w:szCs w:val="21"/>
                <w:highlight w:val="none"/>
              </w:rPr>
            </w:pPr>
            <w:r>
              <w:rPr>
                <w:rFonts w:ascii="宋体" w:hAnsi="宋体"/>
                <w:b/>
                <w:color w:val="auto"/>
                <w:szCs w:val="21"/>
                <w:highlight w:val="none"/>
              </w:rPr>
              <w:t>投标报价要求：</w:t>
            </w:r>
          </w:p>
          <w:p w14:paraId="24870AB3">
            <w:pPr>
              <w:keepNext w:val="0"/>
              <w:keepLines w:val="0"/>
              <w:pageBreakBefore w:val="0"/>
              <w:widowControl w:val="0"/>
              <w:bidi w:val="0"/>
              <w:spacing w:line="400" w:lineRule="exact"/>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1.本项目投标报价采用系数报价。投标人须对服务期内所承接的所有项目，在经委托第三方审核机构或报送市财政投资评审中心审定的结算价款的基础上进行系数报价。系数报价保留两位小数。</w:t>
            </w:r>
          </w:p>
          <w:p w14:paraId="541A3580">
            <w:pPr>
              <w:keepNext w:val="0"/>
              <w:keepLines w:val="0"/>
              <w:pageBreakBefore w:val="0"/>
              <w:widowControl w:val="0"/>
              <w:bidi w:val="0"/>
              <w:spacing w:line="400" w:lineRule="exact"/>
              <w:jc w:val="both"/>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2.报价范围：系数≤100%，投标人投标系数不在报价范围的，其报价无效，按投标无效处理。</w:t>
            </w:r>
          </w:p>
          <w:p w14:paraId="418DBDA8">
            <w:pPr>
              <w:keepNext w:val="0"/>
              <w:keepLines w:val="0"/>
              <w:pageBreakBefore w:val="0"/>
              <w:widowControl w:val="0"/>
              <w:tabs>
                <w:tab w:val="left" w:pos="1305"/>
              </w:tabs>
              <w:bidi w:val="0"/>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3.投标人只能有一个有效系数报价，否则，其投标将被拒绝。</w:t>
            </w:r>
          </w:p>
          <w:p w14:paraId="0FA3995D">
            <w:pPr>
              <w:keepNext w:val="0"/>
              <w:keepLines w:val="0"/>
              <w:pageBreakBefore w:val="0"/>
              <w:widowControl w:val="0"/>
              <w:tabs>
                <w:tab w:val="left" w:pos="1305"/>
              </w:tabs>
              <w:bidi w:val="0"/>
              <w:spacing w:line="400" w:lineRule="exact"/>
              <w:rPr>
                <w:rFonts w:hint="eastAsia" w:ascii="宋体" w:hAnsi="宋体" w:eastAsia="宋体" w:cs="宋体"/>
                <w:b/>
                <w:bCs/>
                <w:color w:val="auto"/>
                <w:szCs w:val="21"/>
                <w:highlight w:val="none"/>
                <w:lang w:val="en-US" w:eastAsia="zh-CN"/>
              </w:rPr>
            </w:pPr>
            <w:r>
              <w:rPr>
                <w:rFonts w:hint="eastAsia" w:ascii="宋体" w:hAnsi="宋体" w:cs="宋体"/>
                <w:color w:val="auto"/>
                <w:highlight w:val="none"/>
              </w:rPr>
              <w:t>4.投标人所报的</w:t>
            </w:r>
            <w:r>
              <w:rPr>
                <w:rFonts w:hint="eastAsia" w:ascii="宋体" w:hAnsi="宋体" w:cs="宋体"/>
                <w:color w:val="auto"/>
                <w:szCs w:val="21"/>
                <w:highlight w:val="none"/>
              </w:rPr>
              <w:t>系数报价</w:t>
            </w:r>
            <w:r>
              <w:rPr>
                <w:rFonts w:hint="eastAsia" w:ascii="宋体" w:hAnsi="宋体" w:cs="宋体"/>
                <w:color w:val="auto"/>
                <w:highlight w:val="none"/>
              </w:rPr>
              <w:t>在合同执行过程中固定不变，不得以任何理由予以变更。</w:t>
            </w:r>
          </w:p>
          <w:p w14:paraId="2577C4AD">
            <w:pPr>
              <w:spacing w:line="380" w:lineRule="exact"/>
              <w:rPr>
                <w:rFonts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投标报价是合同期内用于计算具体项目结算金额的系数，具体项目的结算金额包括了为实施和完成合同工程所需的劳务、材料、机械、质检、安装、缺陷修复、管理、保险、税费、利润等费用，以及合同明示的所有责任、义务和一般风险。</w:t>
            </w:r>
          </w:p>
        </w:tc>
      </w:tr>
      <w:tr w14:paraId="1CCAAD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18DD39D6">
            <w:pPr>
              <w:spacing w:line="360" w:lineRule="auto"/>
              <w:jc w:val="center"/>
              <w:rPr>
                <w:rFonts w:hint="eastAsia" w:ascii="宋体" w:hAnsi="宋体"/>
                <w:color w:val="auto"/>
                <w:szCs w:val="21"/>
                <w:highlight w:val="none"/>
              </w:rPr>
            </w:pPr>
            <w:bookmarkStart w:id="60" w:name="_17.1"/>
            <w:bookmarkEnd w:id="60"/>
            <w:r>
              <w:rPr>
                <w:rFonts w:hint="eastAsia" w:ascii="宋体" w:hAnsi="宋体"/>
                <w:color w:val="auto"/>
                <w:szCs w:val="21"/>
                <w:highlight w:val="none"/>
              </w:rPr>
              <w:t>17.</w:t>
            </w:r>
            <w:r>
              <w:rPr>
                <w:rFonts w:ascii="宋体" w:hAnsi="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883FE62">
            <w:pPr>
              <w:spacing w:line="360" w:lineRule="auto"/>
              <w:rPr>
                <w:rFonts w:hint="eastAsia" w:ascii="宋体" w:hAnsi="宋体"/>
                <w:color w:val="auto"/>
                <w:szCs w:val="21"/>
                <w:highlight w:val="none"/>
              </w:rPr>
            </w:pPr>
            <w:r>
              <w:rPr>
                <w:rFonts w:hint="eastAsia" w:ascii="宋体" w:hAnsi="宋体"/>
                <w:color w:val="auto"/>
                <w:szCs w:val="21"/>
                <w:highlight w:val="none"/>
              </w:rPr>
              <w:t>投标有效期：自投标截止之日起</w:t>
            </w:r>
            <w:r>
              <w:rPr>
                <w:rFonts w:hint="eastAsia" w:ascii="宋体" w:hAnsi="宋体"/>
                <w:color w:val="auto"/>
                <w:szCs w:val="21"/>
                <w:highlight w:val="none"/>
                <w:u w:val="single"/>
              </w:rPr>
              <w:t>90</w:t>
            </w:r>
            <w:r>
              <w:rPr>
                <w:rFonts w:hint="eastAsia" w:ascii="宋体" w:hAnsi="宋体"/>
                <w:color w:val="auto"/>
                <w:szCs w:val="21"/>
                <w:highlight w:val="none"/>
              </w:rPr>
              <w:t>日。</w:t>
            </w:r>
          </w:p>
        </w:tc>
      </w:tr>
      <w:tr w14:paraId="3261AB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196B945E">
            <w:pPr>
              <w:spacing w:line="360" w:lineRule="auto"/>
              <w:jc w:val="center"/>
              <w:rPr>
                <w:rFonts w:hint="eastAsia" w:ascii="宋体" w:hAnsi="宋体"/>
                <w:color w:val="auto"/>
                <w:szCs w:val="21"/>
                <w:highlight w:val="none"/>
              </w:rPr>
            </w:pPr>
            <w:bookmarkStart w:id="61" w:name="_18"/>
            <w:bookmarkEnd w:id="61"/>
            <w:r>
              <w:rPr>
                <w:rFonts w:hint="eastAsia" w:ascii="宋体" w:hAnsi="宋体"/>
                <w:color w:val="auto"/>
                <w:szCs w:val="21"/>
                <w:highlight w:val="none"/>
              </w:rPr>
              <w:t>18</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128D692">
            <w:pPr>
              <w:spacing w:line="360" w:lineRule="auto"/>
              <w:rPr>
                <w:rFonts w:hint="eastAsia" w:ascii="宋体" w:hAnsi="宋体"/>
                <w:color w:val="auto"/>
                <w:szCs w:val="21"/>
                <w:highlight w:val="none"/>
              </w:rPr>
            </w:pPr>
            <w:r>
              <w:rPr>
                <w:rFonts w:hint="eastAsia" w:ascii="宋体" w:hAnsi="宋体"/>
                <w:color w:val="auto"/>
                <w:szCs w:val="21"/>
                <w:highlight w:val="none"/>
              </w:rPr>
              <w:t>本项目不收取投标保证金。</w:t>
            </w:r>
          </w:p>
        </w:tc>
      </w:tr>
      <w:tr w14:paraId="7D1BCB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5A38B676">
            <w:pPr>
              <w:spacing w:line="360" w:lineRule="auto"/>
              <w:jc w:val="center"/>
              <w:rPr>
                <w:rFonts w:hint="eastAsia" w:ascii="宋体" w:hAnsi="宋体"/>
                <w:color w:val="auto"/>
                <w:szCs w:val="21"/>
                <w:highlight w:val="none"/>
              </w:rPr>
            </w:pPr>
            <w:bookmarkStart w:id="62" w:name="_21.1"/>
            <w:bookmarkEnd w:id="62"/>
            <w:bookmarkStart w:id="63" w:name="_19.2"/>
            <w:bookmarkEnd w:id="63"/>
            <w:r>
              <w:rPr>
                <w:rFonts w:hint="eastAsia" w:ascii="宋体" w:hAnsi="宋体"/>
                <w:color w:val="auto"/>
                <w:szCs w:val="21"/>
                <w:highlight w:val="none"/>
              </w:rPr>
              <w:t>20</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315B0E1">
            <w:pPr>
              <w:spacing w:line="360" w:lineRule="auto"/>
              <w:rPr>
                <w:rFonts w:hint="eastAsia" w:ascii="宋体" w:hAnsi="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备份投标文件；</w:t>
            </w:r>
          </w:p>
        </w:tc>
      </w:tr>
      <w:tr w14:paraId="22FA14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4805261B">
            <w:pPr>
              <w:spacing w:line="360" w:lineRule="auto"/>
              <w:jc w:val="center"/>
              <w:rPr>
                <w:rFonts w:hint="eastAsia" w:ascii="宋体" w:hAnsi="宋体"/>
                <w:color w:val="auto"/>
                <w:szCs w:val="21"/>
                <w:highlight w:val="none"/>
              </w:rPr>
            </w:pPr>
            <w:r>
              <w:rPr>
                <w:rFonts w:hint="eastAsia" w:ascii="宋体" w:hAnsi="宋体"/>
                <w:color w:val="auto"/>
                <w:szCs w:val="21"/>
                <w:highlight w:val="none"/>
              </w:rPr>
              <w:t>21.1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32DCAAD">
            <w:pPr>
              <w:spacing w:line="360" w:lineRule="auto"/>
              <w:rPr>
                <w:rFonts w:hint="eastAsia" w:ascii="宋体" w:hAnsi="宋体"/>
                <w:color w:val="auto"/>
                <w:szCs w:val="21"/>
                <w:highlight w:val="none"/>
                <w:u w:val="single"/>
              </w:rPr>
            </w:pPr>
            <w:r>
              <w:rPr>
                <w:rFonts w:hint="eastAsia" w:ascii="宋体" w:hAnsi="宋体"/>
                <w:color w:val="auto"/>
                <w:szCs w:val="21"/>
                <w:highlight w:val="none"/>
              </w:rPr>
              <w:t>1.提交投标文件截止时间：详见招标公告</w:t>
            </w:r>
          </w:p>
          <w:p w14:paraId="776CC98B">
            <w:pPr>
              <w:spacing w:line="360" w:lineRule="auto"/>
              <w:rPr>
                <w:rFonts w:hint="eastAsia" w:ascii="宋体" w:hAnsi="宋体"/>
                <w:color w:val="auto"/>
                <w:szCs w:val="21"/>
                <w:highlight w:val="none"/>
              </w:rPr>
            </w:pPr>
            <w:r>
              <w:rPr>
                <w:rFonts w:hint="eastAsia" w:ascii="宋体" w:hAnsi="宋体"/>
                <w:color w:val="auto"/>
                <w:szCs w:val="21"/>
                <w:highlight w:val="none"/>
              </w:rPr>
              <w:t>2.投标地点：详见招标公告</w:t>
            </w:r>
          </w:p>
        </w:tc>
      </w:tr>
      <w:tr w14:paraId="09D25F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100F8EAF">
            <w:pPr>
              <w:spacing w:line="360" w:lineRule="auto"/>
              <w:jc w:val="center"/>
              <w:rPr>
                <w:rFonts w:hint="eastAsia" w:ascii="宋体" w:hAnsi="宋体"/>
                <w:color w:val="auto"/>
                <w:szCs w:val="21"/>
                <w:highlight w:val="none"/>
              </w:rPr>
            </w:pPr>
            <w:bookmarkStart w:id="64" w:name="_23"/>
            <w:bookmarkEnd w:id="64"/>
            <w:r>
              <w:rPr>
                <w:rFonts w:hint="eastAsia" w:ascii="宋体" w:hAnsi="宋体"/>
                <w:color w:val="auto"/>
                <w:szCs w:val="21"/>
                <w:highlight w:val="none"/>
              </w:rPr>
              <w:t>23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3E7EB54">
            <w:pPr>
              <w:spacing w:line="360" w:lineRule="auto"/>
              <w:rPr>
                <w:rFonts w:hint="eastAsia" w:ascii="宋体" w:hAnsi="宋体"/>
                <w:color w:val="auto"/>
                <w:szCs w:val="21"/>
                <w:highlight w:val="none"/>
              </w:rPr>
            </w:pPr>
            <w:r>
              <w:rPr>
                <w:rFonts w:hint="eastAsia" w:ascii="宋体" w:hAnsi="宋体"/>
                <w:color w:val="auto"/>
                <w:szCs w:val="21"/>
                <w:highlight w:val="none"/>
              </w:rPr>
              <w:t>1.开标时间：详见招标公告</w:t>
            </w:r>
          </w:p>
          <w:p w14:paraId="2E276CBE">
            <w:pPr>
              <w:spacing w:line="360" w:lineRule="auto"/>
              <w:rPr>
                <w:rFonts w:hint="eastAsia" w:ascii="宋体" w:hAnsi="宋体"/>
                <w:color w:val="auto"/>
                <w:szCs w:val="21"/>
                <w:highlight w:val="none"/>
              </w:rPr>
            </w:pPr>
            <w:r>
              <w:rPr>
                <w:rFonts w:hint="eastAsia" w:ascii="宋体" w:hAnsi="宋体"/>
                <w:color w:val="auto"/>
                <w:szCs w:val="21"/>
                <w:highlight w:val="none"/>
              </w:rPr>
              <w:t>2.开标地点：详见招标公告</w:t>
            </w:r>
          </w:p>
        </w:tc>
      </w:tr>
      <w:tr w14:paraId="4492F4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29CE12DD">
            <w:pPr>
              <w:spacing w:line="360" w:lineRule="auto"/>
              <w:jc w:val="center"/>
              <w:rPr>
                <w:rFonts w:hint="eastAsia" w:ascii="宋体" w:hAnsi="宋体"/>
                <w:color w:val="auto"/>
                <w:szCs w:val="21"/>
                <w:highlight w:val="none"/>
              </w:rPr>
            </w:pPr>
            <w:r>
              <w:rPr>
                <w:rFonts w:hint="eastAsia" w:ascii="宋体" w:hAnsi="宋体"/>
                <w:color w:val="auto"/>
                <w:szCs w:val="21"/>
                <w:highlight w:val="none"/>
              </w:rPr>
              <w:t>24.3（1）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46DFC2A">
            <w:pPr>
              <w:spacing w:line="360" w:lineRule="auto"/>
              <w:rPr>
                <w:rFonts w:hint="eastAsia" w:ascii="宋体" w:hAnsi="宋体"/>
                <w:color w:val="auto"/>
                <w:szCs w:val="21"/>
                <w:highlight w:val="none"/>
              </w:rPr>
            </w:pPr>
            <w:r>
              <w:rPr>
                <w:rFonts w:hint="eastAsia" w:hAnsi="宋体"/>
                <w:color w:val="auto"/>
                <w:highlight w:val="none"/>
              </w:rPr>
              <w:t>电子投标文件解密时间：</w:t>
            </w:r>
            <w:r>
              <w:rPr>
                <w:rFonts w:hint="eastAsia" w:hAnsi="宋体"/>
                <w:color w:val="auto"/>
                <w:highlight w:val="none"/>
                <w:u w:val="single"/>
              </w:rPr>
              <w:t>30</w:t>
            </w:r>
            <w:r>
              <w:rPr>
                <w:rFonts w:hint="eastAsia" w:hAnsi="宋体"/>
                <w:color w:val="auto"/>
                <w:highlight w:val="none"/>
              </w:rPr>
              <w:t>分钟</w:t>
            </w:r>
          </w:p>
        </w:tc>
      </w:tr>
      <w:tr w14:paraId="44C08F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36F18A73">
            <w:pPr>
              <w:spacing w:line="360" w:lineRule="auto"/>
              <w:jc w:val="center"/>
              <w:rPr>
                <w:rFonts w:hint="eastAsia" w:ascii="宋体" w:hAnsi="宋体"/>
                <w:color w:val="auto"/>
                <w:szCs w:val="21"/>
                <w:highlight w:val="none"/>
              </w:rPr>
            </w:pPr>
            <w:bookmarkStart w:id="65" w:name="_25.3"/>
            <w:bookmarkEnd w:id="65"/>
            <w:r>
              <w:rPr>
                <w:rFonts w:hint="eastAsia" w:ascii="宋体" w:hAnsi="宋体"/>
                <w:color w:val="auto"/>
                <w:szCs w:val="21"/>
                <w:highlight w:val="none"/>
              </w:rPr>
              <w:t>25.3（2）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D6DC63D">
            <w:pPr>
              <w:spacing w:line="360" w:lineRule="auto"/>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2B4A7EE1">
            <w:pPr>
              <w:spacing w:line="360" w:lineRule="auto"/>
              <w:rPr>
                <w:rFonts w:hint="eastAsia"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p w14:paraId="2E940368">
            <w:pPr>
              <w:spacing w:line="360" w:lineRule="auto"/>
              <w:rPr>
                <w:rFonts w:hint="eastAsia" w:ascii="宋体" w:hAnsi="宋体"/>
                <w:color w:val="auto"/>
                <w:szCs w:val="21"/>
                <w:highlight w:val="none"/>
              </w:rPr>
            </w:pPr>
            <w:r>
              <w:rPr>
                <w:rFonts w:hint="eastAsia" w:ascii="宋体" w:hAnsi="宋体"/>
                <w:color w:val="auto"/>
                <w:szCs w:val="21"/>
                <w:highlight w:val="none"/>
              </w:rPr>
              <w:t>信用查询截止时点：资格审查结束前</w:t>
            </w:r>
          </w:p>
          <w:p w14:paraId="1733FB1B">
            <w:pPr>
              <w:spacing w:line="360" w:lineRule="auto"/>
              <w:rPr>
                <w:rFonts w:hint="eastAsia" w:ascii="宋体" w:hAnsi="宋体"/>
                <w:color w:val="auto"/>
                <w:szCs w:val="21"/>
                <w:highlight w:val="none"/>
              </w:rPr>
            </w:pPr>
            <w:r>
              <w:rPr>
                <w:rFonts w:hint="eastAsia" w:ascii="宋体" w:hAnsi="宋体"/>
                <w:color w:val="auto"/>
                <w:szCs w:val="21"/>
                <w:highlight w:val="none"/>
              </w:rPr>
              <w:t>查询记录和证据留存方式：在查询网站中直接截图查询记录，截图在广西政府采购云平台（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）作为附件上传保存。</w:t>
            </w:r>
          </w:p>
          <w:p w14:paraId="3B3DD2DE">
            <w:pPr>
              <w:spacing w:line="360" w:lineRule="auto"/>
              <w:rPr>
                <w:rFonts w:hint="eastAsia" w:ascii="宋体" w:hAnsi="宋体"/>
                <w:b/>
                <w:color w:val="auto"/>
                <w:szCs w:val="21"/>
                <w:highlight w:val="none"/>
              </w:rPr>
            </w:pPr>
            <w:r>
              <w:rPr>
                <w:rFonts w:hint="eastAsia" w:ascii="宋体" w:hAnsi="宋体"/>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68C94D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3F336829">
            <w:pPr>
              <w:spacing w:line="360" w:lineRule="auto"/>
              <w:jc w:val="center"/>
              <w:rPr>
                <w:rFonts w:ascii="宋体" w:hAnsi="宋体"/>
                <w:color w:val="auto"/>
                <w:szCs w:val="21"/>
                <w:highlight w:val="none"/>
              </w:rPr>
            </w:pPr>
            <w:bookmarkStart w:id="66" w:name="_26"/>
            <w:bookmarkEnd w:id="66"/>
            <w:r>
              <w:rPr>
                <w:rFonts w:hint="eastAsia" w:ascii="宋体" w:hAnsi="宋体"/>
                <w:color w:val="auto"/>
                <w:szCs w:val="21"/>
                <w:highlight w:val="none"/>
              </w:rPr>
              <w:t>26.1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154400F">
            <w:pPr>
              <w:spacing w:line="360" w:lineRule="auto"/>
              <w:rPr>
                <w:rFonts w:hint="eastAsia" w:ascii="宋体" w:hAnsi="宋体"/>
                <w:color w:val="auto"/>
                <w:szCs w:val="21"/>
                <w:highlight w:val="none"/>
              </w:rPr>
            </w:pPr>
            <w:r>
              <w:rPr>
                <w:rFonts w:hint="eastAsia" w:ascii="宋体" w:hAnsi="宋体"/>
                <w:color w:val="auto"/>
                <w:szCs w:val="21"/>
                <w:highlight w:val="none"/>
              </w:rPr>
              <w:t>评标委员会的人数：</w:t>
            </w:r>
            <w:r>
              <w:rPr>
                <w:rFonts w:hint="eastAsia" w:ascii="宋体" w:hAnsi="宋体"/>
                <w:color w:val="auto"/>
                <w:szCs w:val="21"/>
                <w:highlight w:val="none"/>
                <w:u w:val="single"/>
                <w:lang w:val="en-US" w:eastAsia="zh-CN"/>
              </w:rPr>
              <w:t>7</w:t>
            </w:r>
            <w:r>
              <w:rPr>
                <w:rFonts w:hint="eastAsia" w:ascii="宋体" w:hAnsi="宋体"/>
                <w:color w:val="auto"/>
                <w:szCs w:val="21"/>
                <w:highlight w:val="none"/>
              </w:rPr>
              <w:t>人</w:t>
            </w:r>
          </w:p>
        </w:tc>
      </w:tr>
      <w:tr w14:paraId="7E1489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4A098416">
            <w:pPr>
              <w:spacing w:line="360" w:lineRule="auto"/>
              <w:jc w:val="center"/>
              <w:rPr>
                <w:rFonts w:hint="eastAsia" w:ascii="宋体" w:hAnsi="宋体"/>
                <w:color w:val="auto"/>
                <w:szCs w:val="21"/>
                <w:highlight w:val="none"/>
              </w:rPr>
            </w:pPr>
            <w:bookmarkStart w:id="67" w:name="_28.3"/>
            <w:bookmarkEnd w:id="67"/>
            <w:r>
              <w:rPr>
                <w:rFonts w:ascii="宋体" w:hAnsi="宋体"/>
                <w:color w:val="auto"/>
                <w:szCs w:val="21"/>
                <w:highlight w:val="none"/>
              </w:rPr>
              <w:t>29.1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1D83C02">
            <w:pPr>
              <w:spacing w:line="360" w:lineRule="auto"/>
              <w:rPr>
                <w:rFonts w:hint="eastAsia" w:ascii="宋体" w:hAnsi="宋体"/>
                <w:color w:val="auto"/>
                <w:szCs w:val="21"/>
                <w:highlight w:val="none"/>
              </w:rPr>
            </w:pPr>
            <w:r>
              <w:rPr>
                <w:rFonts w:hint="eastAsia" w:ascii="宋体" w:hAnsi="宋体"/>
                <w:color w:val="auto"/>
                <w:szCs w:val="21"/>
                <w:highlight w:val="none"/>
              </w:rPr>
              <w:t>评标方法：综合评分法</w:t>
            </w:r>
          </w:p>
        </w:tc>
      </w:tr>
      <w:tr w14:paraId="353201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295F9F68">
            <w:pPr>
              <w:spacing w:line="360" w:lineRule="auto"/>
              <w:jc w:val="center"/>
              <w:rPr>
                <w:rFonts w:hint="eastAsia" w:ascii="宋体" w:hAnsi="宋体"/>
                <w:color w:val="auto"/>
                <w:szCs w:val="21"/>
                <w:highlight w:val="none"/>
              </w:rPr>
            </w:pPr>
            <w:bookmarkStart w:id="68" w:name="_29.2.2（2）"/>
            <w:bookmarkEnd w:id="68"/>
            <w:r>
              <w:rPr>
                <w:rFonts w:hint="eastAsia" w:ascii="宋体" w:hAnsi="宋体"/>
                <w:color w:val="auto"/>
                <w:szCs w:val="21"/>
                <w:highlight w:val="none"/>
              </w:rPr>
              <w:t>29</w:t>
            </w:r>
            <w:r>
              <w:rPr>
                <w:rFonts w:ascii="宋体" w:hAnsi="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C80BAF3">
            <w:pPr>
              <w:spacing w:line="360" w:lineRule="auto"/>
              <w:rPr>
                <w:rFonts w:ascii="宋体" w:hAnsi="宋体"/>
                <w:b/>
                <w:bCs/>
                <w:color w:val="auto"/>
                <w:szCs w:val="21"/>
                <w:highlight w:val="none"/>
              </w:rPr>
            </w:pPr>
            <w:r>
              <w:rPr>
                <w:rFonts w:hint="eastAsia" w:ascii="宋体" w:hAnsi="宋体" w:cs="宋体"/>
                <w:b/>
                <w:bCs/>
                <w:color w:val="auto"/>
                <w:szCs w:val="21"/>
                <w:highlight w:val="none"/>
              </w:rPr>
              <w:t>商务要求</w:t>
            </w:r>
            <w:r>
              <w:rPr>
                <w:rFonts w:hint="eastAsia" w:ascii="宋体" w:hAnsi="宋体"/>
                <w:b/>
                <w:bCs/>
                <w:color w:val="auto"/>
                <w:szCs w:val="21"/>
                <w:highlight w:val="none"/>
              </w:rPr>
              <w:t>评审中允许负偏离的条款数为</w:t>
            </w:r>
            <w:r>
              <w:rPr>
                <w:rFonts w:hint="eastAsia" w:ascii="宋体" w:hAnsi="宋体"/>
                <w:b/>
                <w:bCs/>
                <w:color w:val="auto"/>
                <w:szCs w:val="21"/>
                <w:highlight w:val="none"/>
                <w:u w:val="single"/>
              </w:rPr>
              <w:t>0</w:t>
            </w:r>
            <w:r>
              <w:rPr>
                <w:rFonts w:hint="eastAsia" w:ascii="宋体" w:hAnsi="宋体"/>
                <w:b/>
                <w:bCs/>
                <w:color w:val="auto"/>
                <w:szCs w:val="21"/>
                <w:highlight w:val="none"/>
              </w:rPr>
              <w:t>项。</w:t>
            </w:r>
          </w:p>
          <w:p w14:paraId="2041A16D">
            <w:pPr>
              <w:spacing w:line="360" w:lineRule="auto"/>
              <w:rPr>
                <w:rFonts w:hint="eastAsia" w:ascii="宋体" w:hAnsi="宋体"/>
                <w:color w:val="auto"/>
                <w:szCs w:val="21"/>
                <w:highlight w:val="none"/>
              </w:rPr>
            </w:pPr>
            <w:r>
              <w:rPr>
                <w:rFonts w:hint="eastAsia" w:ascii="宋体" w:hAnsi="宋体" w:cs="宋体"/>
                <w:b/>
                <w:bCs/>
                <w:color w:val="auto"/>
                <w:szCs w:val="21"/>
                <w:highlight w:val="none"/>
              </w:rPr>
              <w:t>技术要求</w:t>
            </w:r>
            <w:r>
              <w:rPr>
                <w:rFonts w:hint="eastAsia" w:ascii="宋体" w:hAnsi="宋体"/>
                <w:b/>
                <w:bCs/>
                <w:color w:val="auto"/>
                <w:szCs w:val="21"/>
                <w:highlight w:val="none"/>
              </w:rPr>
              <w:t>评审中允许负偏离的条款数为</w:t>
            </w:r>
            <w:r>
              <w:rPr>
                <w:rFonts w:hint="eastAsia" w:ascii="宋体" w:hAnsi="宋体"/>
                <w:b/>
                <w:bCs/>
                <w:color w:val="auto"/>
                <w:szCs w:val="21"/>
                <w:highlight w:val="none"/>
                <w:u w:val="single"/>
              </w:rPr>
              <w:t>0</w:t>
            </w:r>
            <w:r>
              <w:rPr>
                <w:rFonts w:hint="eastAsia" w:ascii="宋体" w:hAnsi="宋体"/>
                <w:b/>
                <w:bCs/>
                <w:color w:val="auto"/>
                <w:szCs w:val="21"/>
                <w:highlight w:val="none"/>
              </w:rPr>
              <w:t>项。</w:t>
            </w:r>
          </w:p>
        </w:tc>
      </w:tr>
      <w:tr w14:paraId="6A5AF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7E7C7CC4">
            <w:pPr>
              <w:spacing w:line="360" w:lineRule="auto"/>
              <w:jc w:val="center"/>
              <w:rPr>
                <w:rFonts w:ascii="宋体" w:hAnsi="宋体"/>
                <w:color w:val="auto"/>
                <w:szCs w:val="21"/>
                <w:highlight w:val="none"/>
              </w:rPr>
            </w:pPr>
            <w:r>
              <w:rPr>
                <w:rFonts w:hint="eastAsia" w:ascii="宋体" w:hAnsi="宋体"/>
                <w:color w:val="auto"/>
                <w:szCs w:val="21"/>
                <w:highlight w:val="none"/>
              </w:rPr>
              <w:t>29.3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682F830">
            <w:pPr>
              <w:spacing w:line="360" w:lineRule="auto"/>
              <w:rPr>
                <w:rFonts w:hint="eastAsia" w:hAnsi="宋体"/>
                <w:color w:val="auto"/>
                <w:highlight w:val="none"/>
              </w:rPr>
            </w:pPr>
            <w:r>
              <w:rPr>
                <w:rFonts w:hAnsi="宋体"/>
                <w:color w:val="auto"/>
                <w:highlight w:val="none"/>
              </w:rPr>
              <w:t>中标候选人推荐数量</w:t>
            </w:r>
            <w:r>
              <w:rPr>
                <w:rFonts w:hint="eastAsia" w:hAnsi="宋体"/>
                <w:color w:val="auto"/>
                <w:highlight w:val="none"/>
              </w:rPr>
              <w:t>：</w:t>
            </w:r>
            <w:r>
              <w:rPr>
                <w:rFonts w:hint="eastAsia" w:hAnsi="宋体"/>
                <w:color w:val="auto"/>
                <w:highlight w:val="none"/>
                <w:u w:val="single"/>
              </w:rPr>
              <w:t xml:space="preserve"> 3</w:t>
            </w:r>
            <w:r>
              <w:rPr>
                <w:rFonts w:hAnsi="宋体"/>
                <w:color w:val="auto"/>
                <w:highlight w:val="none"/>
              </w:rPr>
              <w:t>名</w:t>
            </w:r>
          </w:p>
        </w:tc>
      </w:tr>
      <w:tr w14:paraId="1BC24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178BAE85">
            <w:pPr>
              <w:spacing w:line="360" w:lineRule="auto"/>
              <w:jc w:val="center"/>
              <w:rPr>
                <w:rFonts w:hint="eastAsia"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ECE7D45">
            <w:pPr>
              <w:spacing w:line="360" w:lineRule="auto"/>
              <w:rPr>
                <w:rFonts w:hint="eastAsia" w:ascii="宋体" w:hAnsi="宋体"/>
                <w:color w:val="auto"/>
                <w:szCs w:val="21"/>
                <w:highlight w:val="none"/>
              </w:rPr>
            </w:pPr>
            <w:r>
              <w:rPr>
                <w:rFonts w:hint="eastAsia" w:ascii="宋体" w:hAnsi="宋体"/>
                <w:color w:val="auto"/>
                <w:szCs w:val="21"/>
                <w:highlight w:val="none"/>
              </w:rPr>
              <w:t>采用综合评分法的采购项目，采购人确定中标供应商时，出现中标候选人并列的情形，采购人按以下的方式确定中标供应商：</w:t>
            </w:r>
          </w:p>
          <w:p w14:paraId="793CAC49">
            <w:pPr>
              <w:spacing w:line="360" w:lineRule="auto"/>
              <w:rPr>
                <w:rFonts w:hint="eastAsia" w:ascii="宋体" w:hAnsi="宋体" w:eastAsia="宋体"/>
                <w:color w:val="auto"/>
                <w:szCs w:val="21"/>
                <w:highlight w:val="none"/>
                <w:lang w:eastAsia="zh-CN"/>
              </w:rPr>
            </w:pPr>
            <w:r>
              <w:rPr>
                <w:rFonts w:ascii="Segoe UI Symbol" w:hAnsi="Segoe UI Symbol" w:cs="Segoe UI Symbol"/>
                <w:color w:val="auto"/>
                <w:szCs w:val="21"/>
                <w:highlight w:val="none"/>
              </w:rPr>
              <w:t>☑</w:t>
            </w:r>
            <w:r>
              <w:rPr>
                <w:rFonts w:hint="eastAsia" w:ascii="宋体" w:hAnsi="宋体"/>
                <w:iCs/>
                <w:color w:val="auto"/>
                <w:szCs w:val="21"/>
                <w:highlight w:val="none"/>
              </w:rPr>
              <w:t>依次按投标报价由低到高顺序优先</w:t>
            </w:r>
            <w:r>
              <w:rPr>
                <w:rFonts w:hint="eastAsia" w:ascii="宋体" w:hAnsi="宋体"/>
                <w:iCs/>
                <w:color w:val="auto"/>
                <w:szCs w:val="21"/>
                <w:highlight w:val="none"/>
                <w:lang w:eastAsia="zh-CN"/>
              </w:rPr>
              <w:t>、</w:t>
            </w:r>
            <w:r>
              <w:rPr>
                <w:rFonts w:hint="eastAsia" w:ascii="宋体" w:hAnsi="宋体"/>
                <w:iCs/>
                <w:color w:val="auto"/>
                <w:szCs w:val="21"/>
                <w:highlight w:val="none"/>
              </w:rPr>
              <w:t>技术评分高的优先、商务评分高的优先的顺序确定</w:t>
            </w:r>
            <w:r>
              <w:rPr>
                <w:rFonts w:hint="eastAsia" w:ascii="宋体" w:hAnsi="宋体"/>
                <w:iCs/>
                <w:color w:val="auto"/>
                <w:szCs w:val="21"/>
                <w:highlight w:val="none"/>
                <w:lang w:eastAsia="zh-CN"/>
              </w:rPr>
              <w:t>。</w:t>
            </w:r>
          </w:p>
          <w:p w14:paraId="3C490D4D">
            <w:pPr>
              <w:spacing w:line="360" w:lineRule="auto"/>
              <w:rPr>
                <w:rFonts w:hint="eastAsia" w:ascii="宋体" w:hAnsi="宋体"/>
                <w:color w:val="auto"/>
                <w:szCs w:val="21"/>
                <w:highlight w:val="none"/>
              </w:rPr>
            </w:pPr>
            <w:r>
              <w:rPr>
                <w:rFonts w:hint="eastAsia" w:ascii="宋体" w:hAnsi="宋体"/>
                <w:color w:val="auto"/>
                <w:szCs w:val="21"/>
                <w:highlight w:val="none"/>
              </w:rPr>
              <w:t>□随机抽取；</w:t>
            </w:r>
          </w:p>
          <w:p w14:paraId="3C7A5B72">
            <w:pPr>
              <w:spacing w:line="360" w:lineRule="auto"/>
              <w:rPr>
                <w:rFonts w:hint="eastAsia" w:ascii="宋体" w:hAnsi="宋体"/>
                <w:color w:val="auto"/>
                <w:szCs w:val="21"/>
                <w:highlight w:val="none"/>
              </w:rPr>
            </w:pPr>
            <w:r>
              <w:rPr>
                <w:rFonts w:hint="eastAsia" w:ascii="宋体" w:hAnsi="宋体"/>
                <w:color w:val="auto"/>
                <w:szCs w:val="21"/>
                <w:highlight w:val="none"/>
              </w:rPr>
              <w:t>□其他方式：</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tc>
      </w:tr>
      <w:tr w14:paraId="3D00FE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41ADE4D9">
            <w:pPr>
              <w:spacing w:line="360" w:lineRule="auto"/>
              <w:jc w:val="center"/>
              <w:rPr>
                <w:rFonts w:hint="eastAsia" w:ascii="宋体" w:hAnsi="宋体"/>
                <w:color w:val="auto"/>
                <w:szCs w:val="21"/>
                <w:highlight w:val="none"/>
              </w:rPr>
            </w:pPr>
            <w:bookmarkStart w:id="69" w:name="_39.1"/>
            <w:bookmarkEnd w:id="69"/>
            <w:r>
              <w:rPr>
                <w:rFonts w:hint="eastAsia" w:ascii="宋体" w:hAnsi="宋体"/>
                <w:color w:val="auto"/>
                <w:szCs w:val="21"/>
                <w:highlight w:val="none"/>
              </w:rPr>
              <w:t>35</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5F0B352">
            <w:pPr>
              <w:spacing w:line="360" w:lineRule="auto"/>
              <w:rPr>
                <w:rFonts w:hint="eastAsia" w:ascii="宋体" w:hAnsi="宋体" w:eastAsia="宋体"/>
                <w:color w:val="auto"/>
                <w:szCs w:val="21"/>
                <w:highlight w:val="none"/>
                <w:lang w:eastAsia="zh-CN"/>
              </w:rPr>
            </w:pPr>
            <w:r>
              <w:rPr>
                <w:rFonts w:hint="eastAsia" w:ascii="宋体" w:hAnsi="宋体" w:cs="宋体"/>
                <w:color w:val="auto"/>
                <w:szCs w:val="21"/>
                <w:highlight w:val="none"/>
              </w:rPr>
              <w:t>本项目</w:t>
            </w:r>
            <w:r>
              <w:rPr>
                <w:rFonts w:hint="eastAsia" w:ascii="宋体" w:hAnsi="宋体" w:cs="宋体"/>
                <w:color w:val="auto"/>
                <w:szCs w:val="21"/>
                <w:highlight w:val="none"/>
                <w:lang w:eastAsia="zh-CN"/>
              </w:rPr>
              <w:t>不</w:t>
            </w:r>
            <w:r>
              <w:rPr>
                <w:rFonts w:hint="eastAsia" w:ascii="宋体" w:hAnsi="宋体" w:cs="宋体"/>
                <w:color w:val="auto"/>
                <w:szCs w:val="21"/>
                <w:highlight w:val="none"/>
              </w:rPr>
              <w:t>收取履约保证金</w:t>
            </w:r>
            <w:r>
              <w:rPr>
                <w:rFonts w:ascii="宋体" w:hAnsi="宋体" w:cs="宋体"/>
                <w:color w:val="auto"/>
                <w:szCs w:val="21"/>
                <w:highlight w:val="none"/>
              </w:rPr>
              <w:t>。</w:t>
            </w:r>
          </w:p>
        </w:tc>
      </w:tr>
      <w:tr w14:paraId="21EAD1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2F123846">
            <w:pPr>
              <w:spacing w:line="360" w:lineRule="auto"/>
              <w:jc w:val="center"/>
              <w:rPr>
                <w:rFonts w:hint="eastAsia" w:ascii="宋体" w:hAnsi="宋体"/>
                <w:color w:val="auto"/>
                <w:szCs w:val="21"/>
                <w:highlight w:val="none"/>
              </w:rPr>
            </w:pPr>
            <w:bookmarkStart w:id="70" w:name="_40.1"/>
            <w:bookmarkEnd w:id="70"/>
            <w:r>
              <w:rPr>
                <w:rFonts w:hint="eastAsia" w:ascii="宋体" w:hAnsi="宋体"/>
                <w:color w:val="auto"/>
                <w:szCs w:val="21"/>
                <w:highlight w:val="none"/>
              </w:rPr>
              <w:t>36.1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0F2E52D">
            <w:pPr>
              <w:spacing w:line="360" w:lineRule="auto"/>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0ED41503">
            <w:pPr>
              <w:spacing w:line="360" w:lineRule="auto"/>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497B365E">
            <w:pPr>
              <w:spacing w:line="360" w:lineRule="auto"/>
              <w:rPr>
                <w:rFonts w:hint="eastAsia" w:ascii="宋体" w:hAnsi="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4BB309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5D4DF637">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BA6B899">
            <w:pPr>
              <w:spacing w:line="360" w:lineRule="auto"/>
              <w:rPr>
                <w:rFonts w:hint="eastAsia" w:ascii="宋体" w:hAnsi="宋体"/>
                <w:color w:val="auto"/>
                <w:szCs w:val="21"/>
                <w:highlight w:val="none"/>
              </w:rPr>
            </w:pPr>
            <w:r>
              <w:rPr>
                <w:rFonts w:hint="eastAsia" w:ascii="宋体" w:hAnsi="宋体"/>
                <w:color w:val="auto"/>
                <w:szCs w:val="21"/>
                <w:highlight w:val="none"/>
              </w:rPr>
              <w:t>接收质疑函方式：以书面形式</w:t>
            </w:r>
          </w:p>
          <w:p w14:paraId="6D5242F7">
            <w:pPr>
              <w:spacing w:line="360" w:lineRule="auto"/>
              <w:rPr>
                <w:rFonts w:hint="eastAsia" w:ascii="宋体" w:hAnsi="宋体"/>
                <w:color w:val="auto"/>
                <w:szCs w:val="21"/>
                <w:highlight w:val="none"/>
              </w:rPr>
            </w:pPr>
            <w:r>
              <w:rPr>
                <w:rFonts w:hint="eastAsia" w:ascii="宋体" w:hAnsi="宋体"/>
                <w:color w:val="auto"/>
                <w:szCs w:val="21"/>
                <w:highlight w:val="none"/>
              </w:rPr>
              <w:t>质疑联系部门及联系方式：</w:t>
            </w:r>
            <w:r>
              <w:rPr>
                <w:rFonts w:hint="eastAsia" w:ascii="宋体" w:hAnsi="宋体"/>
                <w:color w:val="auto"/>
                <w:szCs w:val="21"/>
                <w:highlight w:val="none"/>
                <w:u w:val="single"/>
              </w:rPr>
              <w:t>云之龙咨询集团有限公司防城港分公司</w:t>
            </w:r>
            <w:r>
              <w:rPr>
                <w:rFonts w:hint="eastAsia" w:ascii="宋体" w:hAnsi="宋体"/>
                <w:color w:val="auto"/>
                <w:szCs w:val="21"/>
                <w:highlight w:val="none"/>
              </w:rPr>
              <w:t>，</w:t>
            </w:r>
            <w:r>
              <w:rPr>
                <w:rFonts w:ascii="宋体" w:hAnsi="宋体"/>
                <w:color w:val="auto"/>
                <w:szCs w:val="21"/>
                <w:highlight w:val="none"/>
              </w:rPr>
              <w:t>联系电话</w:t>
            </w:r>
            <w:r>
              <w:rPr>
                <w:rFonts w:hint="eastAsia" w:ascii="宋体" w:hAnsi="宋体"/>
                <w:color w:val="auto"/>
                <w:szCs w:val="21"/>
                <w:highlight w:val="none"/>
              </w:rPr>
              <w:t>：0770-2882899，</w:t>
            </w:r>
            <w:r>
              <w:rPr>
                <w:rFonts w:ascii="宋体" w:hAnsi="宋体"/>
                <w:color w:val="auto"/>
                <w:szCs w:val="21"/>
                <w:highlight w:val="none"/>
              </w:rPr>
              <w:t>通讯地址</w:t>
            </w:r>
            <w:r>
              <w:rPr>
                <w:rFonts w:hint="eastAsia" w:ascii="宋体" w:hAnsi="宋体"/>
                <w:color w:val="auto"/>
                <w:szCs w:val="21"/>
                <w:highlight w:val="none"/>
              </w:rPr>
              <w:t>：防城港市港口区桃花湾广场海悦华府一单元1203室</w:t>
            </w:r>
          </w:p>
          <w:p w14:paraId="5B21CC31">
            <w:pPr>
              <w:spacing w:line="360" w:lineRule="auto"/>
              <w:rPr>
                <w:rFonts w:hint="eastAsia" w:ascii="宋体" w:hAnsi="宋体"/>
                <w:color w:val="auto"/>
                <w:szCs w:val="21"/>
                <w:highlight w:val="none"/>
              </w:rPr>
            </w:pPr>
            <w:r>
              <w:rPr>
                <w:rFonts w:hint="eastAsia" w:ascii="宋体" w:hAnsi="宋体"/>
                <w:color w:val="auto"/>
                <w:szCs w:val="21"/>
                <w:highlight w:val="none"/>
              </w:rPr>
              <w:t>业务时间：工作日每天上午</w:t>
            </w:r>
            <w:r>
              <w:rPr>
                <w:rFonts w:ascii="宋体" w:hAnsi="宋体"/>
                <w:color w:val="auto"/>
                <w:szCs w:val="21"/>
                <w:highlight w:val="none"/>
              </w:rPr>
              <w:t>8</w:t>
            </w:r>
            <w:r>
              <w:rPr>
                <w:rFonts w:hint="eastAsia" w:ascii="宋体" w:hAnsi="宋体"/>
                <w:color w:val="auto"/>
                <w:szCs w:val="21"/>
                <w:highlight w:val="none"/>
              </w:rPr>
              <w:t>时</w:t>
            </w:r>
            <w:r>
              <w:rPr>
                <w:rFonts w:ascii="宋体" w:hAnsi="宋体"/>
                <w:color w:val="auto"/>
                <w:szCs w:val="21"/>
                <w:highlight w:val="none"/>
              </w:rPr>
              <w:t>00</w:t>
            </w:r>
            <w:r>
              <w:rPr>
                <w:rFonts w:hint="eastAsia" w:ascii="宋体" w:hAnsi="宋体"/>
                <w:color w:val="auto"/>
                <w:szCs w:val="21"/>
                <w:highlight w:val="none"/>
              </w:rPr>
              <w:t>分到</w:t>
            </w:r>
            <w:r>
              <w:rPr>
                <w:rFonts w:ascii="宋体" w:hAnsi="宋体"/>
                <w:color w:val="auto"/>
                <w:szCs w:val="21"/>
                <w:highlight w:val="none"/>
              </w:rPr>
              <w:t>12</w:t>
            </w:r>
            <w:r>
              <w:rPr>
                <w:rFonts w:hint="eastAsia" w:ascii="宋体" w:hAnsi="宋体"/>
                <w:color w:val="auto"/>
                <w:szCs w:val="21"/>
                <w:highlight w:val="none"/>
              </w:rPr>
              <w:t>时</w:t>
            </w:r>
            <w:r>
              <w:rPr>
                <w:rFonts w:ascii="宋体" w:hAnsi="宋体"/>
                <w:color w:val="auto"/>
                <w:szCs w:val="21"/>
                <w:highlight w:val="none"/>
              </w:rPr>
              <w:t>00</w:t>
            </w:r>
            <w:r>
              <w:rPr>
                <w:rFonts w:hint="eastAsia" w:ascii="宋体" w:hAnsi="宋体"/>
                <w:color w:val="auto"/>
                <w:szCs w:val="21"/>
                <w:highlight w:val="none"/>
              </w:rPr>
              <w:t>分，下午</w:t>
            </w:r>
            <w:r>
              <w:rPr>
                <w:rFonts w:ascii="宋体" w:hAnsi="宋体"/>
                <w:color w:val="auto"/>
                <w:szCs w:val="21"/>
                <w:highlight w:val="none"/>
              </w:rPr>
              <w:t>3</w:t>
            </w:r>
            <w:r>
              <w:rPr>
                <w:rFonts w:hint="eastAsia" w:ascii="宋体" w:hAnsi="宋体"/>
                <w:color w:val="auto"/>
                <w:szCs w:val="21"/>
                <w:highlight w:val="none"/>
              </w:rPr>
              <w:t>时</w:t>
            </w:r>
            <w:r>
              <w:rPr>
                <w:rFonts w:ascii="宋体" w:hAnsi="宋体"/>
                <w:color w:val="auto"/>
                <w:szCs w:val="21"/>
                <w:highlight w:val="none"/>
              </w:rPr>
              <w:t>00</w:t>
            </w:r>
            <w:r>
              <w:rPr>
                <w:rFonts w:hint="eastAsia" w:ascii="宋体" w:hAnsi="宋体"/>
                <w:color w:val="auto"/>
                <w:szCs w:val="21"/>
                <w:highlight w:val="none"/>
              </w:rPr>
              <w:t>分到</w:t>
            </w:r>
            <w:r>
              <w:rPr>
                <w:rFonts w:ascii="宋体" w:hAnsi="宋体"/>
                <w:color w:val="auto"/>
                <w:szCs w:val="21"/>
                <w:highlight w:val="none"/>
              </w:rPr>
              <w:t>6</w:t>
            </w:r>
            <w:r>
              <w:rPr>
                <w:rFonts w:hint="eastAsia" w:ascii="宋体" w:hAnsi="宋体"/>
                <w:color w:val="auto"/>
                <w:szCs w:val="21"/>
                <w:highlight w:val="none"/>
              </w:rPr>
              <w:t>时</w:t>
            </w:r>
            <w:r>
              <w:rPr>
                <w:rFonts w:ascii="宋体" w:hAnsi="宋体"/>
                <w:color w:val="auto"/>
                <w:szCs w:val="21"/>
                <w:highlight w:val="none"/>
              </w:rPr>
              <w:t>00</w:t>
            </w:r>
            <w:r>
              <w:rPr>
                <w:rFonts w:hint="eastAsia" w:ascii="宋体" w:hAnsi="宋体"/>
                <w:color w:val="auto"/>
                <w:szCs w:val="21"/>
                <w:highlight w:val="none"/>
              </w:rPr>
              <w:t>分。</w:t>
            </w:r>
          </w:p>
        </w:tc>
      </w:tr>
      <w:tr w14:paraId="628253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611DF16F">
            <w:pPr>
              <w:spacing w:line="360" w:lineRule="auto"/>
              <w:jc w:val="center"/>
              <w:rPr>
                <w:rFonts w:hint="eastAsia" w:ascii="宋体" w:hAnsi="宋体"/>
                <w:color w:val="auto"/>
                <w:szCs w:val="21"/>
                <w:highlight w:val="none"/>
              </w:rPr>
            </w:pPr>
            <w:bookmarkStart w:id="71" w:name="_42"/>
            <w:bookmarkEnd w:id="71"/>
            <w:bookmarkStart w:id="72" w:name="_41"/>
            <w:bookmarkEnd w:id="72"/>
            <w:bookmarkStart w:id="73" w:name="_Hlt17709148"/>
            <w:r>
              <w:rPr>
                <w:rFonts w:hint="eastAsia" w:ascii="宋体" w:hAnsi="宋体"/>
                <w:color w:val="auto"/>
                <w:szCs w:val="21"/>
                <w:highlight w:val="none"/>
              </w:rPr>
              <w:t>3</w:t>
            </w:r>
            <w:bookmarkEnd w:id="73"/>
            <w:r>
              <w:rPr>
                <w:rFonts w:ascii="宋体" w:hAnsi="宋体"/>
                <w:color w:val="auto"/>
                <w:szCs w:val="21"/>
                <w:highlight w:val="none"/>
              </w:rPr>
              <w:t>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A6E4A77">
            <w:pPr>
              <w:pStyle w:val="231"/>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1.采购代理费支付方式：</w:t>
            </w:r>
          </w:p>
          <w:p w14:paraId="2119E15C">
            <w:pPr>
              <w:pStyle w:val="231"/>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本项目代理服务费由</w:t>
            </w:r>
            <w:r>
              <w:rPr>
                <w:rFonts w:hint="eastAsia" w:hAnsi="宋体" w:cs="宋体"/>
                <w:color w:val="auto"/>
                <w:sz w:val="21"/>
                <w:highlight w:val="none"/>
                <w:u w:val="single"/>
                <w:lang w:val="en-US" w:eastAsia="zh-CN"/>
              </w:rPr>
              <w:t>中标人</w:t>
            </w:r>
            <w:r>
              <w:rPr>
                <w:rFonts w:hint="eastAsia" w:hAnsi="宋体" w:cs="宋体"/>
                <w:color w:val="auto"/>
                <w:sz w:val="21"/>
                <w:highlight w:val="none"/>
                <w:lang w:val="en-US" w:eastAsia="zh-CN"/>
              </w:rPr>
              <w:t>一次性向采购代理机构支付。</w:t>
            </w:r>
          </w:p>
          <w:p w14:paraId="703B9423">
            <w:pPr>
              <w:pStyle w:val="231"/>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2.采购代理费收取标准：</w:t>
            </w:r>
          </w:p>
          <w:p w14:paraId="219A645E">
            <w:pPr>
              <w:pStyle w:val="231"/>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代理服务费以固定金额收取，由中标供应商向采购代理机构支付招标代理服务费人民币柒万壹仟叁佰陆拾元整（¥71,360.00）。</w:t>
            </w:r>
          </w:p>
          <w:p w14:paraId="4B49C62D">
            <w:pPr>
              <w:pStyle w:val="231"/>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3</w:t>
            </w:r>
            <w:r>
              <w:rPr>
                <w:rFonts w:hAnsi="宋体" w:cs="宋体"/>
                <w:color w:val="auto"/>
                <w:sz w:val="21"/>
                <w:highlight w:val="none"/>
                <w:lang w:val="en-US" w:eastAsia="zh-CN"/>
              </w:rPr>
              <w:t>.</w:t>
            </w:r>
            <w:r>
              <w:rPr>
                <w:rFonts w:hint="eastAsia" w:hAnsi="宋体" w:cs="宋体"/>
                <w:color w:val="auto"/>
                <w:sz w:val="21"/>
                <w:highlight w:val="none"/>
                <w:lang w:val="en-US" w:eastAsia="zh-CN"/>
              </w:rPr>
              <w:t>账户名称：云之龙咨询集团有限公司防城港分公司</w:t>
            </w:r>
          </w:p>
          <w:p w14:paraId="244990D0">
            <w:pPr>
              <w:pStyle w:val="231"/>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开户银行：中信银行南宁东葛支行</w:t>
            </w:r>
          </w:p>
          <w:p w14:paraId="35347513">
            <w:pPr>
              <w:pStyle w:val="231"/>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 xml:space="preserve">银行账号：8113001014000157977 </w:t>
            </w:r>
          </w:p>
        </w:tc>
      </w:tr>
      <w:tr w14:paraId="25EBB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7DFD593F">
            <w:pPr>
              <w:spacing w:line="360" w:lineRule="auto"/>
              <w:jc w:val="center"/>
              <w:rPr>
                <w:rFonts w:hint="eastAsia" w:ascii="宋体" w:hAnsi="宋体"/>
                <w:color w:val="auto"/>
                <w:szCs w:val="21"/>
                <w:highlight w:val="none"/>
              </w:rPr>
            </w:pPr>
            <w:r>
              <w:rPr>
                <w:rFonts w:ascii="宋体" w:hAnsi="宋体"/>
                <w:color w:val="auto"/>
                <w:szCs w:val="21"/>
                <w:highlight w:val="none"/>
              </w:rPr>
              <w:t>40.1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E26F36A">
            <w:pPr>
              <w:spacing w:line="360" w:lineRule="auto"/>
              <w:rPr>
                <w:rFonts w:hint="eastAsia"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采购需求、投标人</w:t>
            </w:r>
            <w:r>
              <w:rPr>
                <w:rFonts w:ascii="宋体" w:hAnsi="宋体"/>
                <w:color w:val="auto"/>
                <w:szCs w:val="21"/>
                <w:highlight w:val="none"/>
              </w:rPr>
              <w:t>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1A12EF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5621620B">
            <w:pPr>
              <w:keepNext w:val="0"/>
              <w:keepLines w:val="0"/>
              <w:pageBreakBefore w:val="0"/>
              <w:widowControl w:val="0"/>
              <w:bidi w:val="0"/>
              <w:spacing w:line="360" w:lineRule="exact"/>
              <w:jc w:val="center"/>
              <w:rPr>
                <w:rFonts w:hint="eastAsia" w:ascii="宋体" w:hAnsi="宋体"/>
                <w:color w:val="auto"/>
                <w:szCs w:val="21"/>
                <w:highlight w:val="none"/>
              </w:rPr>
            </w:pPr>
            <w:r>
              <w:rPr>
                <w:rFonts w:ascii="宋体" w:hAnsi="宋体"/>
                <w:color w:val="auto"/>
                <w:szCs w:val="21"/>
                <w:highlight w:val="none"/>
              </w:rPr>
              <w:t>40.2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03B1D31">
            <w:pPr>
              <w:pStyle w:val="231"/>
              <w:keepNext w:val="0"/>
              <w:keepLines w:val="0"/>
              <w:pageBreakBefore w:val="0"/>
              <w:widowControl w:val="0"/>
              <w:bidi w:val="0"/>
              <w:spacing w:line="360" w:lineRule="exact"/>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79E01943">
            <w:pPr>
              <w:pStyle w:val="231"/>
              <w:keepNext w:val="0"/>
              <w:keepLines w:val="0"/>
              <w:pageBreakBefore w:val="0"/>
              <w:widowControl w:val="0"/>
              <w:bidi w:val="0"/>
              <w:spacing w:line="360" w:lineRule="exact"/>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2.本招标文件所称的“</w:t>
            </w:r>
            <w:r>
              <w:rPr>
                <w:rFonts w:hint="eastAsia" w:hAnsi="宋体"/>
                <w:color w:val="auto"/>
                <w:sz w:val="21"/>
                <w:highlight w:val="none"/>
                <w:lang w:val="en-US" w:eastAsia="zh-CN"/>
              </w:rPr>
              <w:t>电子签章</w:t>
            </w:r>
            <w:r>
              <w:rPr>
                <w:rFonts w:hint="eastAsia" w:hAnsi="宋体" w:cs="宋体"/>
                <w:bCs/>
                <w:color w:val="auto"/>
                <w:sz w:val="21"/>
                <w:highlight w:val="none"/>
                <w:lang w:val="en-US" w:eastAsia="zh-CN"/>
              </w:rPr>
              <w:t>”、“电子签名”</w:t>
            </w:r>
            <w:r>
              <w:rPr>
                <w:rFonts w:hint="eastAsia" w:hAnsi="宋体"/>
                <w:color w:val="auto"/>
                <w:sz w:val="21"/>
                <w:highlight w:val="none"/>
                <w:lang w:val="en-US" w:eastAsia="zh-CN"/>
              </w:rPr>
              <w:t>，是指经广西政府采购云平台认可的CA认证的电子签名数据为表现形式的印章，可用于签署电子投标文件，电子印章与实物印章具有同等法律效力，不因其采用电子化表现形式而否定其法律效力。</w:t>
            </w:r>
          </w:p>
          <w:p w14:paraId="5863E0A3">
            <w:pPr>
              <w:pStyle w:val="231"/>
              <w:keepNext w:val="0"/>
              <w:keepLines w:val="0"/>
              <w:pageBreakBefore w:val="0"/>
              <w:widowControl w:val="0"/>
              <w:bidi w:val="0"/>
              <w:spacing w:line="360" w:lineRule="exact"/>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3.投标人为其他组织时，本招标文件规定的法定代表人指负责人。本招标文件所称负责人是指参加投标的其他组织营业执照或者执业许可证等证照上的负责人。</w:t>
            </w:r>
          </w:p>
          <w:p w14:paraId="691C7932">
            <w:pPr>
              <w:pStyle w:val="231"/>
              <w:keepNext w:val="0"/>
              <w:keepLines w:val="0"/>
              <w:pageBreakBefore w:val="0"/>
              <w:widowControl w:val="0"/>
              <w:bidi w:val="0"/>
              <w:spacing w:line="360" w:lineRule="exact"/>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4.本招标文件中描述投标人的“签字”是指投标人的法定代表人或者委托代理人亲自在文件规定签字处亲笔写上个人的名字的行为，私章、签字章、印鉴、影印等其他形式均不能代替亲笔签字。</w:t>
            </w:r>
          </w:p>
          <w:p w14:paraId="5019AB41">
            <w:pPr>
              <w:keepNext w:val="0"/>
              <w:keepLines w:val="0"/>
              <w:pageBreakBefore w:val="0"/>
              <w:widowControl w:val="0"/>
              <w:bidi w:val="0"/>
              <w:spacing w:line="360" w:lineRule="exact"/>
              <w:jc w:val="left"/>
              <w:rPr>
                <w:rFonts w:hint="eastAsia" w:ascii="宋体" w:hAnsi="宋体"/>
                <w:color w:val="auto"/>
                <w:szCs w:val="21"/>
                <w:highlight w:val="none"/>
              </w:rPr>
            </w:pPr>
            <w:r>
              <w:rPr>
                <w:rFonts w:hint="eastAsia" w:hAnsi="宋体" w:cs="宋体"/>
                <w:bCs/>
                <w:color w:val="auto"/>
                <w:highlight w:val="none"/>
              </w:rPr>
              <w:t>5.</w:t>
            </w:r>
            <w:r>
              <w:rPr>
                <w:rFonts w:hint="eastAsia" w:ascii="宋体" w:hAnsi="宋体" w:cs="宋体"/>
                <w:bCs/>
                <w:color w:val="auto"/>
                <w:szCs w:val="21"/>
                <w:highlight w:val="none"/>
              </w:rPr>
              <w:t>本招标文件所称的“以上”“以下”“以内”“届满”，包括本数；所称的“不满”“超过”“以外”，不包括本数。</w:t>
            </w:r>
          </w:p>
        </w:tc>
      </w:tr>
    </w:tbl>
    <w:p w14:paraId="1FE73D65">
      <w:pPr>
        <w:rPr>
          <w:rFonts w:hint="eastAsia" w:ascii="宋体" w:hAnsi="宋体"/>
          <w:color w:val="auto"/>
          <w:sz w:val="24"/>
          <w:szCs w:val="20"/>
          <w:highlight w:val="none"/>
        </w:rPr>
      </w:pPr>
    </w:p>
    <w:p w14:paraId="617F31E3">
      <w:pPr>
        <w:pStyle w:val="196"/>
        <w:keepNext w:val="0"/>
        <w:keepLines w:val="0"/>
        <w:jc w:val="both"/>
        <w:rPr>
          <w:rFonts w:hint="eastAsia"/>
          <w:color w:val="auto"/>
          <w:highlight w:val="none"/>
        </w:rPr>
      </w:pPr>
      <w:r>
        <w:rPr>
          <w:color w:val="auto"/>
          <w:highlight w:val="none"/>
        </w:rPr>
        <w:br w:type="page" w:clear="all"/>
      </w:r>
      <w:r>
        <w:rPr>
          <w:rFonts w:hint="eastAsia"/>
          <w:color w:val="auto"/>
          <w:highlight w:val="none"/>
          <w:lang w:val="en-US" w:eastAsia="zh-CN"/>
        </w:rPr>
        <w:t xml:space="preserve">                  </w:t>
      </w:r>
      <w:r>
        <w:rPr>
          <w:rFonts w:hint="eastAsia"/>
          <w:color w:val="auto"/>
          <w:highlight w:val="none"/>
        </w:rPr>
        <w:t>投标人须知正文</w:t>
      </w:r>
    </w:p>
    <w:p w14:paraId="16A74E67">
      <w:pPr>
        <w:pStyle w:val="196"/>
        <w:keepNext w:val="0"/>
        <w:keepLines w:val="0"/>
        <w:jc w:val="center"/>
        <w:rPr>
          <w:rFonts w:hint="eastAsia"/>
          <w:color w:val="auto"/>
          <w:highlight w:val="none"/>
        </w:rPr>
      </w:pPr>
      <w:r>
        <w:rPr>
          <w:rFonts w:hint="eastAsia"/>
          <w:color w:val="auto"/>
          <w:highlight w:val="none"/>
        </w:rPr>
        <w:t>一、总  则</w:t>
      </w:r>
    </w:p>
    <w:p w14:paraId="609F16BE">
      <w:pPr>
        <w:pStyle w:val="198"/>
        <w:keepNext w:val="0"/>
        <w:keepLines w:val="0"/>
        <w:spacing w:before="0" w:after="0" w:line="360" w:lineRule="auto"/>
        <w:ind w:left="420"/>
        <w:rPr>
          <w:rFonts w:hint="eastAsia" w:ascii="黑体" w:hAnsi="黑体" w:eastAsia="黑体"/>
          <w:color w:val="auto"/>
          <w:sz w:val="24"/>
          <w:highlight w:val="none"/>
        </w:rPr>
      </w:pPr>
      <w:bookmarkStart w:id="74" w:name="_Toc254970527"/>
      <w:bookmarkStart w:id="75" w:name="_Toc254970668"/>
      <w:r>
        <w:rPr>
          <w:rFonts w:hint="eastAsia" w:ascii="黑体" w:hAnsi="黑体" w:eastAsia="黑体"/>
          <w:color w:val="auto"/>
          <w:sz w:val="24"/>
          <w:highlight w:val="none"/>
        </w:rPr>
        <w:t>1.适用范围</w:t>
      </w:r>
      <w:bookmarkEnd w:id="74"/>
      <w:bookmarkEnd w:id="75"/>
    </w:p>
    <w:p w14:paraId="69EB2777">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同级财政部门政府采购有关规定的约束和保护。</w:t>
      </w:r>
    </w:p>
    <w:p w14:paraId="13279934">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1CE3013F">
      <w:pPr>
        <w:pStyle w:val="198"/>
        <w:keepNext w:val="0"/>
        <w:keepLines w:val="0"/>
        <w:spacing w:before="0" w:after="0" w:line="360" w:lineRule="auto"/>
        <w:ind w:left="420"/>
        <w:rPr>
          <w:rFonts w:hint="eastAsia" w:ascii="黑体" w:hAnsi="黑体" w:eastAsia="黑体"/>
          <w:color w:val="auto"/>
          <w:sz w:val="24"/>
          <w:highlight w:val="none"/>
        </w:rPr>
      </w:pPr>
      <w:bookmarkStart w:id="76" w:name="_Toc254970528"/>
      <w:bookmarkStart w:id="77" w:name="_Toc254970669"/>
      <w:r>
        <w:rPr>
          <w:rFonts w:hint="eastAsia" w:ascii="黑体" w:hAnsi="黑体" w:eastAsia="黑体"/>
          <w:color w:val="auto"/>
          <w:sz w:val="24"/>
          <w:highlight w:val="none"/>
        </w:rPr>
        <w:t>2.定义</w:t>
      </w:r>
      <w:bookmarkEnd w:id="76"/>
      <w:bookmarkEnd w:id="77"/>
    </w:p>
    <w:p w14:paraId="4246B04A">
      <w:pPr>
        <w:pStyle w:val="198"/>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2.1“采购人”是指依法进行政府采购的国家机关、事业单位、团体组织。</w:t>
      </w:r>
    </w:p>
    <w:p w14:paraId="03439D7A">
      <w:pPr>
        <w:pStyle w:val="198"/>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2.2“采购代理机构”是指政府采购集中采购机构和集中采购机构以外的采购代理机构。</w:t>
      </w:r>
    </w:p>
    <w:p w14:paraId="496C03A3">
      <w:pPr>
        <w:pStyle w:val="198"/>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2.3“供应商”是指向采购人提供货物、工程或者服务的法人、其他组织。</w:t>
      </w:r>
    </w:p>
    <w:p w14:paraId="1D230D84">
      <w:pPr>
        <w:pStyle w:val="199"/>
        <w:spacing w:line="360" w:lineRule="auto"/>
        <w:rPr>
          <w:rFonts w:hint="eastAsia" w:ascii="宋体" w:hAnsi="宋体"/>
          <w:color w:val="auto"/>
          <w:szCs w:val="21"/>
          <w:highlight w:val="none"/>
        </w:rPr>
      </w:pPr>
      <w:r>
        <w:rPr>
          <w:rFonts w:hint="eastAsia" w:ascii="宋体" w:hAnsi="宋体"/>
          <w:color w:val="auto"/>
          <w:szCs w:val="21"/>
          <w:highlight w:val="none"/>
        </w:rPr>
        <w:t>2.4“投标人”是指响应招标、参加投标竞争的法人、其他组织。</w:t>
      </w:r>
    </w:p>
    <w:p w14:paraId="638D0AB7">
      <w:pPr>
        <w:pStyle w:val="198"/>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2.5“服务”是指除货物和工程以外的其他政府采购对象。</w:t>
      </w:r>
    </w:p>
    <w:p w14:paraId="30351B4C">
      <w:pPr>
        <w:pStyle w:val="198"/>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w:t>
      </w:r>
      <w:r>
        <w:rPr>
          <w:rFonts w:ascii="宋体" w:hAnsi="宋体"/>
          <w:b w:val="0"/>
          <w:color w:val="auto"/>
          <w:sz w:val="21"/>
          <w:szCs w:val="21"/>
          <w:highlight w:val="none"/>
        </w:rPr>
        <w:t>6</w:t>
      </w:r>
      <w:r>
        <w:rPr>
          <w:rFonts w:hint="eastAsia" w:ascii="宋体" w:hAnsi="宋体"/>
          <w:b w:val="0"/>
          <w:color w:val="auto"/>
          <w:sz w:val="21"/>
          <w:szCs w:val="21"/>
          <w:highlight w:val="none"/>
        </w:rPr>
        <w:t>“书面形式”是指合同书、信件和数据电文（包括电报、电传、传真、电子数据交换和电子邮件）等可以有形地表现所载内容的形式。</w:t>
      </w:r>
    </w:p>
    <w:p w14:paraId="103F2F44">
      <w:pPr>
        <w:pStyle w:val="198"/>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2.</w:t>
      </w:r>
      <w:r>
        <w:rPr>
          <w:rFonts w:ascii="宋体" w:hAnsi="宋体"/>
          <w:b w:val="0"/>
          <w:color w:val="auto"/>
          <w:sz w:val="21"/>
          <w:szCs w:val="21"/>
          <w:highlight w:val="none"/>
        </w:rPr>
        <w:t>7</w:t>
      </w:r>
      <w:r>
        <w:rPr>
          <w:rFonts w:hint="eastAsia" w:ascii="宋体" w:hAnsi="宋体"/>
          <w:b w:val="0"/>
          <w:color w:val="auto"/>
          <w:sz w:val="21"/>
          <w:szCs w:val="21"/>
          <w:highlight w:val="none"/>
        </w:rPr>
        <w:t>“实质性要求”是指招标文件中已经指明不满足则投标无效的条款，或者不能负偏离的条款，或者采购需求中带“▲”的条款。</w:t>
      </w:r>
    </w:p>
    <w:p w14:paraId="0CDB3DAE">
      <w:pPr>
        <w:spacing w:line="360" w:lineRule="auto"/>
        <w:ind w:firstLine="420"/>
        <w:jc w:val="left"/>
        <w:rPr>
          <w:rFonts w:ascii="宋体" w:hAnsi="宋体" w:cs="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8</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516B30D0">
      <w:pPr>
        <w:spacing w:line="360" w:lineRule="auto"/>
        <w:ind w:firstLine="420"/>
        <w:jc w:val="left"/>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7E725955">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0</w:t>
      </w:r>
      <w:r>
        <w:rPr>
          <w:rFonts w:hint="eastAsia" w:ascii="宋体" w:hAnsi="宋体" w:cs="宋体"/>
          <w:color w:val="auto"/>
          <w:szCs w:val="21"/>
          <w:highlight w:val="none"/>
        </w:rPr>
        <w:t>“允许负偏离的条款”是指采购需求中的不属于“实质性要求”的条款。</w:t>
      </w:r>
      <w:bookmarkStart w:id="78" w:name="_Toc254970529"/>
      <w:bookmarkStart w:id="79" w:name="_Toc254970670"/>
    </w:p>
    <w:p w14:paraId="02F113DF">
      <w:pPr>
        <w:pStyle w:val="198"/>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w:t>
      </w:r>
      <w:bookmarkEnd w:id="78"/>
      <w:bookmarkEnd w:id="79"/>
      <w:r>
        <w:rPr>
          <w:rFonts w:hint="eastAsia" w:ascii="黑体" w:hAnsi="黑体" w:eastAsia="黑体"/>
          <w:color w:val="auto"/>
          <w:sz w:val="24"/>
          <w:highlight w:val="none"/>
        </w:rPr>
        <w:t>投标人的资格要求</w:t>
      </w:r>
    </w:p>
    <w:p w14:paraId="515F653D">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投标人的资格要求详见“投标人须知前附表”。</w:t>
      </w:r>
    </w:p>
    <w:p w14:paraId="424CB351">
      <w:pPr>
        <w:pStyle w:val="198"/>
        <w:keepNext w:val="0"/>
        <w:keepLines w:val="0"/>
        <w:spacing w:before="0" w:after="0" w:line="360" w:lineRule="auto"/>
        <w:ind w:left="420"/>
        <w:rPr>
          <w:rFonts w:hint="eastAsia" w:ascii="黑体" w:hAnsi="黑体" w:eastAsia="黑体"/>
          <w:color w:val="auto"/>
          <w:sz w:val="24"/>
          <w:highlight w:val="none"/>
        </w:rPr>
      </w:pPr>
      <w:bookmarkStart w:id="80" w:name="_Toc254970530"/>
      <w:bookmarkStart w:id="81" w:name="_Toc254970671"/>
      <w:r>
        <w:rPr>
          <w:rFonts w:hint="eastAsia" w:ascii="黑体" w:hAnsi="黑体" w:eastAsia="黑体"/>
          <w:color w:val="auto"/>
          <w:sz w:val="24"/>
          <w:highlight w:val="none"/>
        </w:rPr>
        <w:t>4.投标委托</w:t>
      </w:r>
      <w:bookmarkEnd w:id="80"/>
      <w:bookmarkEnd w:id="81"/>
    </w:p>
    <w:p w14:paraId="6CDC06F0">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6B37D6AE">
      <w:pPr>
        <w:pStyle w:val="198"/>
        <w:keepNext w:val="0"/>
        <w:keepLines w:val="0"/>
        <w:spacing w:before="0" w:after="0" w:line="360" w:lineRule="auto"/>
        <w:ind w:left="420"/>
        <w:rPr>
          <w:rFonts w:hint="eastAsia" w:ascii="黑体" w:hAnsi="黑体" w:eastAsia="黑体"/>
          <w:color w:val="auto"/>
          <w:sz w:val="24"/>
          <w:highlight w:val="none"/>
        </w:rPr>
      </w:pPr>
      <w:bookmarkStart w:id="82" w:name="_5.投标费用"/>
      <w:bookmarkEnd w:id="82"/>
      <w:bookmarkStart w:id="83" w:name="_Toc254970531"/>
      <w:bookmarkStart w:id="84" w:name="_Toc254970672"/>
      <w:r>
        <w:rPr>
          <w:rFonts w:hint="eastAsia" w:ascii="黑体" w:hAnsi="黑体" w:eastAsia="黑体"/>
          <w:color w:val="auto"/>
          <w:sz w:val="24"/>
          <w:highlight w:val="none"/>
        </w:rPr>
        <w:t>5.投标费用</w:t>
      </w:r>
      <w:bookmarkEnd w:id="83"/>
      <w:bookmarkEnd w:id="84"/>
    </w:p>
    <w:p w14:paraId="1AD1209F">
      <w:pPr>
        <w:spacing w:line="360" w:lineRule="auto"/>
        <w:ind w:firstLine="420"/>
        <w:jc w:val="left"/>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03A9E155">
      <w:pPr>
        <w:pStyle w:val="198"/>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52D75EF5">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5F3D92E7">
      <w:pPr>
        <w:pStyle w:val="198"/>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13468BE9">
      <w:pPr>
        <w:pStyle w:val="198"/>
        <w:keepNext w:val="0"/>
        <w:keepLines w:val="0"/>
        <w:spacing w:before="0" w:after="0" w:line="360" w:lineRule="auto"/>
        <w:ind w:left="420"/>
        <w:rPr>
          <w:rFonts w:hint="eastAsia" w:ascii="宋体" w:hAnsi="宋体"/>
          <w:b w:val="0"/>
          <w:color w:val="auto"/>
          <w:sz w:val="21"/>
          <w:szCs w:val="21"/>
          <w:highlight w:val="none"/>
        </w:rPr>
      </w:pPr>
      <w:bookmarkStart w:id="85" w:name="_Toc254970673"/>
      <w:bookmarkStart w:id="86" w:name="_Toc254970532"/>
      <w:r>
        <w:rPr>
          <w:rFonts w:hint="eastAsia" w:ascii="宋体" w:hAnsi="宋体"/>
          <w:b w:val="0"/>
          <w:color w:val="auto"/>
          <w:sz w:val="21"/>
          <w:szCs w:val="21"/>
          <w:highlight w:val="none"/>
        </w:rPr>
        <w:t>7.1本项目不允许转包。</w:t>
      </w:r>
    </w:p>
    <w:p w14:paraId="4C06BC49">
      <w:pPr>
        <w:pStyle w:val="198"/>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8.特别说明</w:t>
      </w:r>
      <w:bookmarkEnd w:id="85"/>
      <w:bookmarkEnd w:id="86"/>
    </w:p>
    <w:p w14:paraId="0181B63A">
      <w:pPr>
        <w:pStyle w:val="198"/>
        <w:keepNext w:val="0"/>
        <w:keepLines w:val="0"/>
        <w:spacing w:before="0" w:after="0" w:line="360" w:lineRule="auto"/>
        <w:ind w:firstLine="367"/>
        <w:rPr>
          <w:rFonts w:ascii="宋体" w:hAnsi="宋体"/>
          <w:b w:val="0"/>
          <w:color w:val="auto"/>
          <w:sz w:val="21"/>
          <w:szCs w:val="21"/>
          <w:highlight w:val="none"/>
        </w:rPr>
      </w:pPr>
      <w:r>
        <w:rPr>
          <w:rFonts w:hint="eastAsia" w:ascii="宋体" w:hAnsi="宋体"/>
          <w:b w:val="0"/>
          <w:color w:val="auto"/>
          <w:sz w:val="21"/>
          <w:szCs w:val="21"/>
          <w:highlight w:val="none"/>
        </w:rPr>
        <w:t>8.1如果本招标文件要求提供投标人或制造商的资格、信誉、荣誉、业绩与企业认证等材料的，资格、信誉、荣誉、业绩与企业认证等必须为投标人或者制造商所拥有或自身获得 。</w:t>
      </w:r>
    </w:p>
    <w:p w14:paraId="043B6E36">
      <w:pPr>
        <w:pStyle w:val="198"/>
        <w:keepNext w:val="0"/>
        <w:keepLines w:val="0"/>
        <w:spacing w:before="0" w:after="0" w:line="360" w:lineRule="auto"/>
        <w:ind w:firstLine="367"/>
        <w:rPr>
          <w:rFonts w:hint="eastAsia" w:ascii="宋体" w:hAnsi="宋体"/>
          <w:b w:val="0"/>
          <w:color w:val="auto"/>
          <w:sz w:val="21"/>
          <w:szCs w:val="21"/>
          <w:highlight w:val="none"/>
        </w:rPr>
      </w:pPr>
      <w:r>
        <w:rPr>
          <w:rFonts w:hint="eastAsia" w:ascii="宋体" w:hAnsi="宋体"/>
          <w:b w:val="0"/>
          <w:color w:val="auto"/>
          <w:sz w:val="21"/>
          <w:szCs w:val="21"/>
          <w:highlight w:val="none"/>
        </w:rPr>
        <w:t>8.2投标人应仔细阅读招标文件的所有内容，按照招标文件的要求提交投标文件，并对所提供的全部资料的真实性承担法律责任。</w:t>
      </w:r>
    </w:p>
    <w:p w14:paraId="1B1DC74D">
      <w:pPr>
        <w:pStyle w:val="198"/>
        <w:keepNext w:val="0"/>
        <w:keepLines w:val="0"/>
        <w:spacing w:before="0" w:after="0" w:line="360" w:lineRule="auto"/>
        <w:ind w:firstLine="367"/>
        <w:rPr>
          <w:rFonts w:hint="eastAsia" w:ascii="宋体" w:hAnsi="宋体"/>
          <w:b w:val="0"/>
          <w:color w:val="auto"/>
          <w:sz w:val="21"/>
          <w:szCs w:val="21"/>
          <w:highlight w:val="none"/>
        </w:rPr>
      </w:pPr>
      <w:r>
        <w:rPr>
          <w:rFonts w:hint="eastAsia" w:ascii="宋体" w:hAnsi="宋体"/>
          <w:b w:val="0"/>
          <w:color w:val="auto"/>
          <w:sz w:val="21"/>
          <w:szCs w:val="21"/>
          <w:highlight w:val="none"/>
        </w:rPr>
        <w:t>8.3投标人在投标活动中提供任何虚假材料，将报监管部门查处；中标后发现的，中标供应商须依照《中华人民共和国消费者权益保护法》规定赔偿采购人，且民事赔偿并不免除违法投标人的行政与刑事责任。</w:t>
      </w:r>
    </w:p>
    <w:p w14:paraId="3CA82029">
      <w:pPr>
        <w:pStyle w:val="199"/>
        <w:spacing w:line="360" w:lineRule="auto"/>
        <w:rPr>
          <w:color w:val="auto"/>
          <w:highlight w:val="none"/>
        </w:rPr>
      </w:pPr>
      <w:r>
        <w:rPr>
          <w:rFonts w:hint="eastAsia"/>
          <w:color w:val="auto"/>
          <w:highlight w:val="none"/>
          <w:lang w:val="en-US" w:eastAsia="zh-CN"/>
        </w:rPr>
        <w:t>8.4</w:t>
      </w:r>
      <w:r>
        <w:rPr>
          <w:rFonts w:hint="eastAsia"/>
          <w:color w:val="auto"/>
          <w:highlight w:val="none"/>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556F143">
      <w:pPr>
        <w:pStyle w:val="199"/>
        <w:spacing w:line="360" w:lineRule="auto"/>
        <w:rPr>
          <w:color w:val="auto"/>
          <w:highlight w:val="none"/>
        </w:rPr>
      </w:pPr>
      <w:r>
        <w:rPr>
          <w:rFonts w:hint="eastAsia"/>
          <w:color w:val="auto"/>
          <w:highlight w:val="none"/>
        </w:rPr>
        <w:t>产品在中国境内生产的组件成本占比应当达到规定比例，计算公式为：</w:t>
      </w:r>
    </w:p>
    <w:p w14:paraId="25ECBBCB">
      <w:pPr>
        <w:widowControl/>
        <w:shd w:val="clear" w:color="auto" w:fill="FFFFFF"/>
        <w:spacing w:before="30" w:after="30" w:line="360" w:lineRule="auto"/>
        <w:jc w:val="center"/>
        <w:rPr>
          <w:rFonts w:hint="eastAsia" w:ascii="宋体" w:hAnsi="宋体" w:cs="宋体"/>
          <w:color w:val="auto"/>
          <w:sz w:val="24"/>
          <w:highlight w:val="none"/>
        </w:rPr>
      </w:pPr>
      <w:r>
        <w:rPr>
          <w:rFonts w:ascii="宋体" w:hAnsi="宋体" w:cs="宋体"/>
          <w:color w:val="auto"/>
          <w:sz w:val="24"/>
          <w:highlight w:val="none"/>
        </w:rPr>
        <w:fldChar w:fldCharType="begin"/>
      </w:r>
      <w:r>
        <w:rPr>
          <w:rFonts w:ascii="宋体" w:hAnsi="宋体" w:cs="宋体"/>
          <w:color w:val="auto"/>
          <w:sz w:val="24"/>
          <w:highlight w:val="none"/>
        </w:rPr>
        <w:instrText xml:space="preserve"> INCLUDEPICTURE "https://www.gov.cn/zhengce/content/202509/W020250930645245947614.png" \* MERGEFORMATINET </w:instrText>
      </w:r>
      <w:r>
        <w:rPr>
          <w:rFonts w:ascii="宋体" w:hAnsi="宋体" w:cs="宋体"/>
          <w:color w:val="auto"/>
          <w:sz w:val="24"/>
          <w:highlight w:val="none"/>
        </w:rPr>
        <w:fldChar w:fldCharType="separate"/>
      </w:r>
      <w:r>
        <w:rPr>
          <w:rFonts w:ascii="宋体" w:hAnsi="宋体" w:cs="宋体"/>
          <w:color w:val="auto"/>
          <w:sz w:val="24"/>
          <w:highlight w:val="none"/>
        </w:rPr>
        <w:drawing>
          <wp:inline distT="0" distB="0" distL="0" distR="0">
            <wp:extent cx="4827905" cy="762635"/>
            <wp:effectExtent l="0" t="0" r="0" b="0"/>
            <wp:docPr id="7" name="_x0000_i3083"/>
            <wp:cNvGraphicFramePr/>
            <a:graphic xmlns:a="http://schemas.openxmlformats.org/drawingml/2006/main">
              <a:graphicData uri="http://schemas.openxmlformats.org/drawingml/2006/picture">
                <pic:pic xmlns:pic="http://schemas.openxmlformats.org/drawingml/2006/picture">
                  <pic:nvPicPr>
                    <pic:cNvPr id="7" name="_x0000_i3083"/>
                    <pic:cNvPicPr/>
                  </pic:nvPicPr>
                  <pic:blipFill>
                    <a:blip r:embed="rId17"/>
                    <a:stretch>
                      <a:fillRect/>
                    </a:stretch>
                  </pic:blipFill>
                  <pic:spPr>
                    <a:xfrm>
                      <a:off x="0" y="0"/>
                      <a:ext cx="4827905" cy="762762"/>
                    </a:xfrm>
                    <a:prstGeom prst="rect">
                      <a:avLst/>
                    </a:prstGeom>
                    <a:noFill/>
                  </pic:spPr>
                </pic:pic>
              </a:graphicData>
            </a:graphic>
          </wp:inline>
        </w:drawing>
      </w:r>
      <w:r>
        <w:rPr>
          <w:rFonts w:ascii="宋体" w:hAnsi="宋体" w:cs="宋体"/>
          <w:color w:val="auto"/>
          <w:sz w:val="24"/>
          <w:highlight w:val="none"/>
        </w:rPr>
        <w:fldChar w:fldCharType="end"/>
      </w:r>
    </w:p>
    <w:p w14:paraId="741611DB">
      <w:pPr>
        <w:pStyle w:val="199"/>
        <w:spacing w:line="360" w:lineRule="auto"/>
        <w:rPr>
          <w:rFonts w:hint="eastAsia"/>
          <w:color w:val="auto"/>
          <w:highlight w:val="none"/>
        </w:rPr>
      </w:pPr>
      <w:r>
        <w:rPr>
          <w:rFonts w:hint="eastAsia"/>
          <w:color w:val="auto"/>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426B82CA">
      <w:pPr>
        <w:pStyle w:val="199"/>
        <w:spacing w:line="360" w:lineRule="auto"/>
        <w:rPr>
          <w:color w:val="auto"/>
          <w:highlight w:val="none"/>
        </w:rPr>
      </w:pPr>
      <w:r>
        <w:rPr>
          <w:rFonts w:hint="eastAsia"/>
          <w:color w:val="auto"/>
          <w:highlight w:val="none"/>
        </w:rPr>
        <w:t>政府采购活动中既有本国产品又有非本国产品参与竞争的，依法对本国产品给予价格评审优惠，对本国产品的报价给予20%的价格扣除，用扣除后的价格参与评审。</w:t>
      </w:r>
    </w:p>
    <w:p w14:paraId="38EE2E65">
      <w:pPr>
        <w:pStyle w:val="199"/>
        <w:spacing w:line="360" w:lineRule="auto"/>
        <w:rPr>
          <w:rFonts w:hint="eastAsia"/>
          <w:color w:val="auto"/>
          <w:highlight w:val="none"/>
        </w:rPr>
      </w:pPr>
      <w:r>
        <w:rPr>
          <w:rFonts w:hint="eastAsia"/>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25D1D6D">
      <w:pPr>
        <w:pStyle w:val="199"/>
        <w:rPr>
          <w:rFonts w:hint="eastAsia"/>
          <w:color w:val="auto"/>
          <w:highlight w:val="none"/>
        </w:rPr>
      </w:pPr>
    </w:p>
    <w:p w14:paraId="140A7697">
      <w:pPr>
        <w:pStyle w:val="198"/>
        <w:keepNext w:val="0"/>
        <w:keepLines w:val="0"/>
        <w:spacing w:before="0" w:after="0" w:line="360" w:lineRule="auto"/>
        <w:ind w:left="420"/>
        <w:rPr>
          <w:rFonts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3DFFD1CD">
      <w:pPr>
        <w:pStyle w:val="198"/>
        <w:keepNext w:val="0"/>
        <w:keepLines w:val="0"/>
        <w:spacing w:before="0" w:after="0" w:line="360" w:lineRule="auto"/>
        <w:ind w:firstLine="369"/>
        <w:rPr>
          <w:rFonts w:ascii="宋体" w:hAnsi="宋体"/>
          <w:b/>
          <w:bCs/>
          <w:color w:val="auto"/>
          <w:sz w:val="21"/>
          <w:szCs w:val="21"/>
          <w:highlight w:val="none"/>
        </w:rPr>
      </w:pPr>
      <w:r>
        <w:rPr>
          <w:rFonts w:hint="eastAsia" w:ascii="宋体" w:hAnsi="宋体"/>
          <w:b/>
          <w:bCs/>
          <w:color w:val="auto"/>
          <w:sz w:val="21"/>
          <w:szCs w:val="21"/>
          <w:highlight w:val="none"/>
        </w:rPr>
        <w:t>9</w:t>
      </w:r>
      <w:r>
        <w:rPr>
          <w:rFonts w:ascii="宋体" w:hAnsi="宋体"/>
          <w:b/>
          <w:bCs/>
          <w:color w:val="auto"/>
          <w:sz w:val="21"/>
          <w:szCs w:val="21"/>
          <w:highlight w:val="none"/>
        </w:rPr>
        <w:t>.1在政府采购活动中，采购人员及相关人员与</w:t>
      </w:r>
      <w:r>
        <w:rPr>
          <w:rFonts w:hint="eastAsia" w:ascii="宋体" w:hAnsi="宋体"/>
          <w:b/>
          <w:bCs/>
          <w:color w:val="auto"/>
          <w:sz w:val="21"/>
          <w:szCs w:val="21"/>
          <w:highlight w:val="none"/>
        </w:rPr>
        <w:t>供应商</w:t>
      </w:r>
      <w:r>
        <w:rPr>
          <w:rFonts w:ascii="宋体" w:hAnsi="宋体"/>
          <w:b/>
          <w:bCs/>
          <w:color w:val="auto"/>
          <w:sz w:val="21"/>
          <w:szCs w:val="21"/>
          <w:highlight w:val="none"/>
        </w:rPr>
        <w:t>有下列利害关系之一的，应当回避：</w:t>
      </w:r>
    </w:p>
    <w:p w14:paraId="183963C0">
      <w:pPr>
        <w:pStyle w:val="231"/>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）参加采购活动前3年内与</w:t>
      </w:r>
      <w:r>
        <w:rPr>
          <w:rFonts w:hint="eastAsia" w:hAnsi="宋体"/>
          <w:color w:val="auto"/>
          <w:sz w:val="21"/>
          <w:highlight w:val="none"/>
        </w:rPr>
        <w:t>供应商</w:t>
      </w:r>
      <w:r>
        <w:rPr>
          <w:rFonts w:hAnsi="宋体"/>
          <w:color w:val="auto"/>
          <w:sz w:val="21"/>
          <w:highlight w:val="none"/>
        </w:rPr>
        <w:t>存在劳动关系；</w:t>
      </w:r>
    </w:p>
    <w:p w14:paraId="6ADBE242">
      <w:pPr>
        <w:pStyle w:val="231"/>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）参加采购活动前3年内担任</w:t>
      </w:r>
      <w:r>
        <w:rPr>
          <w:rFonts w:hint="eastAsia" w:hAnsi="宋体"/>
          <w:color w:val="auto"/>
          <w:sz w:val="21"/>
          <w:highlight w:val="none"/>
        </w:rPr>
        <w:t>供应商</w:t>
      </w:r>
      <w:r>
        <w:rPr>
          <w:rFonts w:hAnsi="宋体"/>
          <w:color w:val="auto"/>
          <w:sz w:val="21"/>
          <w:highlight w:val="none"/>
        </w:rPr>
        <w:t>的董事、监事；</w:t>
      </w:r>
    </w:p>
    <w:p w14:paraId="4CF2D2F1">
      <w:pPr>
        <w:pStyle w:val="231"/>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）参加采购活动前3年内是</w:t>
      </w:r>
      <w:r>
        <w:rPr>
          <w:rFonts w:hint="eastAsia" w:hAnsi="宋体"/>
          <w:color w:val="auto"/>
          <w:sz w:val="21"/>
          <w:highlight w:val="none"/>
        </w:rPr>
        <w:t>供应商</w:t>
      </w:r>
      <w:r>
        <w:rPr>
          <w:rFonts w:hAnsi="宋体"/>
          <w:color w:val="auto"/>
          <w:sz w:val="21"/>
          <w:highlight w:val="none"/>
        </w:rPr>
        <w:t>的控股股东或者实际控制人；</w:t>
      </w:r>
    </w:p>
    <w:p w14:paraId="0E0CE622">
      <w:pPr>
        <w:pStyle w:val="231"/>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4</w:t>
      </w:r>
      <w:r>
        <w:rPr>
          <w:rFonts w:hAnsi="宋体"/>
          <w:color w:val="auto"/>
          <w:sz w:val="21"/>
          <w:highlight w:val="none"/>
        </w:rPr>
        <w:t>）与</w:t>
      </w:r>
      <w:r>
        <w:rPr>
          <w:rFonts w:hint="eastAsia" w:hAnsi="宋体"/>
          <w:color w:val="auto"/>
          <w:sz w:val="21"/>
          <w:highlight w:val="none"/>
        </w:rPr>
        <w:t>供应商</w:t>
      </w:r>
      <w:r>
        <w:rPr>
          <w:rFonts w:hAnsi="宋体"/>
          <w:color w:val="auto"/>
          <w:sz w:val="21"/>
          <w:highlight w:val="none"/>
        </w:rPr>
        <w:t>的法定代表人或者负责人有夫妻、直系血亲、三代以内旁系血亲或者近姻亲关系；</w:t>
      </w:r>
    </w:p>
    <w:p w14:paraId="27A8F162">
      <w:pPr>
        <w:pStyle w:val="231"/>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5</w:t>
      </w:r>
      <w:r>
        <w:rPr>
          <w:rFonts w:hAnsi="宋体"/>
          <w:color w:val="auto"/>
          <w:sz w:val="21"/>
          <w:highlight w:val="none"/>
        </w:rPr>
        <w:t>）与</w:t>
      </w:r>
      <w:r>
        <w:rPr>
          <w:rFonts w:hint="eastAsia" w:hAnsi="宋体"/>
          <w:color w:val="auto"/>
          <w:sz w:val="21"/>
          <w:highlight w:val="none"/>
        </w:rPr>
        <w:t>供应商</w:t>
      </w:r>
      <w:r>
        <w:rPr>
          <w:rFonts w:hAnsi="宋体"/>
          <w:color w:val="auto"/>
          <w:sz w:val="21"/>
          <w:highlight w:val="none"/>
        </w:rPr>
        <w:t>有其他可能影响政府采购活动公平、公正进行的关系。</w:t>
      </w:r>
    </w:p>
    <w:p w14:paraId="0269F31A">
      <w:pPr>
        <w:pStyle w:val="231"/>
        <w:spacing w:line="360" w:lineRule="auto"/>
        <w:ind w:left="2" w:firstLine="420"/>
        <w:rPr>
          <w:rFonts w:hint="eastAsia" w:hAnsi="宋体"/>
          <w:color w:val="auto"/>
          <w:sz w:val="21"/>
          <w:highlight w:val="none"/>
        </w:rPr>
      </w:pPr>
      <w:r>
        <w:rPr>
          <w:rFonts w:hint="eastAsia" w:hAnsi="宋体"/>
          <w:color w:val="auto"/>
          <w:sz w:val="21"/>
          <w:highlight w:val="none"/>
        </w:rPr>
        <w:t>供应商</w:t>
      </w:r>
      <w:r>
        <w:rPr>
          <w:rFonts w:hAnsi="宋体"/>
          <w:color w:val="auto"/>
          <w:sz w:val="21"/>
          <w:highlight w:val="none"/>
        </w:rPr>
        <w:t>认为采购人员及相关人员与其他</w:t>
      </w:r>
      <w:r>
        <w:rPr>
          <w:rFonts w:hint="eastAsia" w:hAnsi="宋体"/>
          <w:color w:val="auto"/>
          <w:sz w:val="21"/>
          <w:highlight w:val="none"/>
        </w:rPr>
        <w:t>供应商</w:t>
      </w:r>
      <w:r>
        <w:rPr>
          <w:rFonts w:hAnsi="宋体"/>
          <w:color w:val="auto"/>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36DB4A82">
      <w:pPr>
        <w:pStyle w:val="198"/>
        <w:keepNext w:val="0"/>
        <w:keepLines w:val="0"/>
        <w:spacing w:before="0" w:after="0" w:line="360" w:lineRule="auto"/>
        <w:ind w:left="420"/>
        <w:rPr>
          <w:rFonts w:hint="eastAsia"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379D1027">
      <w:pPr>
        <w:pStyle w:val="231"/>
        <w:spacing w:line="360" w:lineRule="auto"/>
        <w:ind w:left="2" w:firstLine="422"/>
        <w:rPr>
          <w:rFonts w:hint="eastAsia" w:hAnsi="宋体"/>
          <w:b/>
          <w:color w:val="auto"/>
          <w:sz w:val="21"/>
          <w:highlight w:val="none"/>
        </w:rPr>
      </w:pPr>
      <w:r>
        <w:rPr>
          <w:rFonts w:hint="eastAsia" w:hAnsi="宋体"/>
          <w:b/>
          <w:color w:val="auto"/>
          <w:sz w:val="21"/>
          <w:highlight w:val="none"/>
        </w:rPr>
        <w:t>（1）不同投标人的投标文件由同一单位或者个人编制</w:t>
      </w:r>
      <w:r>
        <w:rPr>
          <w:rFonts w:hint="eastAsia" w:hAnsi="宋体"/>
          <w:b/>
          <w:color w:val="auto"/>
          <w:sz w:val="21"/>
          <w:highlight w:val="none"/>
          <w:lang w:eastAsia="zh-CN"/>
        </w:rPr>
        <w:t>，或不同供应商报名的IP地址一致的；</w:t>
      </w:r>
    </w:p>
    <w:p w14:paraId="08C887B8">
      <w:pPr>
        <w:pStyle w:val="231"/>
        <w:spacing w:line="360" w:lineRule="auto"/>
        <w:ind w:left="2" w:firstLine="422"/>
        <w:rPr>
          <w:rFonts w:hint="eastAsia" w:hAnsi="宋体"/>
          <w:b/>
          <w:color w:val="auto"/>
          <w:sz w:val="21"/>
          <w:highlight w:val="none"/>
        </w:rPr>
      </w:pPr>
      <w:r>
        <w:rPr>
          <w:rFonts w:hint="eastAsia" w:hAnsi="宋体"/>
          <w:b/>
          <w:color w:val="auto"/>
          <w:sz w:val="21"/>
          <w:highlight w:val="none"/>
        </w:rPr>
        <w:t>（2）不同投标人委托同一单位或者个人办理投标事宜；</w:t>
      </w:r>
    </w:p>
    <w:p w14:paraId="43A94E84">
      <w:pPr>
        <w:pStyle w:val="231"/>
        <w:spacing w:line="360" w:lineRule="auto"/>
        <w:ind w:left="2" w:firstLine="422"/>
        <w:rPr>
          <w:rFonts w:hint="eastAsia" w:hAnsi="宋体"/>
          <w:b/>
          <w:color w:val="auto"/>
          <w:sz w:val="21"/>
          <w:highlight w:val="none"/>
        </w:rPr>
      </w:pPr>
      <w:r>
        <w:rPr>
          <w:rFonts w:hint="eastAsia" w:hAnsi="宋体"/>
          <w:b/>
          <w:color w:val="auto"/>
          <w:sz w:val="21"/>
          <w:highlight w:val="none"/>
        </w:rPr>
        <w:t>（3）不同的投标人的投标文件载明的项目管理员为同一个人；</w:t>
      </w:r>
    </w:p>
    <w:p w14:paraId="73311A36">
      <w:pPr>
        <w:pStyle w:val="231"/>
        <w:spacing w:line="360" w:lineRule="auto"/>
        <w:ind w:left="2" w:firstLine="422"/>
        <w:rPr>
          <w:rFonts w:hint="eastAsia" w:hAnsi="宋体"/>
          <w:b/>
          <w:color w:val="auto"/>
          <w:sz w:val="21"/>
          <w:highlight w:val="none"/>
        </w:rPr>
      </w:pPr>
      <w:r>
        <w:rPr>
          <w:rFonts w:hint="eastAsia" w:hAnsi="宋体"/>
          <w:b/>
          <w:color w:val="auto"/>
          <w:sz w:val="21"/>
          <w:highlight w:val="none"/>
        </w:rPr>
        <w:t>（4）不同投标人的投标文件异常一致或者投标报价呈规律性差异；</w:t>
      </w:r>
    </w:p>
    <w:p w14:paraId="649C0E9D">
      <w:pPr>
        <w:pStyle w:val="231"/>
        <w:spacing w:line="360" w:lineRule="auto"/>
        <w:ind w:left="2" w:firstLine="422"/>
        <w:rPr>
          <w:rFonts w:hint="eastAsia" w:hAnsi="宋体"/>
          <w:b/>
          <w:color w:val="auto"/>
          <w:sz w:val="21"/>
          <w:highlight w:val="none"/>
        </w:rPr>
      </w:pPr>
      <w:r>
        <w:rPr>
          <w:rFonts w:hint="eastAsia" w:hAnsi="宋体"/>
          <w:b/>
          <w:color w:val="auto"/>
          <w:sz w:val="21"/>
          <w:highlight w:val="none"/>
        </w:rPr>
        <w:t>（5）不同投标人的投标文件相互混装；</w:t>
      </w:r>
    </w:p>
    <w:p w14:paraId="508B6252">
      <w:pPr>
        <w:pStyle w:val="198"/>
        <w:keepNext w:val="0"/>
        <w:keepLines w:val="0"/>
        <w:spacing w:before="0" w:after="0" w:line="360" w:lineRule="auto"/>
        <w:ind w:left="420"/>
        <w:rPr>
          <w:rFonts w:hint="eastAsia" w:ascii="宋体" w:hAnsi="宋体"/>
          <w:b/>
          <w:bCs/>
          <w:color w:val="auto"/>
          <w:sz w:val="21"/>
          <w:szCs w:val="21"/>
          <w:highlight w:val="none"/>
        </w:rPr>
      </w:pPr>
      <w:r>
        <w:rPr>
          <w:rFonts w:ascii="宋体" w:hAnsi="宋体"/>
          <w:b/>
          <w:bCs/>
          <w:color w:val="auto"/>
          <w:sz w:val="21"/>
          <w:szCs w:val="21"/>
          <w:highlight w:val="none"/>
        </w:rPr>
        <w:t>9.3</w:t>
      </w:r>
      <w:r>
        <w:rPr>
          <w:rFonts w:hint="eastAsia" w:ascii="宋体" w:hAnsi="宋体"/>
          <w:b/>
          <w:bCs/>
          <w:color w:val="auto"/>
          <w:sz w:val="21"/>
          <w:szCs w:val="21"/>
          <w:highlight w:val="none"/>
        </w:rPr>
        <w:t>供应商有下列情形之一的，属于恶意串通行为，将报同级监督管理部门：</w:t>
      </w:r>
    </w:p>
    <w:p w14:paraId="47EEB046">
      <w:pPr>
        <w:pStyle w:val="231"/>
        <w:spacing w:line="360" w:lineRule="auto"/>
        <w:ind w:left="2" w:firstLine="420"/>
        <w:rPr>
          <w:rFonts w:hint="eastAsia" w:hAnsi="宋体"/>
          <w:color w:val="auto"/>
          <w:sz w:val="21"/>
          <w:highlight w:val="none"/>
        </w:rPr>
      </w:pPr>
      <w:r>
        <w:rPr>
          <w:rFonts w:hint="eastAsia" w:hAnsi="宋体"/>
          <w:color w:val="auto"/>
          <w:sz w:val="21"/>
          <w:highlight w:val="none"/>
        </w:rPr>
        <w:t>（1）供应商直接或者间接从采购人或者采购代理机构处获得其他供应商的相关信息并修改其投标文件或者</w:t>
      </w:r>
      <w:r>
        <w:rPr>
          <w:rFonts w:hint="eastAsia" w:hAnsi="宋体"/>
          <w:color w:val="auto"/>
          <w:sz w:val="21"/>
          <w:highlight w:val="none"/>
          <w:lang w:eastAsia="zh-CN"/>
        </w:rPr>
        <w:t>投标文件</w:t>
      </w:r>
      <w:r>
        <w:rPr>
          <w:rFonts w:hint="eastAsia" w:hAnsi="宋体"/>
          <w:color w:val="auto"/>
          <w:sz w:val="21"/>
          <w:highlight w:val="none"/>
        </w:rPr>
        <w:t>；</w:t>
      </w:r>
    </w:p>
    <w:p w14:paraId="684B237E">
      <w:pPr>
        <w:pStyle w:val="231"/>
        <w:spacing w:line="360" w:lineRule="auto"/>
        <w:ind w:left="2" w:firstLine="420"/>
        <w:rPr>
          <w:rFonts w:hint="eastAsia" w:hAnsi="宋体"/>
          <w:color w:val="auto"/>
          <w:sz w:val="21"/>
          <w:highlight w:val="none"/>
        </w:rPr>
      </w:pPr>
      <w:r>
        <w:rPr>
          <w:rFonts w:hint="eastAsia" w:hAnsi="宋体"/>
          <w:color w:val="auto"/>
          <w:sz w:val="21"/>
          <w:highlight w:val="none"/>
        </w:rPr>
        <w:t>（2）供应商按照采购人或者采购代理机构的授意撤换、修改投标文件或者</w:t>
      </w:r>
      <w:r>
        <w:rPr>
          <w:rFonts w:hint="eastAsia" w:hAnsi="宋体"/>
          <w:color w:val="auto"/>
          <w:sz w:val="21"/>
          <w:highlight w:val="none"/>
          <w:lang w:eastAsia="zh-CN"/>
        </w:rPr>
        <w:t>投标文件</w:t>
      </w:r>
      <w:r>
        <w:rPr>
          <w:rFonts w:hint="eastAsia" w:hAnsi="宋体"/>
          <w:color w:val="auto"/>
          <w:sz w:val="21"/>
          <w:highlight w:val="none"/>
        </w:rPr>
        <w:t>；</w:t>
      </w:r>
    </w:p>
    <w:p w14:paraId="69D51284">
      <w:pPr>
        <w:pStyle w:val="231"/>
        <w:spacing w:line="360" w:lineRule="auto"/>
        <w:ind w:left="2" w:firstLine="420"/>
        <w:rPr>
          <w:rFonts w:hint="eastAsia" w:hAnsi="宋体"/>
          <w:color w:val="auto"/>
          <w:sz w:val="21"/>
          <w:highlight w:val="none"/>
        </w:rPr>
      </w:pPr>
      <w:r>
        <w:rPr>
          <w:rFonts w:hint="eastAsia" w:hAnsi="宋体"/>
          <w:color w:val="auto"/>
          <w:sz w:val="21"/>
          <w:highlight w:val="none"/>
        </w:rPr>
        <w:t>（3）供应商之间协商报价、技术方案等投标文件或者</w:t>
      </w:r>
      <w:r>
        <w:rPr>
          <w:rFonts w:hint="eastAsia" w:hAnsi="宋体"/>
          <w:color w:val="auto"/>
          <w:sz w:val="21"/>
          <w:highlight w:val="none"/>
          <w:lang w:eastAsia="zh-CN"/>
        </w:rPr>
        <w:t>投标文件</w:t>
      </w:r>
      <w:r>
        <w:rPr>
          <w:rFonts w:hint="eastAsia" w:hAnsi="宋体"/>
          <w:color w:val="auto"/>
          <w:sz w:val="21"/>
          <w:highlight w:val="none"/>
        </w:rPr>
        <w:t>的实质性内容；</w:t>
      </w:r>
    </w:p>
    <w:p w14:paraId="13597CD9">
      <w:pPr>
        <w:pStyle w:val="231"/>
        <w:spacing w:line="360" w:lineRule="auto"/>
        <w:ind w:left="2" w:firstLine="420"/>
        <w:rPr>
          <w:rFonts w:hint="eastAsia" w:hAnsi="宋体"/>
          <w:color w:val="auto"/>
          <w:sz w:val="21"/>
          <w:highlight w:val="none"/>
        </w:rPr>
      </w:pPr>
      <w:r>
        <w:rPr>
          <w:rFonts w:hint="eastAsia" w:hAnsi="宋体"/>
          <w:color w:val="auto"/>
          <w:sz w:val="21"/>
          <w:highlight w:val="none"/>
        </w:rPr>
        <w:t>（4）属于同一集团、协会、商会等组织成员的供应商按照该组织要求协同参加政府采购活动；</w:t>
      </w:r>
    </w:p>
    <w:p w14:paraId="519334D7">
      <w:pPr>
        <w:pStyle w:val="231"/>
        <w:spacing w:line="360" w:lineRule="auto"/>
        <w:ind w:left="2" w:firstLine="420"/>
        <w:rPr>
          <w:rFonts w:hint="eastAsia" w:hAnsi="宋体"/>
          <w:color w:val="auto"/>
          <w:sz w:val="21"/>
          <w:highlight w:val="none"/>
        </w:rPr>
      </w:pPr>
      <w:r>
        <w:rPr>
          <w:rFonts w:hint="eastAsia" w:hAnsi="宋体"/>
          <w:color w:val="auto"/>
          <w:sz w:val="21"/>
          <w:highlight w:val="none"/>
        </w:rPr>
        <w:t>（5）供应商之间事先约定一致抬高或者压低投标报价，或者在招标项目中事先约定轮流以高价位或者低价位中标，或者事先约定由某一特定供应商中标，然后再参加投标；</w:t>
      </w:r>
    </w:p>
    <w:p w14:paraId="1C172592">
      <w:pPr>
        <w:pStyle w:val="231"/>
        <w:spacing w:line="360" w:lineRule="auto"/>
        <w:ind w:left="2" w:firstLine="420"/>
        <w:rPr>
          <w:rFonts w:hint="eastAsia" w:hAnsi="宋体"/>
          <w:color w:val="auto"/>
          <w:sz w:val="21"/>
          <w:highlight w:val="none"/>
        </w:rPr>
      </w:pPr>
      <w:r>
        <w:rPr>
          <w:rFonts w:hint="eastAsia" w:hAnsi="宋体"/>
          <w:color w:val="auto"/>
          <w:sz w:val="21"/>
          <w:highlight w:val="none"/>
        </w:rPr>
        <w:t>（6）供应商之间商定部分供应商放弃参加政府采购活动或者放弃中标；</w:t>
      </w:r>
    </w:p>
    <w:p w14:paraId="2C8A3B7B">
      <w:pPr>
        <w:pStyle w:val="231"/>
        <w:spacing w:line="360" w:lineRule="auto"/>
        <w:ind w:left="2" w:firstLine="420"/>
        <w:rPr>
          <w:rFonts w:hAnsi="宋体"/>
          <w:color w:val="auto"/>
          <w:sz w:val="21"/>
          <w:highlight w:val="none"/>
        </w:rPr>
      </w:pPr>
      <w:r>
        <w:rPr>
          <w:rFonts w:hint="eastAsia" w:hAnsi="宋体"/>
          <w:color w:val="auto"/>
          <w:sz w:val="21"/>
          <w:highlight w:val="none"/>
        </w:rPr>
        <w:t>（7）供应商与采购人或者采购代理机构之间、供应商相互之间，为谋求特定供应商中标或者排斥其他供应商的其他串通行为。</w:t>
      </w:r>
    </w:p>
    <w:p w14:paraId="39CFB92A">
      <w:pPr>
        <w:pStyle w:val="231"/>
        <w:spacing w:line="360" w:lineRule="auto"/>
        <w:ind w:left="2" w:firstLine="422"/>
        <w:rPr>
          <w:rFonts w:hint="eastAsia" w:hAnsi="宋体"/>
          <w:b/>
          <w:color w:val="auto"/>
          <w:sz w:val="21"/>
          <w:highlight w:val="none"/>
        </w:rPr>
      </w:pPr>
    </w:p>
    <w:p w14:paraId="065C2839">
      <w:pPr>
        <w:pStyle w:val="231"/>
        <w:spacing w:line="360" w:lineRule="auto"/>
        <w:ind w:left="2" w:firstLine="422"/>
        <w:rPr>
          <w:rFonts w:hint="eastAsia" w:hAnsi="宋体"/>
          <w:b/>
          <w:color w:val="auto"/>
          <w:sz w:val="21"/>
          <w:highlight w:val="none"/>
        </w:rPr>
      </w:pPr>
    </w:p>
    <w:p w14:paraId="3F5494C7">
      <w:pPr>
        <w:pStyle w:val="231"/>
        <w:spacing w:line="360" w:lineRule="auto"/>
        <w:ind w:left="2" w:firstLine="422"/>
        <w:rPr>
          <w:rFonts w:hint="eastAsia" w:hAnsi="宋体"/>
          <w:b/>
          <w:color w:val="auto"/>
          <w:sz w:val="21"/>
          <w:highlight w:val="none"/>
        </w:rPr>
      </w:pPr>
    </w:p>
    <w:p w14:paraId="032AEDDA">
      <w:pPr>
        <w:pStyle w:val="196"/>
        <w:keepNext w:val="0"/>
        <w:keepLines w:val="0"/>
        <w:jc w:val="center"/>
        <w:rPr>
          <w:rFonts w:hint="eastAsia"/>
          <w:color w:val="auto"/>
          <w:highlight w:val="none"/>
        </w:rPr>
      </w:pPr>
      <w:bookmarkStart w:id="87" w:name="_Toc254970675"/>
      <w:bookmarkStart w:id="88" w:name="_Toc254970534"/>
      <w:r>
        <w:rPr>
          <w:rFonts w:hint="eastAsia"/>
          <w:color w:val="auto"/>
          <w:highlight w:val="none"/>
        </w:rPr>
        <w:t>二、招标文件</w:t>
      </w:r>
      <w:bookmarkEnd w:id="87"/>
      <w:bookmarkEnd w:id="88"/>
    </w:p>
    <w:p w14:paraId="6771EFCF">
      <w:pPr>
        <w:pStyle w:val="198"/>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10.招标文件的组成</w:t>
      </w:r>
    </w:p>
    <w:p w14:paraId="7C4351FB">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（1）招标公告；</w:t>
      </w:r>
    </w:p>
    <w:p w14:paraId="14F42FBE">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 xml:space="preserve">（2）采购需求； </w:t>
      </w:r>
    </w:p>
    <w:p w14:paraId="767ED9F3">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（3）投标人须知；</w:t>
      </w:r>
    </w:p>
    <w:p w14:paraId="60C76B30">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（4）评标方法及评标标准；</w:t>
      </w:r>
    </w:p>
    <w:p w14:paraId="7BD07094">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（5）拟签订的合同文本；</w:t>
      </w:r>
    </w:p>
    <w:p w14:paraId="3A4A0D9C">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（6）投标文件格式。</w:t>
      </w:r>
    </w:p>
    <w:p w14:paraId="4138D75F">
      <w:pPr>
        <w:pStyle w:val="198"/>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6BEE461E">
      <w:pPr>
        <w:pStyle w:val="198"/>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74C9CEF">
      <w:pPr>
        <w:pStyle w:val="231"/>
        <w:spacing w:line="360" w:lineRule="auto"/>
        <w:ind w:firstLine="420"/>
        <w:rPr>
          <w:rFonts w:hint="eastAsia" w:hAnsi="宋体"/>
          <w:color w:val="auto"/>
          <w:sz w:val="21"/>
          <w:highlight w:val="none"/>
        </w:rPr>
      </w:pPr>
      <w:r>
        <w:rPr>
          <w:rFonts w:hint="eastAsia" w:hAnsi="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274F1A00">
      <w:pPr>
        <w:pStyle w:val="231"/>
        <w:spacing w:line="360" w:lineRule="auto"/>
        <w:ind w:firstLine="420"/>
        <w:rPr>
          <w:rFonts w:hint="eastAsia" w:hAnsi="宋体"/>
          <w:color w:val="auto"/>
          <w:sz w:val="21"/>
          <w:highlight w:val="none"/>
        </w:rPr>
      </w:pPr>
      <w:r>
        <w:rPr>
          <w:rFonts w:hint="eastAsia" w:hAnsi="宋体"/>
          <w:color w:val="auto"/>
          <w:sz w:val="21"/>
          <w:highlight w:val="none"/>
        </w:rPr>
        <w:t>1</w:t>
      </w:r>
      <w:r>
        <w:rPr>
          <w:rFonts w:hAnsi="宋体"/>
          <w:color w:val="auto"/>
          <w:sz w:val="21"/>
          <w:highlight w:val="none"/>
        </w:rPr>
        <w:t>1.2</w:t>
      </w:r>
      <w:bookmarkStart w:id="89" w:name="_Hlk53134511"/>
      <w:r>
        <w:rPr>
          <w:rFonts w:hint="eastAsia" w:hAnsi="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89"/>
    <w:p w14:paraId="0ECE2403">
      <w:pPr>
        <w:pStyle w:val="196"/>
        <w:keepNext w:val="0"/>
        <w:keepLines w:val="0"/>
        <w:jc w:val="center"/>
        <w:rPr>
          <w:rFonts w:hint="eastAsia"/>
          <w:color w:val="auto"/>
          <w:highlight w:val="none"/>
        </w:rPr>
      </w:pPr>
      <w:bookmarkStart w:id="90" w:name="_Toc254970535"/>
      <w:bookmarkStart w:id="91" w:name="_Toc254970676"/>
      <w:r>
        <w:rPr>
          <w:rFonts w:hint="eastAsia"/>
          <w:color w:val="auto"/>
          <w:highlight w:val="none"/>
        </w:rPr>
        <w:t>三、投标文件的编制</w:t>
      </w:r>
      <w:bookmarkEnd w:id="90"/>
      <w:bookmarkEnd w:id="91"/>
    </w:p>
    <w:p w14:paraId="3732E6AF">
      <w:pPr>
        <w:pStyle w:val="198"/>
        <w:keepNext w:val="0"/>
        <w:keepLines w:val="0"/>
        <w:spacing w:before="0" w:after="0" w:line="360" w:lineRule="auto"/>
        <w:ind w:left="420"/>
        <w:rPr>
          <w:rFonts w:hint="eastAsia" w:ascii="黑体" w:hAnsi="黑体" w:eastAsia="黑体"/>
          <w:color w:val="auto"/>
          <w:sz w:val="24"/>
          <w:highlight w:val="none"/>
        </w:rPr>
      </w:pPr>
      <w:bookmarkStart w:id="92" w:name="_Toc254970536"/>
      <w:bookmarkStart w:id="93" w:name="_Toc254970677"/>
      <w:r>
        <w:rPr>
          <w:rFonts w:hint="eastAsia" w:ascii="黑体" w:hAnsi="黑体" w:eastAsia="黑体"/>
          <w:color w:val="auto"/>
          <w:sz w:val="24"/>
          <w:highlight w:val="none"/>
        </w:rPr>
        <w:t>12.投标文件的编制原则</w:t>
      </w:r>
    </w:p>
    <w:p w14:paraId="03EF47C6">
      <w:pPr>
        <w:spacing w:line="360" w:lineRule="auto"/>
        <w:ind w:firstLine="420"/>
        <w:jc w:val="left"/>
        <w:rPr>
          <w:rFonts w:hint="eastAsia" w:ascii="宋体" w:hAnsi="宋体" w:cs="Courier New"/>
          <w:color w:val="auto"/>
          <w:szCs w:val="21"/>
          <w:highlight w:val="none"/>
        </w:rPr>
      </w:pPr>
      <w:r>
        <w:rPr>
          <w:rFonts w:hint="eastAsia" w:ascii="宋体" w:hAnsi="宋体"/>
          <w:color w:val="auto"/>
          <w:szCs w:val="21"/>
          <w:highlight w:val="none"/>
        </w:rPr>
        <w:t>投标人</w:t>
      </w:r>
      <w:r>
        <w:rPr>
          <w:rFonts w:ascii="宋体" w:hAnsi="宋体"/>
          <w:color w:val="auto"/>
          <w:szCs w:val="21"/>
          <w:highlight w:val="none"/>
        </w:rPr>
        <w:t>必须按照招标文件的要求编制投标文件。投标文件必须对招标文件提出的要求和条件作出明确响应。</w:t>
      </w:r>
    </w:p>
    <w:p w14:paraId="0E754410">
      <w:pPr>
        <w:pStyle w:val="198"/>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bookmarkEnd w:id="92"/>
      <w:bookmarkEnd w:id="93"/>
    </w:p>
    <w:p w14:paraId="29ECA931">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投标文件由报价文件、资格证明文件、商务及技术文件三部分组成。</w:t>
      </w:r>
    </w:p>
    <w:p w14:paraId="43DD1745">
      <w:pPr>
        <w:pStyle w:val="198"/>
        <w:keepNext w:val="0"/>
        <w:keepLines w:val="0"/>
        <w:spacing w:before="0" w:after="0" w:line="360" w:lineRule="auto"/>
        <w:ind w:left="420"/>
        <w:rPr>
          <w:rFonts w:hint="eastAsia" w:ascii="宋体" w:hAnsi="宋体"/>
          <w:b w:val="0"/>
          <w:color w:val="auto"/>
          <w:sz w:val="21"/>
          <w:szCs w:val="21"/>
          <w:highlight w:val="none"/>
        </w:rPr>
      </w:pPr>
      <w:bookmarkStart w:id="94" w:name="_13.1报价文件:_具体材料见“投标人须知前附表”。"/>
      <w:bookmarkEnd w:id="94"/>
      <w:r>
        <w:rPr>
          <w:rFonts w:hint="eastAsia" w:ascii="宋体" w:hAnsi="宋体"/>
          <w:b w:val="0"/>
          <w:color w:val="auto"/>
          <w:sz w:val="21"/>
          <w:szCs w:val="21"/>
          <w:highlight w:val="none"/>
        </w:rPr>
        <w:t>（1）报价文件：</w:t>
      </w:r>
      <w:r>
        <w:rPr>
          <w:rFonts w:ascii="宋体" w:hAnsi="宋体"/>
          <w:b w:val="0"/>
          <w:color w:val="auto"/>
          <w:sz w:val="21"/>
          <w:szCs w:val="21"/>
          <w:highlight w:val="none"/>
        </w:rPr>
        <w:t xml:space="preserve"> 具体材料见“</w:t>
      </w:r>
      <w:r>
        <w:rPr>
          <w:rFonts w:hint="eastAsia" w:ascii="宋体" w:hAnsi="宋体"/>
          <w:b w:val="0"/>
          <w:color w:val="auto"/>
          <w:sz w:val="21"/>
          <w:szCs w:val="21"/>
          <w:highlight w:val="none"/>
        </w:rPr>
        <w:t>投标人</w:t>
      </w:r>
      <w:r>
        <w:rPr>
          <w:rFonts w:ascii="宋体" w:hAnsi="宋体"/>
          <w:b w:val="0"/>
          <w:color w:val="auto"/>
          <w:sz w:val="21"/>
          <w:szCs w:val="21"/>
          <w:highlight w:val="none"/>
        </w:rPr>
        <w:t>须知前附表”</w:t>
      </w:r>
      <w:r>
        <w:rPr>
          <w:rFonts w:hint="eastAsia" w:ascii="宋体" w:hAnsi="宋体"/>
          <w:b w:val="0"/>
          <w:color w:val="auto"/>
          <w:sz w:val="21"/>
          <w:szCs w:val="21"/>
          <w:highlight w:val="none"/>
        </w:rPr>
        <w:t>。</w:t>
      </w:r>
    </w:p>
    <w:p w14:paraId="0B42C2A8">
      <w:pPr>
        <w:pStyle w:val="198"/>
        <w:keepNext w:val="0"/>
        <w:keepLines w:val="0"/>
        <w:spacing w:before="0" w:after="0" w:line="360" w:lineRule="auto"/>
        <w:ind w:left="420"/>
        <w:rPr>
          <w:rFonts w:hint="eastAsia" w:ascii="宋体" w:hAnsi="宋体"/>
          <w:b w:val="0"/>
          <w:color w:val="auto"/>
          <w:sz w:val="21"/>
          <w:szCs w:val="21"/>
          <w:highlight w:val="none"/>
        </w:rPr>
      </w:pPr>
      <w:bookmarkStart w:id="95" w:name="_13.2资格证明文件：具体材料见“投标人须知前附表”。"/>
      <w:bookmarkEnd w:id="95"/>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w:t>
      </w:r>
      <w:r>
        <w:rPr>
          <w:rFonts w:hint="eastAsia" w:ascii="宋体" w:hAnsi="宋体"/>
          <w:b w:val="0"/>
          <w:color w:val="auto"/>
          <w:sz w:val="21"/>
          <w:szCs w:val="21"/>
          <w:highlight w:val="none"/>
        </w:rPr>
        <w:t>投标人</w:t>
      </w:r>
      <w:r>
        <w:rPr>
          <w:rFonts w:ascii="宋体" w:hAnsi="宋体"/>
          <w:b w:val="0"/>
          <w:color w:val="auto"/>
          <w:sz w:val="21"/>
          <w:szCs w:val="21"/>
          <w:highlight w:val="none"/>
        </w:rPr>
        <w:t>须知前附表”</w:t>
      </w:r>
      <w:r>
        <w:rPr>
          <w:rFonts w:hint="eastAsia" w:ascii="宋体" w:hAnsi="宋体"/>
          <w:b w:val="0"/>
          <w:color w:val="auto"/>
          <w:sz w:val="21"/>
          <w:szCs w:val="21"/>
          <w:highlight w:val="none"/>
        </w:rPr>
        <w:t>。</w:t>
      </w:r>
    </w:p>
    <w:p w14:paraId="2CEA3471">
      <w:pPr>
        <w:pStyle w:val="198"/>
        <w:keepNext w:val="0"/>
        <w:keepLines w:val="0"/>
        <w:spacing w:before="0" w:after="0" w:line="360" w:lineRule="auto"/>
        <w:ind w:left="420"/>
        <w:rPr>
          <w:rFonts w:hint="eastAsia" w:ascii="宋体" w:hAnsi="宋体"/>
          <w:b w:val="0"/>
          <w:color w:val="auto"/>
          <w:sz w:val="21"/>
          <w:szCs w:val="21"/>
          <w:highlight w:val="none"/>
        </w:rPr>
      </w:pPr>
      <w:bookmarkStart w:id="96" w:name="_13.3商务文件:_具体材料见“投标人须知前附表”。"/>
      <w:bookmarkEnd w:id="96"/>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）商务及技术文件：</w:t>
      </w:r>
      <w:r>
        <w:rPr>
          <w:rFonts w:ascii="宋体" w:hAnsi="宋体"/>
          <w:b w:val="0"/>
          <w:color w:val="auto"/>
          <w:sz w:val="21"/>
          <w:szCs w:val="21"/>
          <w:highlight w:val="none"/>
        </w:rPr>
        <w:t>具体材料见“</w:t>
      </w:r>
      <w:r>
        <w:rPr>
          <w:rFonts w:hint="eastAsia" w:ascii="宋体" w:hAnsi="宋体"/>
          <w:b w:val="0"/>
          <w:color w:val="auto"/>
          <w:sz w:val="21"/>
          <w:szCs w:val="21"/>
          <w:highlight w:val="none"/>
        </w:rPr>
        <w:t>投标人</w:t>
      </w:r>
      <w:r>
        <w:rPr>
          <w:rFonts w:ascii="宋体" w:hAnsi="宋体"/>
          <w:b w:val="0"/>
          <w:color w:val="auto"/>
          <w:sz w:val="21"/>
          <w:szCs w:val="21"/>
          <w:highlight w:val="none"/>
        </w:rPr>
        <w:t>须知前附表”</w:t>
      </w:r>
      <w:r>
        <w:rPr>
          <w:rFonts w:hint="eastAsia" w:ascii="宋体" w:hAnsi="宋体"/>
          <w:b w:val="0"/>
          <w:color w:val="auto"/>
          <w:sz w:val="21"/>
          <w:szCs w:val="21"/>
          <w:highlight w:val="none"/>
        </w:rPr>
        <w:t>。</w:t>
      </w:r>
    </w:p>
    <w:p w14:paraId="579FFDEB">
      <w:pPr>
        <w:pStyle w:val="198"/>
        <w:keepNext w:val="0"/>
        <w:keepLines w:val="0"/>
        <w:spacing w:before="0" w:after="0" w:line="360" w:lineRule="auto"/>
        <w:ind w:left="420"/>
        <w:rPr>
          <w:rFonts w:hint="eastAsia" w:ascii="黑体" w:hAnsi="黑体" w:eastAsia="黑体"/>
          <w:color w:val="auto"/>
          <w:sz w:val="24"/>
          <w:highlight w:val="none"/>
        </w:rPr>
      </w:pPr>
      <w:bookmarkStart w:id="97" w:name="_13.5投标文件电子版：具体材料见“投标人须知前附表”。"/>
      <w:bookmarkEnd w:id="97"/>
      <w:bookmarkStart w:id="98" w:name="_13.4技术文件：具体材料见“投标人须知前附表”。"/>
      <w:bookmarkEnd w:id="98"/>
      <w:bookmarkStart w:id="99" w:name="_Toc254970678"/>
      <w:bookmarkStart w:id="100" w:name="_Toc254970537"/>
      <w:r>
        <w:rPr>
          <w:rFonts w:hint="eastAsia" w:ascii="黑体" w:hAnsi="黑体" w:eastAsia="黑体"/>
          <w:color w:val="auto"/>
          <w:sz w:val="24"/>
          <w:highlight w:val="none"/>
        </w:rPr>
        <w:t>14.投标文件的语言及计量</w:t>
      </w:r>
      <w:bookmarkEnd w:id="99"/>
      <w:bookmarkEnd w:id="100"/>
    </w:p>
    <w:p w14:paraId="20E6CBEF">
      <w:pPr>
        <w:pStyle w:val="198"/>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14.1语言文字</w:t>
      </w:r>
    </w:p>
    <w:p w14:paraId="4E602B55">
      <w:pPr>
        <w:pStyle w:val="198"/>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C6B93C7">
      <w:pPr>
        <w:pStyle w:val="198"/>
        <w:keepNext w:val="0"/>
        <w:keepLines w:val="0"/>
        <w:spacing w:before="0" w:after="0" w:line="360" w:lineRule="auto"/>
        <w:ind w:firstLine="420"/>
        <w:rPr>
          <w:rFonts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1CDC5BDA">
      <w:pPr>
        <w:pStyle w:val="198"/>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bCs/>
          <w:color w:val="auto"/>
          <w:sz w:val="21"/>
          <w:szCs w:val="21"/>
          <w:highlight w:val="none"/>
        </w:rPr>
        <w:t>，否则视同未响应。</w:t>
      </w:r>
    </w:p>
    <w:p w14:paraId="7E63103C">
      <w:pPr>
        <w:pStyle w:val="198"/>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15.投标的风险</w:t>
      </w:r>
    </w:p>
    <w:p w14:paraId="56AA887D">
      <w:pPr>
        <w:pStyle w:val="231"/>
        <w:spacing w:line="360" w:lineRule="auto"/>
        <w:ind w:firstLine="420"/>
        <w:jc w:val="left"/>
        <w:rPr>
          <w:rFonts w:hint="eastAsia"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2F03DCB0">
      <w:pPr>
        <w:pStyle w:val="198"/>
        <w:keepNext w:val="0"/>
        <w:keepLines w:val="0"/>
        <w:spacing w:before="0" w:after="0" w:line="360" w:lineRule="auto"/>
        <w:ind w:left="420"/>
        <w:rPr>
          <w:rFonts w:hint="eastAsia" w:ascii="黑体" w:hAnsi="黑体" w:eastAsia="黑体"/>
          <w:color w:val="auto"/>
          <w:sz w:val="24"/>
          <w:highlight w:val="none"/>
        </w:rPr>
      </w:pPr>
      <w:bookmarkStart w:id="101" w:name="_Toc254970679"/>
      <w:bookmarkStart w:id="102" w:name="_Toc254970538"/>
      <w:r>
        <w:rPr>
          <w:rFonts w:hint="eastAsia" w:ascii="黑体" w:hAnsi="黑体" w:eastAsia="黑体"/>
          <w:color w:val="auto"/>
          <w:sz w:val="24"/>
          <w:highlight w:val="none"/>
        </w:rPr>
        <w:t>16.投标报价</w:t>
      </w:r>
      <w:bookmarkEnd w:id="101"/>
      <w:bookmarkEnd w:id="102"/>
    </w:p>
    <w:p w14:paraId="54A2F086">
      <w:pPr>
        <w:pStyle w:val="198"/>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507FE613">
      <w:pPr>
        <w:pStyle w:val="198"/>
        <w:keepNext w:val="0"/>
        <w:keepLines w:val="0"/>
        <w:spacing w:before="0" w:after="0" w:line="360" w:lineRule="auto"/>
        <w:ind w:left="420"/>
        <w:rPr>
          <w:rFonts w:hint="eastAsia" w:ascii="宋体" w:hAnsi="宋体"/>
          <w:b w:val="0"/>
          <w:color w:val="auto"/>
          <w:sz w:val="21"/>
          <w:szCs w:val="21"/>
          <w:highlight w:val="none"/>
        </w:rPr>
      </w:pPr>
      <w:bookmarkStart w:id="103" w:name="_16.2投标报价具体定义见投标人须知前附表。"/>
      <w:bookmarkEnd w:id="103"/>
      <w:r>
        <w:rPr>
          <w:rFonts w:hint="eastAsia" w:ascii="宋体" w:hAnsi="宋体"/>
          <w:b w:val="0"/>
          <w:color w:val="auto"/>
          <w:sz w:val="21"/>
          <w:szCs w:val="21"/>
          <w:highlight w:val="none"/>
        </w:rPr>
        <w:t>16.2投标报价具体包括内容详见“投标人须知前附表”。</w:t>
      </w:r>
    </w:p>
    <w:p w14:paraId="49540B00">
      <w:pPr>
        <w:pStyle w:val="198"/>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16.3投标人必须就所投项目的全部内容分别作完整唯一总价报价，不得存在漏项报价；投标人必须就所投项目的单项内容作唯一报价。</w:t>
      </w:r>
    </w:p>
    <w:p w14:paraId="5945BC9F">
      <w:pPr>
        <w:pStyle w:val="198"/>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7D8B3C0D">
      <w:pPr>
        <w:pStyle w:val="198"/>
        <w:keepNext w:val="0"/>
        <w:keepLines w:val="0"/>
        <w:spacing w:before="0" w:after="0" w:line="360" w:lineRule="auto"/>
        <w:ind w:firstLine="420"/>
        <w:rPr>
          <w:rFonts w:hint="eastAsia" w:ascii="宋体" w:hAnsi="宋体"/>
          <w:b w:val="0"/>
          <w:color w:val="auto"/>
          <w:sz w:val="21"/>
          <w:szCs w:val="21"/>
          <w:highlight w:val="none"/>
        </w:rPr>
      </w:pPr>
      <w:bookmarkStart w:id="104" w:name="_17.1投标有效期应按“投标人须知中的前附表”规定的期限。"/>
      <w:bookmarkEnd w:id="104"/>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488D85CC">
      <w:pPr>
        <w:pStyle w:val="198"/>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17.2</w:t>
      </w:r>
      <w:bookmarkStart w:id="105" w:name="_Toc254970681"/>
      <w:bookmarkStart w:id="106" w:name="_Toc254970540"/>
      <w:r>
        <w:rPr>
          <w:rFonts w:hint="eastAsia" w:ascii="宋体" w:hAnsi="宋体"/>
          <w:b w:val="0"/>
          <w:color w:val="auto"/>
          <w:sz w:val="21"/>
          <w:szCs w:val="21"/>
          <w:highlight w:val="none"/>
        </w:rPr>
        <w:t xml:space="preserve"> 投标有效期应按招标文件规定的期限作出承诺，具体详见“投标人须知前附表”。</w:t>
      </w:r>
      <w:r>
        <w:rPr>
          <w:rFonts w:hint="eastAsia" w:ascii="宋体" w:hAnsi="宋体"/>
          <w:color w:val="auto"/>
          <w:sz w:val="21"/>
          <w:szCs w:val="21"/>
          <w:highlight w:val="none"/>
        </w:rPr>
        <w:t>承诺的投标有效期低于招标文件规定期限的，按无效投标处理。</w:t>
      </w:r>
    </w:p>
    <w:p w14:paraId="0223AA40">
      <w:pPr>
        <w:pStyle w:val="198"/>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105"/>
      <w:bookmarkEnd w:id="106"/>
    </w:p>
    <w:p w14:paraId="34AAACB4">
      <w:pPr>
        <w:pStyle w:val="198"/>
        <w:keepNext w:val="0"/>
        <w:keepLines w:val="0"/>
        <w:spacing w:before="0" w:after="0" w:line="360" w:lineRule="auto"/>
        <w:ind w:left="420"/>
        <w:rPr>
          <w:rFonts w:hint="eastAsia" w:ascii="黑体" w:hAnsi="黑体" w:eastAsia="黑体"/>
          <w:color w:val="auto"/>
          <w:sz w:val="24"/>
          <w:highlight w:val="none"/>
        </w:rPr>
      </w:pPr>
      <w:bookmarkStart w:id="107" w:name="_18.投标保证金"/>
      <w:bookmarkEnd w:id="107"/>
      <w:bookmarkStart w:id="108" w:name="_Toc254970541"/>
      <w:bookmarkStart w:id="109" w:name="_Toc254970682"/>
      <w:r>
        <w:rPr>
          <w:rFonts w:hint="eastAsia" w:ascii="黑体" w:hAnsi="黑体" w:eastAsia="黑体"/>
          <w:color w:val="auto"/>
          <w:sz w:val="24"/>
          <w:highlight w:val="none"/>
        </w:rPr>
        <w:t>18.投标保证金</w:t>
      </w:r>
      <w:bookmarkEnd w:id="108"/>
      <w:bookmarkEnd w:id="109"/>
      <w:r>
        <w:rPr>
          <w:rFonts w:hint="eastAsia" w:ascii="黑体" w:hAnsi="黑体" w:eastAsia="黑体"/>
          <w:color w:val="auto"/>
          <w:sz w:val="24"/>
          <w:highlight w:val="none"/>
        </w:rPr>
        <w:t>：本项目不收取投标保证金。</w:t>
      </w:r>
    </w:p>
    <w:p w14:paraId="5537F303">
      <w:pPr>
        <w:pStyle w:val="198"/>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19.投标文件的编制</w:t>
      </w:r>
    </w:p>
    <w:p w14:paraId="4137F1C7">
      <w:pPr>
        <w:pStyle w:val="198"/>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19.1投标人应按照本项目招标文件规定的格式和顺序和广西政府采购云平台的要求编制并加密。投标文件内容不完整、编排混乱导致投标文件被误读、漏读或者查找不到相关内容的，由此引发的后果由投标人承担。</w:t>
      </w:r>
    </w:p>
    <w:p w14:paraId="539B1ED3">
      <w:pPr>
        <w:pStyle w:val="198"/>
        <w:keepNext w:val="0"/>
        <w:keepLines w:val="0"/>
        <w:spacing w:before="0" w:after="0" w:line="360" w:lineRule="auto"/>
        <w:ind w:firstLine="315"/>
        <w:rPr>
          <w:rFonts w:hint="eastAsia" w:ascii="宋体" w:hAnsi="宋体"/>
          <w:b w:val="0"/>
          <w:color w:val="auto"/>
          <w:sz w:val="21"/>
          <w:szCs w:val="21"/>
          <w:highlight w:val="none"/>
        </w:rPr>
      </w:pPr>
      <w:bookmarkStart w:id="110" w:name="_19.2投标文件应按报价文件、资格证明文件、商务文件、技术文件分别编制"/>
      <w:bookmarkEnd w:id="110"/>
      <w:r>
        <w:rPr>
          <w:rFonts w:hint="eastAsia" w:ascii="宋体" w:hAnsi="宋体"/>
          <w:b w:val="0"/>
          <w:color w:val="auto"/>
          <w:sz w:val="21"/>
          <w:szCs w:val="21"/>
          <w:highlight w:val="none"/>
        </w:rPr>
        <w:t xml:space="preserve"> 19.2为确保网上操作合法、有效和安全，投标人应当在投标截止时间前完成在广西政府采购云平台的身份认证，确保在电子投标过程中能够对相关数据电文进行加密和使用电子签章。</w:t>
      </w:r>
    </w:p>
    <w:p w14:paraId="7811417E">
      <w:pPr>
        <w:pStyle w:val="198"/>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19.3投标文件须由投标人在规定位置签字（或者电子签名）、盖章（具体以投标人须知前附表或投标文件格式规定为准），</w:t>
      </w:r>
      <w:r>
        <w:rPr>
          <w:rFonts w:hint="eastAsia" w:ascii="宋体" w:hAnsi="宋体"/>
          <w:bCs/>
          <w:color w:val="auto"/>
          <w:sz w:val="21"/>
          <w:szCs w:val="21"/>
          <w:highlight w:val="none"/>
        </w:rPr>
        <w:t>否则按无效投标处理</w:t>
      </w:r>
      <w:r>
        <w:rPr>
          <w:rFonts w:hint="eastAsia" w:ascii="宋体" w:hAnsi="宋体"/>
          <w:b w:val="0"/>
          <w:color w:val="auto"/>
          <w:sz w:val="21"/>
          <w:szCs w:val="21"/>
          <w:highlight w:val="none"/>
        </w:rPr>
        <w:t>。</w:t>
      </w:r>
    </w:p>
    <w:p w14:paraId="3F16D948">
      <w:pPr>
        <w:pStyle w:val="198"/>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19.4投标文件中标注的投标人名称应与主体资格证明（如营业执照或者事业单位法人证书或者执业许可证或者登记证书等）及公章一致，并与广西政府采购云平台中获取招标文件的投标人名称一致</w:t>
      </w:r>
      <w:r>
        <w:rPr>
          <w:rFonts w:hint="eastAsia" w:ascii="宋体" w:hAnsi="宋体"/>
          <w:b w:val="0"/>
          <w:color w:val="auto"/>
          <w:sz w:val="21"/>
          <w:szCs w:val="21"/>
          <w:highlight w:val="none"/>
          <w:lang w:eastAsia="zh-CN"/>
        </w:rPr>
        <w:t>，</w:t>
      </w:r>
      <w:r>
        <w:rPr>
          <w:rFonts w:hint="eastAsia" w:ascii="宋体" w:hAnsi="宋体"/>
          <w:color w:val="auto"/>
          <w:sz w:val="21"/>
          <w:szCs w:val="21"/>
          <w:highlight w:val="none"/>
        </w:rPr>
        <w:t>否则按无效投标处理</w:t>
      </w:r>
      <w:r>
        <w:rPr>
          <w:rFonts w:hint="eastAsia" w:ascii="宋体" w:hAnsi="宋体"/>
          <w:b w:val="0"/>
          <w:color w:val="auto"/>
          <w:sz w:val="21"/>
          <w:szCs w:val="21"/>
          <w:highlight w:val="none"/>
        </w:rPr>
        <w:t>。</w:t>
      </w:r>
    </w:p>
    <w:p w14:paraId="14665BBA">
      <w:pPr>
        <w:pStyle w:val="198"/>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6DA2D2EE">
      <w:pPr>
        <w:spacing w:line="360" w:lineRule="auto"/>
        <w:ind w:firstLine="480"/>
        <w:rPr>
          <w:rFonts w:hint="eastAsia" w:ascii="黑体" w:hAnsi="黑体" w:eastAsia="黑体"/>
          <w:color w:val="auto"/>
          <w:sz w:val="24"/>
          <w:highlight w:val="none"/>
        </w:rPr>
      </w:pPr>
      <w:r>
        <w:rPr>
          <w:rFonts w:hint="eastAsia" w:ascii="黑体" w:hAnsi="黑体" w:eastAsia="黑体"/>
          <w:color w:val="auto"/>
          <w:sz w:val="24"/>
          <w:highlight w:val="none"/>
        </w:rPr>
        <w:t>20.电子备份投标文件</w:t>
      </w:r>
    </w:p>
    <w:p w14:paraId="50D20882">
      <w:pPr>
        <w:spacing w:line="360" w:lineRule="auto"/>
        <w:ind w:firstLine="420"/>
        <w:rPr>
          <w:rFonts w:hint="eastAsia" w:ascii="黑体" w:hAnsi="黑体" w:eastAsia="黑体"/>
          <w:color w:val="auto"/>
          <w:sz w:val="24"/>
          <w:highlight w:val="none"/>
        </w:rPr>
      </w:pPr>
      <w:r>
        <w:rPr>
          <w:rFonts w:hint="eastAsia"/>
          <w:color w:val="auto"/>
          <w:highlight w:val="none"/>
        </w:rPr>
        <w:t>电子备份投标文件是指通过在线编制生成且后缀名为“</w:t>
      </w:r>
      <w:r>
        <w:rPr>
          <w:color w:val="auto"/>
          <w:highlight w:val="none"/>
        </w:rPr>
        <w:t>bfbs</w:t>
      </w:r>
      <w:r>
        <w:rPr>
          <w:rFonts w:hint="eastAsia"/>
          <w:color w:val="auto"/>
          <w:highlight w:val="none"/>
        </w:rPr>
        <w:t>”的文件，是否接受电子备份投标文件</w:t>
      </w:r>
      <w:r>
        <w:rPr>
          <w:rFonts w:hint="eastAsia" w:hAnsi="宋体"/>
          <w:bCs/>
          <w:color w:val="auto"/>
          <w:szCs w:val="21"/>
          <w:highlight w:val="none"/>
        </w:rPr>
        <w:t>详见“投标人须知前附表”。</w:t>
      </w:r>
    </w:p>
    <w:p w14:paraId="7E20A5E8">
      <w:pPr>
        <w:pStyle w:val="198"/>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14:paraId="5A136C3F">
      <w:pPr>
        <w:spacing w:line="360" w:lineRule="auto"/>
        <w:ind w:firstLine="420"/>
        <w:rPr>
          <w:rFonts w:hint="eastAsia" w:hAnsi="宋体"/>
          <w:b/>
          <w:color w:val="auto"/>
          <w:highlight w:val="none"/>
        </w:rPr>
      </w:pPr>
      <w:bookmarkStart w:id="111" w:name="_21.1投标人必须在“投标人须知中的前附表”规定的投标文件接收时间和投"/>
      <w:bookmarkEnd w:id="111"/>
      <w:r>
        <w:rPr>
          <w:rFonts w:hint="eastAsia" w:hAnsi="宋体"/>
          <w:bCs/>
          <w:color w:val="auto"/>
          <w:szCs w:val="21"/>
          <w:highlight w:val="none"/>
        </w:rPr>
        <w:t>21.1投标人必须在“投标人须知前附表”规定的</w:t>
      </w:r>
      <w:r>
        <w:rPr>
          <w:rFonts w:hint="eastAsia" w:ascii="宋体" w:hAnsi="宋体"/>
          <w:color w:val="auto"/>
          <w:szCs w:val="21"/>
          <w:highlight w:val="none"/>
        </w:rPr>
        <w:t>提交投标文件截止时间前将</w:t>
      </w:r>
      <w:r>
        <w:rPr>
          <w:rFonts w:hint="eastAsia" w:hAnsi="宋体"/>
          <w:bCs/>
          <w:color w:val="auto"/>
          <w:szCs w:val="21"/>
          <w:highlight w:val="none"/>
        </w:rPr>
        <w:t>电子投标文件提交至投标地点。电子投标文件应在制作完成后，</w:t>
      </w:r>
      <w:r>
        <w:rPr>
          <w:rFonts w:hAnsi="宋体"/>
          <w:bCs/>
          <w:color w:val="auto"/>
          <w:szCs w:val="21"/>
          <w:highlight w:val="none"/>
        </w:rPr>
        <w:t>在投标截止时间前</w:t>
      </w:r>
      <w:r>
        <w:rPr>
          <w:rFonts w:hint="eastAsia" w:hAnsi="宋体"/>
          <w:bCs/>
          <w:color w:val="auto"/>
          <w:szCs w:val="21"/>
          <w:highlight w:val="none"/>
        </w:rPr>
        <w:t>通过有效数字证书（CA认证锁）进行电子签章、加密，然后通过网络将加密的电子投标文件递交至</w:t>
      </w:r>
      <w:r>
        <w:rPr>
          <w:rFonts w:hint="eastAsia" w:ascii="宋体" w:hAnsi="宋体"/>
          <w:b/>
          <w:color w:val="auto"/>
          <w:szCs w:val="21"/>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53D879D8">
      <w:pPr>
        <w:spacing w:line="360" w:lineRule="auto"/>
        <w:ind w:firstLine="422"/>
        <w:rPr>
          <w:rFonts w:hint="eastAsia" w:ascii="宋体" w:hAnsi="宋体"/>
          <w:b/>
          <w:color w:val="auto"/>
          <w:szCs w:val="20"/>
          <w:highlight w:val="none"/>
        </w:rPr>
      </w:pPr>
      <w:r>
        <w:rPr>
          <w:rFonts w:hint="eastAsia" w:ascii="宋体" w:hAnsi="宋体"/>
          <w:b/>
          <w:color w:val="auto"/>
          <w:szCs w:val="21"/>
          <w:highlight w:val="none"/>
        </w:rPr>
        <w:t>21.</w:t>
      </w:r>
      <w:r>
        <w:rPr>
          <w:rFonts w:ascii="宋体" w:hAnsi="宋体"/>
          <w:b/>
          <w:color w:val="auto"/>
          <w:szCs w:val="21"/>
          <w:highlight w:val="none"/>
        </w:rPr>
        <w:t>2</w:t>
      </w:r>
      <w:r>
        <w:rPr>
          <w:rFonts w:hint="eastAsia" w:ascii="宋体" w:hAnsi="宋体"/>
          <w:b/>
          <w:color w:val="auto"/>
          <w:szCs w:val="21"/>
          <w:highlight w:val="none"/>
        </w:rPr>
        <w:t>未在规定时间内提交或者未按照招标文件要求加密的电子投标文件，广西政府采购云平台将拒收。</w:t>
      </w:r>
    </w:p>
    <w:p w14:paraId="3E41A150">
      <w:pPr>
        <w:pStyle w:val="198"/>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22. 投标文件的补充、修改、撤回与退回</w:t>
      </w:r>
    </w:p>
    <w:p w14:paraId="50F14BD2">
      <w:pPr>
        <w:spacing w:line="360" w:lineRule="auto"/>
        <w:ind w:firstLine="420"/>
        <w:jc w:val="left"/>
        <w:rPr>
          <w:rFonts w:hint="eastAsia" w:ascii="宋体" w:hAnsi="宋体"/>
          <w:color w:val="auto"/>
          <w:szCs w:val="21"/>
          <w:highlight w:val="none"/>
        </w:rPr>
      </w:pPr>
      <w:bookmarkStart w:id="112" w:name="_Toc254970684"/>
      <w:bookmarkStart w:id="113" w:name="_Toc254970543"/>
      <w:r>
        <w:rPr>
          <w:rFonts w:ascii="宋体" w:hAnsi="宋体" w:cs="宋体"/>
          <w:color w:val="auto"/>
          <w:szCs w:val="21"/>
          <w:highlight w:val="none"/>
        </w:rPr>
        <w:t>22</w:t>
      </w:r>
      <w:r>
        <w:rPr>
          <w:rFonts w:hint="eastAsia" w:ascii="宋体" w:hAnsi="宋体" w:cs="宋体"/>
          <w:color w:val="auto"/>
          <w:szCs w:val="21"/>
          <w:highlight w:val="none"/>
        </w:rPr>
        <w:t>.1</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szCs w:val="21"/>
          <w:highlight w:val="none"/>
        </w:rPr>
        <w:t>广西政府采购云平台，</w:t>
      </w:r>
      <w:r>
        <w:rPr>
          <w:rFonts w:hint="eastAsia" w:ascii="宋体" w:hAnsi="宋体"/>
          <w:color w:val="auto"/>
          <w:szCs w:val="21"/>
          <w:highlight w:val="none"/>
        </w:rPr>
        <w:t>依次进入“服务中心”中查看</w:t>
      </w:r>
      <w:r>
        <w:rPr>
          <w:rFonts w:hint="eastAsia" w:ascii="宋体" w:hAnsi="宋体" w:cs="宋体"/>
          <w:color w:val="auto"/>
          <w:szCs w:val="21"/>
          <w:highlight w:val="none"/>
        </w:rPr>
        <w:t xml:space="preserve"> “电子投标文件制作与投送教程”）</w:t>
      </w:r>
    </w:p>
    <w:bookmarkEnd w:id="112"/>
    <w:bookmarkEnd w:id="113"/>
    <w:p w14:paraId="066883C1">
      <w:pPr>
        <w:pStyle w:val="330"/>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2“广西政府采购云平台收到投标文件后向供应商发出确认回执通知。在投标截止时间前，除供应商补充、修改或者撤回投标文件外，任何单位和个人不得解密或提取投标文件。</w:t>
      </w:r>
    </w:p>
    <w:p w14:paraId="3D3DD01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22.</w:t>
      </w:r>
      <w:r>
        <w:rPr>
          <w:rFonts w:ascii="宋体" w:hAnsi="宋体" w:cs="宋体"/>
          <w:color w:val="auto"/>
          <w:szCs w:val="21"/>
          <w:highlight w:val="none"/>
        </w:rPr>
        <w:t>3</w:t>
      </w:r>
      <w:r>
        <w:rPr>
          <w:rFonts w:hint="eastAsia" w:ascii="宋体" w:hAnsi="宋体" w:cs="宋体"/>
          <w:color w:val="auto"/>
          <w:szCs w:val="21"/>
          <w:highlight w:val="none"/>
        </w:rPr>
        <w:t>在投标截止时间后，采购人和采购代理机构对已提交的投标文件概不退回。</w:t>
      </w:r>
    </w:p>
    <w:p w14:paraId="171F7187">
      <w:pPr>
        <w:pStyle w:val="196"/>
        <w:keepNext w:val="0"/>
        <w:keepLines w:val="0"/>
        <w:jc w:val="center"/>
        <w:rPr>
          <w:rFonts w:hint="eastAsia"/>
          <w:color w:val="auto"/>
          <w:highlight w:val="none"/>
        </w:rPr>
      </w:pPr>
      <w:bookmarkStart w:id="114" w:name="_Toc254970544"/>
      <w:bookmarkStart w:id="115" w:name="_Toc254970685"/>
      <w:r>
        <w:rPr>
          <w:rFonts w:hint="eastAsia"/>
          <w:color w:val="auto"/>
          <w:highlight w:val="none"/>
        </w:rPr>
        <w:t>四、开    标</w:t>
      </w:r>
      <w:bookmarkEnd w:id="114"/>
      <w:bookmarkEnd w:id="115"/>
    </w:p>
    <w:p w14:paraId="20C3FD9D">
      <w:pPr>
        <w:pStyle w:val="198"/>
        <w:keepNext w:val="0"/>
        <w:keepLines w:val="0"/>
        <w:spacing w:before="0" w:after="0" w:line="360" w:lineRule="auto"/>
        <w:ind w:left="420"/>
        <w:rPr>
          <w:rFonts w:hint="eastAsia" w:ascii="黑体" w:hAnsi="黑体" w:eastAsia="黑体"/>
          <w:color w:val="auto"/>
          <w:sz w:val="24"/>
          <w:highlight w:val="none"/>
        </w:rPr>
      </w:pPr>
      <w:bookmarkStart w:id="116" w:name="_23.开标时间和地点"/>
      <w:bookmarkEnd w:id="116"/>
      <w:r>
        <w:rPr>
          <w:rFonts w:hint="eastAsia" w:ascii="黑体" w:hAnsi="黑体" w:eastAsia="黑体"/>
          <w:color w:val="auto"/>
          <w:sz w:val="24"/>
          <w:highlight w:val="none"/>
        </w:rPr>
        <w:t>23.开标时间和地点</w:t>
      </w:r>
    </w:p>
    <w:p w14:paraId="39796608">
      <w:pPr>
        <w:spacing w:line="360" w:lineRule="auto"/>
        <w:ind w:firstLine="420"/>
        <w:rPr>
          <w:rFonts w:hint="eastAsia" w:hAnsi="宋体"/>
          <w:bCs/>
          <w:color w:val="auto"/>
          <w:highlight w:val="none"/>
        </w:rPr>
      </w:pPr>
      <w:r>
        <w:rPr>
          <w:rFonts w:hint="eastAsia" w:hAnsi="宋体"/>
          <w:bCs/>
          <w:color w:val="auto"/>
          <w:highlight w:val="none"/>
        </w:rPr>
        <w:t>开标时间及地点详见“投标人须知前附表”</w:t>
      </w:r>
    </w:p>
    <w:p w14:paraId="4D8C864C">
      <w:pPr>
        <w:pStyle w:val="198"/>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24.开标程序</w:t>
      </w:r>
    </w:p>
    <w:p w14:paraId="7EB270E7">
      <w:pPr>
        <w:pStyle w:val="199"/>
        <w:spacing w:line="360" w:lineRule="auto"/>
        <w:rPr>
          <w:color w:val="auto"/>
          <w:highlight w:val="none"/>
        </w:rPr>
      </w:pPr>
      <w:r>
        <w:rPr>
          <w:rFonts w:hint="eastAsia"/>
          <w:color w:val="auto"/>
          <w:highlight w:val="none"/>
        </w:rPr>
        <w:t>2</w:t>
      </w:r>
      <w:r>
        <w:rPr>
          <w:color w:val="auto"/>
          <w:highlight w:val="none"/>
        </w:rPr>
        <w:t>4.1</w:t>
      </w:r>
      <w:r>
        <w:rPr>
          <w:rFonts w:hint="eastAsia"/>
          <w:color w:val="auto"/>
          <w:highlight w:val="none"/>
        </w:rPr>
        <w:t>提交投标文件截止时间止，投标人不足3家的，不得开标。</w:t>
      </w:r>
    </w:p>
    <w:p w14:paraId="1D793156">
      <w:pPr>
        <w:pStyle w:val="199"/>
        <w:spacing w:line="360" w:lineRule="auto"/>
        <w:rPr>
          <w:color w:val="auto"/>
          <w:highlight w:val="none"/>
        </w:rPr>
      </w:pPr>
      <w:r>
        <w:rPr>
          <w:rFonts w:hint="eastAsia"/>
          <w:color w:val="auto"/>
          <w:highlight w:val="none"/>
        </w:rPr>
        <w:t>24.</w:t>
      </w:r>
      <w:r>
        <w:rPr>
          <w:color w:val="auto"/>
          <w:highlight w:val="none"/>
        </w:rPr>
        <w:t>2</w:t>
      </w:r>
      <w:r>
        <w:rPr>
          <w:rFonts w:hint="eastAsia"/>
          <w:color w:val="auto"/>
          <w:highlight w:val="none"/>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11ED1291">
      <w:pPr>
        <w:pStyle w:val="199"/>
        <w:spacing w:line="360" w:lineRule="auto"/>
        <w:rPr>
          <w:rFonts w:hint="eastAsia"/>
          <w:color w:val="auto"/>
          <w:highlight w:val="none"/>
        </w:rPr>
      </w:pPr>
      <w:r>
        <w:rPr>
          <w:rFonts w:hint="eastAsia"/>
          <w:color w:val="auto"/>
          <w:highlight w:val="none"/>
        </w:rPr>
        <w:t>24.</w:t>
      </w:r>
      <w:r>
        <w:rPr>
          <w:color w:val="auto"/>
          <w:highlight w:val="none"/>
        </w:rPr>
        <w:t>3</w:t>
      </w:r>
      <w:r>
        <w:rPr>
          <w:rFonts w:hint="eastAsia"/>
          <w:color w:val="auto"/>
          <w:highlight w:val="none"/>
        </w:rPr>
        <w:t>开标程序</w:t>
      </w:r>
    </w:p>
    <w:p w14:paraId="48FB4846">
      <w:pPr>
        <w:pStyle w:val="199"/>
        <w:spacing w:line="360" w:lineRule="auto"/>
        <w:rPr>
          <w:rFonts w:hint="eastAsia"/>
          <w:color w:val="auto"/>
          <w:highlight w:val="none"/>
        </w:rPr>
      </w:pPr>
      <w:r>
        <w:rPr>
          <w:rFonts w:hint="eastAsia"/>
          <w:color w:val="auto"/>
          <w:highlight w:val="none"/>
        </w:rPr>
        <w:t>（1）解密电子投标文件。“广西政府采购云平台按开标时间自动提取所有投标文件。采购代理机构依托广西政府采购云平台向各投标人发出电子加密投标文件【开始解密】通知，由投标人按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color w:val="auto"/>
          <w:szCs w:val="21"/>
          <w:highlight w:val="none"/>
        </w:rPr>
        <w:t>“投标人须知前附表”</w:t>
      </w:r>
      <w:r>
        <w:rPr>
          <w:rFonts w:hint="eastAsia"/>
          <w:color w:val="auto"/>
          <w:highlight w:val="none"/>
        </w:rPr>
        <w:t>规定的时间内自行进行投标文件解密。投标人的法定代表人或其委托代理人须凭加密时所用的CA锁准时登录到广西政府采购云平台电子开标大厅签到并对电子投标文件解密。</w:t>
      </w:r>
      <w:r>
        <w:rPr>
          <w:rFonts w:hint="eastAsia"/>
          <w:b/>
          <w:color w:val="auto"/>
          <w:highlight w:val="none"/>
        </w:rPr>
        <w:t>投标人未在</w:t>
      </w:r>
      <w:r>
        <w:rPr>
          <w:b/>
          <w:color w:val="auto"/>
          <w:highlight w:val="none"/>
        </w:rPr>
        <w:t>规定的时间内解密</w:t>
      </w:r>
      <w:r>
        <w:rPr>
          <w:rFonts w:hint="eastAsia"/>
          <w:b/>
          <w:color w:val="auto"/>
          <w:highlight w:val="none"/>
        </w:rPr>
        <w:t>投标文件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w:t>
      </w:r>
      <w:r>
        <w:rPr>
          <w:rFonts w:hint="eastAsia" w:ascii="宋体" w:hAnsi="宋体"/>
          <w:b/>
          <w:color w:val="auto"/>
          <w:szCs w:val="21"/>
          <w:highlight w:val="none"/>
        </w:rPr>
        <w:t>投标人的投标文件作无效处理</w:t>
      </w:r>
      <w:r>
        <w:rPr>
          <w:b/>
          <w:color w:val="auto"/>
          <w:highlight w:val="none"/>
        </w:rPr>
        <w:t>。</w:t>
      </w:r>
    </w:p>
    <w:p w14:paraId="77FC7B6F">
      <w:pPr>
        <w:pStyle w:val="199"/>
        <w:spacing w:line="360" w:lineRule="auto"/>
        <w:rPr>
          <w:rFonts w:hint="eastAsia"/>
          <w:color w:val="auto"/>
          <w:highlight w:val="none"/>
        </w:rPr>
      </w:pPr>
      <w:r>
        <w:rPr>
          <w:rFonts w:hint="eastAsia"/>
          <w:color w:val="auto"/>
          <w:highlight w:val="none"/>
        </w:rPr>
        <w:t>（2）电子唱标。投标文件解密结束，宣布的内容均在广西政府采购云平台远程开标大厅展示，具体详见</w:t>
      </w:r>
      <w:r>
        <w:rPr>
          <w:rFonts w:hint="eastAsia" w:hAnsi="宋体"/>
          <w:bCs/>
          <w:color w:val="auto"/>
          <w:highlight w:val="none"/>
        </w:rPr>
        <w:t>“投标人须知前附表”</w:t>
      </w:r>
      <w:r>
        <w:rPr>
          <w:rFonts w:hint="eastAsia"/>
          <w:color w:val="auto"/>
          <w:highlight w:val="none"/>
        </w:rPr>
        <w:t>；</w:t>
      </w:r>
    </w:p>
    <w:p w14:paraId="16B387B6">
      <w:pPr>
        <w:pStyle w:val="199"/>
        <w:spacing w:line="360" w:lineRule="auto"/>
        <w:rPr>
          <w:rFonts w:hint="eastAsia"/>
          <w:color w:val="auto"/>
          <w:highlight w:val="none"/>
        </w:rPr>
      </w:pPr>
      <w:r>
        <w:rPr>
          <w:rFonts w:hint="eastAsia"/>
          <w:color w:val="auto"/>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7C5C6725">
      <w:pPr>
        <w:pStyle w:val="199"/>
        <w:spacing w:line="360" w:lineRule="auto"/>
        <w:rPr>
          <w:rFonts w:hint="eastAsia"/>
          <w:color w:val="auto"/>
          <w:highlight w:val="none"/>
        </w:rPr>
      </w:pPr>
      <w:r>
        <w:rPr>
          <w:rFonts w:hint="eastAsia"/>
          <w:color w:val="auto"/>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507920AC">
      <w:pPr>
        <w:pStyle w:val="199"/>
        <w:spacing w:line="360" w:lineRule="auto"/>
        <w:rPr>
          <w:rFonts w:hint="eastAsia"/>
          <w:color w:val="auto"/>
          <w:szCs w:val="21"/>
          <w:highlight w:val="none"/>
        </w:rPr>
      </w:pPr>
      <w:r>
        <w:rPr>
          <w:rFonts w:hint="eastAsia"/>
          <w:color w:val="auto"/>
          <w:szCs w:val="21"/>
          <w:highlight w:val="none"/>
        </w:rPr>
        <w:t>（5）开标结束。</w:t>
      </w:r>
    </w:p>
    <w:p w14:paraId="69380F8D">
      <w:pPr>
        <w:pStyle w:val="231"/>
        <w:spacing w:line="360" w:lineRule="auto"/>
        <w:ind w:firstLine="420"/>
        <w:rPr>
          <w:rFonts w:hint="eastAsia" w:hAnsi="宋体"/>
          <w:color w:val="auto"/>
          <w:sz w:val="21"/>
          <w:highlight w:val="none"/>
        </w:rPr>
      </w:pPr>
      <w:r>
        <w:rPr>
          <w:rFonts w:hint="eastAsia"/>
          <w:color w:val="auto"/>
          <w:sz w:val="21"/>
          <w:highlight w:val="none"/>
        </w:rPr>
        <w:t>特别说明：如遇广西政府采购云平台电子化开标或评审程序调整的，按调整后执行。</w:t>
      </w:r>
    </w:p>
    <w:p w14:paraId="7DAB8AF4">
      <w:pPr>
        <w:pStyle w:val="231"/>
        <w:spacing w:line="360" w:lineRule="auto"/>
        <w:ind w:left="689" w:hanging="210"/>
        <w:rPr>
          <w:rFonts w:hint="eastAsia" w:hAnsi="宋体"/>
          <w:color w:val="auto"/>
          <w:sz w:val="21"/>
          <w:highlight w:val="none"/>
        </w:rPr>
      </w:pPr>
    </w:p>
    <w:p w14:paraId="7D067322">
      <w:pPr>
        <w:pStyle w:val="231"/>
        <w:spacing w:line="360" w:lineRule="auto"/>
        <w:ind w:left="689" w:hanging="210"/>
        <w:rPr>
          <w:rFonts w:hint="eastAsia" w:hAnsi="宋体"/>
          <w:color w:val="auto"/>
          <w:sz w:val="21"/>
          <w:highlight w:val="none"/>
        </w:rPr>
      </w:pPr>
    </w:p>
    <w:p w14:paraId="13F4AE43">
      <w:pPr>
        <w:pStyle w:val="196"/>
        <w:keepNext w:val="0"/>
        <w:keepLines w:val="0"/>
        <w:jc w:val="center"/>
        <w:rPr>
          <w:rFonts w:hint="eastAsia"/>
          <w:color w:val="auto"/>
          <w:highlight w:val="none"/>
        </w:rPr>
      </w:pPr>
      <w:r>
        <w:rPr>
          <w:rFonts w:hint="eastAsia"/>
          <w:color w:val="auto"/>
          <w:highlight w:val="none"/>
        </w:rPr>
        <w:t>五、资格审查</w:t>
      </w:r>
    </w:p>
    <w:p w14:paraId="2BA1EFBB">
      <w:pPr>
        <w:pStyle w:val="198"/>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25.资格审查</w:t>
      </w:r>
    </w:p>
    <w:p w14:paraId="5D47EDE6">
      <w:pPr>
        <w:pStyle w:val="198"/>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采购人或者采购代理机构通过电子开评标系统依据招标文件对电子投标文件进行线上资格审查</w:t>
      </w:r>
      <w:r>
        <w:rPr>
          <w:rFonts w:ascii="宋体" w:hAnsi="宋体"/>
          <w:b w:val="0"/>
          <w:color w:val="auto"/>
          <w:sz w:val="21"/>
          <w:szCs w:val="21"/>
          <w:highlight w:val="none"/>
        </w:rPr>
        <w:t>。</w:t>
      </w:r>
    </w:p>
    <w:p w14:paraId="34979231">
      <w:pPr>
        <w:pStyle w:val="198"/>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68CF6046">
      <w:pPr>
        <w:pStyle w:val="198"/>
        <w:keepNext w:val="0"/>
        <w:keepLines w:val="0"/>
        <w:numPr>
          <w:ilvl w:val="0"/>
          <w:numId w:val="0"/>
        </w:numPr>
        <w:spacing w:before="0" w:after="0" w:line="360" w:lineRule="auto"/>
        <w:ind w:firstLine="422"/>
        <w:rPr>
          <w:rFonts w:hint="eastAsia" w:ascii="宋体" w:hAnsi="宋体"/>
          <w:color w:val="auto"/>
          <w:sz w:val="21"/>
          <w:szCs w:val="21"/>
          <w:highlight w:val="none"/>
        </w:rPr>
      </w:pPr>
      <w:bookmarkStart w:id="117" w:name="_25.3_投标人有下列情形之一的，资格审查不通过而导致其投标无效："/>
      <w:bookmarkEnd w:id="117"/>
      <w:r>
        <w:rPr>
          <w:rFonts w:hint="eastAsia" w:ascii="宋体" w:hAnsi="宋体"/>
          <w:color w:val="auto"/>
          <w:sz w:val="21"/>
          <w:szCs w:val="21"/>
          <w:highlight w:val="none"/>
        </w:rPr>
        <w:t>25.3 投标人有下列情形之一的，资格审查不通过，作无效投标处理：</w:t>
      </w:r>
    </w:p>
    <w:p w14:paraId="7716B23A">
      <w:pPr>
        <w:pStyle w:val="231"/>
        <w:spacing w:line="360" w:lineRule="auto"/>
        <w:ind w:firstLine="422"/>
        <w:rPr>
          <w:rFonts w:hAnsi="宋体"/>
          <w:b/>
          <w:color w:val="auto"/>
          <w:sz w:val="21"/>
          <w:highlight w:val="none"/>
        </w:rPr>
      </w:pPr>
      <w:r>
        <w:rPr>
          <w:rFonts w:hint="eastAsia" w:hAnsi="宋体"/>
          <w:b/>
          <w:color w:val="auto"/>
          <w:sz w:val="21"/>
          <w:highlight w:val="none"/>
        </w:rPr>
        <w:t>（1）不具备招标文件中规定的资格要求的；</w:t>
      </w:r>
    </w:p>
    <w:p w14:paraId="208153F5">
      <w:pPr>
        <w:pStyle w:val="231"/>
        <w:spacing w:line="360" w:lineRule="auto"/>
        <w:ind w:firstLine="422"/>
        <w:rPr>
          <w:rFonts w:hAnsi="宋体"/>
          <w:b/>
          <w:color w:val="auto"/>
          <w:sz w:val="21"/>
          <w:highlight w:val="none"/>
        </w:rPr>
      </w:pPr>
      <w:r>
        <w:rPr>
          <w:rFonts w:hint="eastAsia" w:hAnsi="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7917A805">
      <w:pPr>
        <w:pStyle w:val="231"/>
        <w:spacing w:line="360" w:lineRule="auto"/>
        <w:ind w:firstLine="422"/>
        <w:rPr>
          <w:rFonts w:hint="eastAsia" w:hAnsi="宋体"/>
          <w:b/>
          <w:color w:val="auto"/>
          <w:sz w:val="21"/>
          <w:highlight w:val="none"/>
        </w:rPr>
      </w:pPr>
      <w:r>
        <w:rPr>
          <w:rFonts w:hint="eastAsia" w:hAnsi="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148A0FA0">
      <w:pPr>
        <w:pStyle w:val="231"/>
        <w:spacing w:line="360" w:lineRule="auto"/>
        <w:ind w:firstLine="422"/>
        <w:rPr>
          <w:rFonts w:hint="eastAsia" w:hAnsi="宋体"/>
          <w:b/>
          <w:color w:val="auto"/>
          <w:sz w:val="21"/>
          <w:highlight w:val="none"/>
        </w:rPr>
      </w:pPr>
      <w:r>
        <w:rPr>
          <w:rFonts w:hint="eastAsia" w:hAnsi="宋体"/>
          <w:b/>
          <w:color w:val="auto"/>
          <w:sz w:val="21"/>
          <w:highlight w:val="none"/>
        </w:rPr>
        <w:t>（4）投标文件中的资格证明文件缺少任一项“投标人须知前附表”资格证明文件规定“必须提供”的文件资料的；</w:t>
      </w:r>
    </w:p>
    <w:p w14:paraId="7DED2960">
      <w:pPr>
        <w:pStyle w:val="231"/>
        <w:spacing w:line="360" w:lineRule="auto"/>
        <w:ind w:firstLine="422"/>
        <w:rPr>
          <w:rFonts w:hint="eastAsia" w:hAnsi="宋体"/>
          <w:b/>
          <w:color w:val="auto"/>
          <w:sz w:val="21"/>
          <w:highlight w:val="none"/>
        </w:rPr>
      </w:pPr>
      <w:r>
        <w:rPr>
          <w:rFonts w:hint="eastAsia" w:hAnsi="宋体"/>
          <w:b/>
          <w:color w:val="auto"/>
          <w:sz w:val="21"/>
          <w:highlight w:val="none"/>
        </w:rPr>
        <w:t>（5）投标文件中的资格证明文件出现任一项不符合“投标人须知前附表”资格证明文件规定“必须提供”的文件资料要求或者无效的。</w:t>
      </w:r>
    </w:p>
    <w:p w14:paraId="6A431359">
      <w:pPr>
        <w:pStyle w:val="198"/>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w:t>
      </w:r>
      <w:r>
        <w:rPr>
          <w:rFonts w:hint="eastAsia" w:ascii="宋体" w:hAnsi="宋体"/>
          <w:color w:val="auto"/>
          <w:sz w:val="21"/>
          <w:szCs w:val="21"/>
          <w:highlight w:val="none"/>
        </w:rPr>
        <w:t>投标人</w:t>
      </w:r>
      <w:r>
        <w:rPr>
          <w:rFonts w:ascii="宋体" w:hAnsi="宋体"/>
          <w:color w:val="auto"/>
          <w:sz w:val="21"/>
          <w:szCs w:val="21"/>
          <w:highlight w:val="none"/>
        </w:rPr>
        <w:t>不足3家的，不得评标。</w:t>
      </w:r>
    </w:p>
    <w:p w14:paraId="167502C5">
      <w:pPr>
        <w:pStyle w:val="231"/>
        <w:spacing w:line="360" w:lineRule="auto"/>
        <w:ind w:left="689" w:hanging="210"/>
        <w:rPr>
          <w:rFonts w:hint="eastAsia" w:hAnsi="宋体"/>
          <w:color w:val="auto"/>
          <w:sz w:val="21"/>
          <w:highlight w:val="none"/>
        </w:rPr>
      </w:pPr>
    </w:p>
    <w:p w14:paraId="35CC3D22">
      <w:pPr>
        <w:pStyle w:val="196"/>
        <w:keepNext w:val="0"/>
        <w:keepLines w:val="0"/>
        <w:jc w:val="center"/>
        <w:rPr>
          <w:rFonts w:hint="eastAsia"/>
          <w:color w:val="auto"/>
          <w:highlight w:val="none"/>
        </w:rPr>
      </w:pPr>
      <w:r>
        <w:rPr>
          <w:rFonts w:hint="eastAsia"/>
          <w:color w:val="auto"/>
          <w:highlight w:val="none"/>
        </w:rPr>
        <w:t>六、评   标</w:t>
      </w:r>
    </w:p>
    <w:p w14:paraId="79FB67C8">
      <w:pPr>
        <w:pStyle w:val="198"/>
        <w:keepNext w:val="0"/>
        <w:keepLines w:val="0"/>
        <w:spacing w:before="0" w:after="0" w:line="360" w:lineRule="auto"/>
        <w:ind w:left="420"/>
        <w:rPr>
          <w:rFonts w:hint="eastAsia" w:ascii="黑体" w:hAnsi="黑体" w:eastAsia="黑体"/>
          <w:color w:val="auto"/>
          <w:sz w:val="24"/>
          <w:highlight w:val="none"/>
        </w:rPr>
      </w:pPr>
      <w:bookmarkStart w:id="118" w:name="_26.组建评标委员会"/>
      <w:bookmarkEnd w:id="118"/>
      <w:r>
        <w:rPr>
          <w:rFonts w:hint="eastAsia" w:ascii="黑体" w:hAnsi="黑体" w:eastAsia="黑体"/>
          <w:color w:val="auto"/>
          <w:sz w:val="24"/>
          <w:highlight w:val="none"/>
        </w:rPr>
        <w:t>26.组建评标委员会</w:t>
      </w:r>
    </w:p>
    <w:p w14:paraId="42B46AAB">
      <w:pPr>
        <w:pStyle w:val="231"/>
        <w:spacing w:line="360" w:lineRule="auto"/>
        <w:ind w:firstLine="420"/>
        <w:rPr>
          <w:rFonts w:hint="eastAsia" w:hAnsi="宋体"/>
          <w:color w:val="auto"/>
          <w:sz w:val="21"/>
          <w:highlight w:val="none"/>
        </w:rPr>
      </w:pPr>
      <w:r>
        <w:rPr>
          <w:rFonts w:hint="eastAsia" w:hAnsi="宋体"/>
          <w:color w:val="auto"/>
          <w:sz w:val="21"/>
          <w:highlight w:val="none"/>
        </w:rPr>
        <w:t>26.1评标委员会由采购人代表和评审专家组成，具体人数详见“投标人须知前附表”，其中评审专家不得少于成员总数的三分之二。</w:t>
      </w:r>
    </w:p>
    <w:p w14:paraId="33D60B8A">
      <w:pPr>
        <w:pStyle w:val="231"/>
        <w:spacing w:line="360" w:lineRule="auto"/>
        <w:ind w:left="2" w:firstLine="420"/>
        <w:rPr>
          <w:rFonts w:hint="eastAsia" w:hAnsi="宋体"/>
          <w:color w:val="auto"/>
          <w:sz w:val="21"/>
          <w:highlight w:val="none"/>
        </w:rPr>
      </w:pPr>
      <w:r>
        <w:rPr>
          <w:rFonts w:hint="eastAsia" w:hAnsi="宋体"/>
          <w:color w:val="auto"/>
          <w:sz w:val="21"/>
          <w:highlight w:val="none"/>
        </w:rPr>
        <w:t>26.2参加过采购项目前期咨询论证的专家，不得参加该采购项目的评审活动。</w:t>
      </w:r>
    </w:p>
    <w:p w14:paraId="6A81B3AF">
      <w:pPr>
        <w:pStyle w:val="231"/>
        <w:spacing w:line="360" w:lineRule="auto"/>
        <w:ind w:left="2" w:firstLine="420"/>
        <w:rPr>
          <w:rFonts w:hint="eastAsia" w:hAnsi="宋体"/>
          <w:color w:val="auto"/>
          <w:sz w:val="21"/>
          <w:highlight w:val="none"/>
        </w:rPr>
      </w:pPr>
      <w:r>
        <w:rPr>
          <w:rFonts w:hint="eastAsia" w:hAnsi="宋体"/>
          <w:color w:val="auto"/>
          <w:sz w:val="21"/>
          <w:highlight w:val="none"/>
        </w:rPr>
        <w:t>26.3</w:t>
      </w:r>
      <w:r>
        <w:rPr>
          <w:rFonts w:hint="eastAsia" w:hAnsi="宋体"/>
          <w:bCs/>
          <w:color w:val="auto"/>
          <w:sz w:val="21"/>
          <w:highlight w:val="none"/>
        </w:rPr>
        <w:t>采购代理机构应当基于广西政府采购云平台抽（选）取评审专家。</w:t>
      </w:r>
    </w:p>
    <w:p w14:paraId="534399B4">
      <w:pPr>
        <w:pStyle w:val="198"/>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27.评标的依据</w:t>
      </w:r>
    </w:p>
    <w:p w14:paraId="056A6FDB">
      <w:pPr>
        <w:pStyle w:val="231"/>
        <w:spacing w:line="360" w:lineRule="auto"/>
        <w:ind w:firstLine="420"/>
        <w:rPr>
          <w:rFonts w:hint="eastAsia"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4AA56421">
      <w:pPr>
        <w:pStyle w:val="198"/>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28.评标原则</w:t>
      </w:r>
    </w:p>
    <w:p w14:paraId="7B6E5DDD">
      <w:pPr>
        <w:pStyle w:val="231"/>
        <w:spacing w:line="360" w:lineRule="auto"/>
        <w:ind w:firstLine="420"/>
        <w:rPr>
          <w:rFonts w:hint="eastAsia" w:hAnsi="宋体"/>
          <w:color w:val="auto"/>
          <w:sz w:val="21"/>
          <w:highlight w:val="none"/>
        </w:rPr>
      </w:pPr>
      <w:r>
        <w:rPr>
          <w:rFonts w:hint="eastAsia" w:hAnsi="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06B74B5">
      <w:pPr>
        <w:pStyle w:val="231"/>
        <w:spacing w:line="360" w:lineRule="auto"/>
        <w:ind w:firstLine="420"/>
        <w:rPr>
          <w:rFonts w:hint="eastAsia" w:hAnsi="宋体"/>
          <w:color w:val="auto"/>
          <w:sz w:val="21"/>
          <w:highlight w:val="none"/>
        </w:rPr>
      </w:pPr>
      <w:r>
        <w:rPr>
          <w:rFonts w:hint="eastAsia" w:hAnsi="宋体"/>
          <w:color w:val="auto"/>
          <w:sz w:val="21"/>
          <w:highlight w:val="none"/>
        </w:rPr>
        <w:t>28.2</w:t>
      </w:r>
      <w:bookmarkStart w:id="119" w:name="_28.3评标方法。本项目将按须知前附表规定的评标办法进行评标，具体评标"/>
      <w:bookmarkEnd w:id="119"/>
      <w:r>
        <w:rPr>
          <w:rFonts w:hint="eastAsia" w:hAnsi="宋体"/>
          <w:color w:val="auto"/>
          <w:sz w:val="21"/>
          <w:highlight w:val="none"/>
        </w:rPr>
        <w:t>评委表决。评标委员会成员对需要共同认定的事项存在争议的，应当按照少数服从多数的原则作出结论。</w:t>
      </w:r>
    </w:p>
    <w:p w14:paraId="1A82B7D8">
      <w:pPr>
        <w:pStyle w:val="231"/>
        <w:spacing w:line="360" w:lineRule="auto"/>
        <w:ind w:firstLine="420"/>
        <w:rPr>
          <w:rFonts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B8F25E6">
      <w:pPr>
        <w:pStyle w:val="231"/>
        <w:spacing w:line="360" w:lineRule="auto"/>
        <w:ind w:firstLine="42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评标过程的监控。本项目电子评标过程实行网上留痕、全程录音、录像监控，</w:t>
      </w:r>
      <w:r>
        <w:rPr>
          <w:rFonts w:hint="eastAsia" w:hAnsi="宋体"/>
          <w:b/>
          <w:color w:val="auto"/>
          <w:sz w:val="21"/>
          <w:highlight w:val="none"/>
        </w:rPr>
        <w:t>投标人在评标过程中所进行的试图影响评标结果的不公正活动，可能导致其投标按无效处理。</w:t>
      </w:r>
    </w:p>
    <w:p w14:paraId="61E48FA5">
      <w:pPr>
        <w:pStyle w:val="198"/>
        <w:keepNext w:val="0"/>
        <w:keepLines w:val="0"/>
        <w:spacing w:before="0" w:after="0" w:line="360" w:lineRule="auto"/>
        <w:ind w:left="420"/>
        <w:rPr>
          <w:rFonts w:hint="eastAsia" w:ascii="黑体" w:hAnsi="黑体" w:eastAsia="黑体" w:cs="Times New Roman"/>
          <w:b/>
          <w:color w:val="auto"/>
          <w:sz w:val="24"/>
          <w:highlight w:val="none"/>
        </w:rPr>
      </w:pPr>
      <w:r>
        <w:rPr>
          <w:rFonts w:hint="eastAsia" w:ascii="黑体" w:hAnsi="黑体" w:eastAsia="黑体" w:cs="Times New Roman"/>
          <w:b/>
          <w:color w:val="auto"/>
          <w:sz w:val="24"/>
          <w:highlight w:val="none"/>
        </w:rPr>
        <w:t>29.评标方法及中标候选人推荐</w:t>
      </w:r>
    </w:p>
    <w:p w14:paraId="2614EEE6">
      <w:pPr>
        <w:pStyle w:val="231"/>
        <w:spacing w:line="360" w:lineRule="auto"/>
        <w:ind w:firstLine="420"/>
        <w:rPr>
          <w:rFonts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3DB3942D">
      <w:pPr>
        <w:pStyle w:val="231"/>
        <w:spacing w:line="360" w:lineRule="auto"/>
        <w:ind w:firstLine="420"/>
        <w:rPr>
          <w:rFonts w:hAnsi="宋体"/>
          <w:color w:val="auto"/>
          <w:sz w:val="21"/>
          <w:highlight w:val="none"/>
        </w:rPr>
      </w:pPr>
      <w:r>
        <w:rPr>
          <w:rFonts w:hint="eastAsia" w:hAnsi="宋体"/>
          <w:color w:val="auto"/>
          <w:sz w:val="21"/>
          <w:highlight w:val="none"/>
        </w:rPr>
        <w:t>2</w:t>
      </w:r>
      <w:r>
        <w:rPr>
          <w:rFonts w:hAnsi="宋体"/>
          <w:color w:val="auto"/>
          <w:sz w:val="21"/>
          <w:highlight w:val="none"/>
        </w:rPr>
        <w:t>9.2</w:t>
      </w:r>
      <w:r>
        <w:rPr>
          <w:rFonts w:hAnsi="宋体" w:cs="宋体"/>
          <w:color w:val="auto"/>
          <w:sz w:val="21"/>
          <w:highlight w:val="none"/>
        </w:rPr>
        <w:t xml:space="preserve"> </w:t>
      </w:r>
      <w:r>
        <w:rPr>
          <w:rFonts w:hint="eastAsia" w:hAnsi="宋体" w:cs="宋体"/>
          <w:color w:val="auto"/>
          <w:sz w:val="21"/>
          <w:highlight w:val="none"/>
        </w:rPr>
        <w:t>商务/技术要求</w:t>
      </w:r>
      <w:r>
        <w:rPr>
          <w:rFonts w:hint="eastAsia" w:hAnsi="宋体"/>
          <w:color w:val="auto"/>
          <w:sz w:val="21"/>
          <w:highlight w:val="none"/>
        </w:rPr>
        <w:t>允许负偏离的条款数</w:t>
      </w:r>
      <w:r>
        <w:rPr>
          <w:rFonts w:hAnsi="宋体"/>
          <w:color w:val="auto"/>
          <w:sz w:val="21"/>
          <w:highlight w:val="none"/>
        </w:rPr>
        <w:t>详见</w:t>
      </w:r>
      <w:r>
        <w:rPr>
          <w:rFonts w:hint="eastAsia" w:hAnsi="宋体"/>
          <w:color w:val="auto"/>
          <w:sz w:val="21"/>
          <w:highlight w:val="none"/>
        </w:rPr>
        <w:t>“投标人须知前附表”。</w:t>
      </w:r>
    </w:p>
    <w:p w14:paraId="0ED27ECF">
      <w:pPr>
        <w:pStyle w:val="231"/>
        <w:spacing w:line="360" w:lineRule="auto"/>
        <w:ind w:firstLine="420"/>
        <w:rPr>
          <w:rFonts w:hint="eastAsia" w:hAnsi="宋体" w:cs="宋体"/>
          <w:color w:val="auto"/>
          <w:sz w:val="21"/>
          <w:highlight w:val="none"/>
        </w:rPr>
      </w:pPr>
      <w:r>
        <w:rPr>
          <w:rFonts w:hint="eastAsia" w:hAnsi="宋体"/>
          <w:color w:val="auto"/>
          <w:sz w:val="21"/>
          <w:highlight w:val="none"/>
        </w:rPr>
        <w:t>2</w:t>
      </w:r>
      <w:r>
        <w:rPr>
          <w:rFonts w:hAnsi="宋体"/>
          <w:color w:val="auto"/>
          <w:sz w:val="21"/>
          <w:highlight w:val="none"/>
        </w:rPr>
        <w:t>9.3</w:t>
      </w:r>
      <w:r>
        <w:rPr>
          <w:rFonts w:hAnsi="宋体" w:cs="宋体"/>
          <w:color w:val="auto"/>
          <w:sz w:val="21"/>
          <w:highlight w:val="none"/>
        </w:rPr>
        <w:t xml:space="preserve"> </w:t>
      </w:r>
      <w:r>
        <w:rPr>
          <w:rFonts w:hAnsi="宋体"/>
          <w:color w:val="auto"/>
          <w:sz w:val="21"/>
          <w:highlight w:val="none"/>
        </w:rPr>
        <w:t>中标候选人推荐数量详见</w:t>
      </w:r>
      <w:r>
        <w:rPr>
          <w:rFonts w:hint="eastAsia" w:hAnsi="宋体"/>
          <w:color w:val="auto"/>
          <w:sz w:val="21"/>
          <w:highlight w:val="none"/>
        </w:rPr>
        <w:t>“投标人须知前附表”。</w:t>
      </w:r>
    </w:p>
    <w:p w14:paraId="70A9632E">
      <w:pPr>
        <w:pStyle w:val="231"/>
        <w:spacing w:line="360" w:lineRule="auto"/>
        <w:ind w:firstLine="420"/>
        <w:rPr>
          <w:rFonts w:hint="eastAsia" w:hAnsi="宋体"/>
          <w:color w:val="auto"/>
          <w:sz w:val="21"/>
          <w:highlight w:val="none"/>
        </w:rPr>
      </w:pPr>
      <w:r>
        <w:rPr>
          <w:rFonts w:hint="eastAsia" w:hAnsi="宋体"/>
          <w:color w:val="auto"/>
          <w:sz w:val="21"/>
          <w:highlight w:val="none"/>
        </w:rPr>
        <w:t>29.</w:t>
      </w:r>
      <w:r>
        <w:rPr>
          <w:rFonts w:hAnsi="宋体"/>
          <w:color w:val="auto"/>
          <w:sz w:val="21"/>
          <w:highlight w:val="none"/>
        </w:rPr>
        <w:t>4</w:t>
      </w:r>
      <w:r>
        <w:rPr>
          <w:rFonts w:hint="eastAsia" w:hAnsi="宋体"/>
          <w:color w:val="auto"/>
          <w:sz w:val="21"/>
          <w:highlight w:val="none"/>
        </w:rPr>
        <w:t xml:space="preserve"> 电子交易活动的中止。采购过程中出现以下情形，导致电子交易平台无法正常运行，或者无法保证电子交易的公平、公正和安全时，采购代理机构可以中止电子交易活动：</w:t>
      </w:r>
    </w:p>
    <w:p w14:paraId="658AC009">
      <w:pPr>
        <w:pStyle w:val="231"/>
        <w:spacing w:line="360" w:lineRule="auto"/>
        <w:ind w:firstLine="420"/>
        <w:rPr>
          <w:rFonts w:hint="eastAsia" w:hAnsi="宋体"/>
          <w:color w:val="auto"/>
          <w:sz w:val="21"/>
          <w:highlight w:val="none"/>
        </w:rPr>
      </w:pPr>
      <w:r>
        <w:rPr>
          <w:rFonts w:hint="eastAsia" w:hAnsi="宋体"/>
          <w:color w:val="auto"/>
          <w:sz w:val="21"/>
          <w:highlight w:val="none"/>
        </w:rPr>
        <w:t xml:space="preserve">（1）电子交易平台发生故障而无法登录访问的； </w:t>
      </w:r>
    </w:p>
    <w:p w14:paraId="3CC74822">
      <w:pPr>
        <w:pStyle w:val="231"/>
        <w:spacing w:line="360" w:lineRule="auto"/>
        <w:ind w:firstLine="420"/>
        <w:rPr>
          <w:rFonts w:hint="eastAsia" w:hAnsi="宋体"/>
          <w:color w:val="auto"/>
          <w:sz w:val="21"/>
          <w:highlight w:val="none"/>
        </w:rPr>
      </w:pPr>
      <w:r>
        <w:rPr>
          <w:rFonts w:hint="eastAsia" w:hAnsi="宋体"/>
          <w:color w:val="auto"/>
          <w:sz w:val="21"/>
          <w:highlight w:val="none"/>
        </w:rPr>
        <w:t>（2）电子交易平台应用或数据库出现错误，不能进行正常操作的；</w:t>
      </w:r>
    </w:p>
    <w:p w14:paraId="0625C519">
      <w:pPr>
        <w:pStyle w:val="231"/>
        <w:spacing w:line="360" w:lineRule="auto"/>
        <w:ind w:firstLine="420"/>
        <w:rPr>
          <w:rFonts w:hint="eastAsia" w:hAnsi="宋体"/>
          <w:color w:val="auto"/>
          <w:sz w:val="21"/>
          <w:highlight w:val="none"/>
        </w:rPr>
      </w:pPr>
      <w:r>
        <w:rPr>
          <w:rFonts w:hint="eastAsia" w:hAnsi="宋体"/>
          <w:color w:val="auto"/>
          <w:sz w:val="21"/>
          <w:highlight w:val="none"/>
        </w:rPr>
        <w:t>（3）电子交易平台发现严重安全漏洞，有潜在泄密危险的；</w:t>
      </w:r>
    </w:p>
    <w:p w14:paraId="7CE92285">
      <w:pPr>
        <w:pStyle w:val="231"/>
        <w:spacing w:line="360" w:lineRule="auto"/>
        <w:ind w:firstLine="420"/>
        <w:rPr>
          <w:rFonts w:hint="eastAsia" w:hAnsi="宋体"/>
          <w:color w:val="auto"/>
          <w:sz w:val="21"/>
          <w:highlight w:val="none"/>
        </w:rPr>
      </w:pPr>
      <w:r>
        <w:rPr>
          <w:rFonts w:hint="eastAsia" w:hAnsi="宋体"/>
          <w:color w:val="auto"/>
          <w:sz w:val="21"/>
          <w:highlight w:val="none"/>
        </w:rPr>
        <w:t xml:space="preserve">（4）病毒发作导致不能进行正常操作的； </w:t>
      </w:r>
    </w:p>
    <w:p w14:paraId="150F17BE">
      <w:pPr>
        <w:pStyle w:val="231"/>
        <w:spacing w:line="360" w:lineRule="auto"/>
        <w:ind w:firstLine="420"/>
        <w:rPr>
          <w:rFonts w:hint="eastAsia" w:hAnsi="宋体"/>
          <w:color w:val="auto"/>
          <w:sz w:val="21"/>
          <w:highlight w:val="none"/>
        </w:rPr>
      </w:pPr>
      <w:r>
        <w:rPr>
          <w:rFonts w:hint="eastAsia" w:hAnsi="宋体"/>
          <w:color w:val="auto"/>
          <w:sz w:val="21"/>
          <w:highlight w:val="none"/>
        </w:rPr>
        <w:t>（5）其他无法保证电子交易的公平、公正和安全的情况。</w:t>
      </w:r>
    </w:p>
    <w:p w14:paraId="0D8DC0A4">
      <w:pPr>
        <w:pStyle w:val="231"/>
        <w:spacing w:line="360" w:lineRule="auto"/>
        <w:ind w:firstLine="420"/>
        <w:rPr>
          <w:rFonts w:hint="eastAsia" w:hAnsi="宋体"/>
          <w:color w:val="auto"/>
          <w:sz w:val="21"/>
          <w:highlight w:val="none"/>
        </w:rPr>
      </w:pPr>
      <w:r>
        <w:rPr>
          <w:rFonts w:hint="eastAsia" w:hAnsi="宋体"/>
          <w:color w:val="auto"/>
          <w:sz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08AB27A0">
      <w:pPr>
        <w:pStyle w:val="231"/>
        <w:spacing w:line="360" w:lineRule="auto"/>
        <w:ind w:firstLine="420"/>
        <w:rPr>
          <w:rFonts w:hAnsi="宋体"/>
          <w:color w:val="auto"/>
          <w:sz w:val="21"/>
          <w:highlight w:val="none"/>
        </w:rPr>
      </w:pPr>
      <w:r>
        <w:rPr>
          <w:rFonts w:hint="eastAsia" w:hAnsi="宋体"/>
          <w:color w:val="auto"/>
          <w:sz w:val="21"/>
          <w:highlight w:val="none"/>
        </w:rPr>
        <w:t>29.5出现下列情形之一的，应予废标：</w:t>
      </w:r>
    </w:p>
    <w:p w14:paraId="1F033D30">
      <w:pPr>
        <w:pStyle w:val="231"/>
        <w:spacing w:line="360" w:lineRule="auto"/>
        <w:ind w:firstLine="420"/>
        <w:rPr>
          <w:rFonts w:hint="eastAsia" w:hAnsi="宋体"/>
          <w:color w:val="auto"/>
          <w:sz w:val="21"/>
          <w:highlight w:val="none"/>
        </w:rPr>
      </w:pPr>
      <w:r>
        <w:rPr>
          <w:rFonts w:hint="eastAsia" w:hAnsi="宋体"/>
          <w:color w:val="auto"/>
          <w:sz w:val="21"/>
          <w:highlight w:val="none"/>
        </w:rPr>
        <w:t>（1）符合专业条件的供应商或者对招标文件作实质响应的供应商不足三家的；</w:t>
      </w:r>
    </w:p>
    <w:p w14:paraId="25133792">
      <w:pPr>
        <w:pStyle w:val="231"/>
        <w:spacing w:line="360" w:lineRule="auto"/>
        <w:ind w:firstLine="420"/>
        <w:rPr>
          <w:rFonts w:hint="eastAsia" w:hAnsi="宋体"/>
          <w:color w:val="auto"/>
          <w:sz w:val="21"/>
          <w:highlight w:val="none"/>
        </w:rPr>
      </w:pPr>
      <w:r>
        <w:rPr>
          <w:rFonts w:hint="eastAsia" w:hAnsi="宋体"/>
          <w:color w:val="auto"/>
          <w:sz w:val="21"/>
          <w:highlight w:val="none"/>
        </w:rPr>
        <w:t>（2）出现影响采购公正的违法、违规行为的；</w:t>
      </w:r>
    </w:p>
    <w:p w14:paraId="22006884">
      <w:pPr>
        <w:pStyle w:val="231"/>
        <w:spacing w:line="360" w:lineRule="auto"/>
        <w:ind w:firstLine="420"/>
        <w:rPr>
          <w:rFonts w:hint="eastAsia" w:hAnsi="宋体"/>
          <w:color w:val="auto"/>
          <w:sz w:val="21"/>
          <w:highlight w:val="none"/>
        </w:rPr>
      </w:pPr>
      <w:r>
        <w:rPr>
          <w:rFonts w:hint="eastAsia" w:hAnsi="宋体"/>
          <w:color w:val="auto"/>
          <w:sz w:val="21"/>
          <w:highlight w:val="none"/>
        </w:rPr>
        <w:t>（3）投标人的报价均超过了采购预算，采购人不能支付的；</w:t>
      </w:r>
    </w:p>
    <w:p w14:paraId="3AFA92FB">
      <w:pPr>
        <w:pStyle w:val="231"/>
        <w:spacing w:line="360" w:lineRule="auto"/>
        <w:ind w:firstLine="420"/>
        <w:rPr>
          <w:rFonts w:hint="eastAsia" w:hAnsi="宋体"/>
          <w:color w:val="auto"/>
          <w:sz w:val="21"/>
          <w:highlight w:val="none"/>
        </w:rPr>
      </w:pPr>
      <w:r>
        <w:rPr>
          <w:rFonts w:hint="eastAsia" w:hAnsi="宋体"/>
          <w:color w:val="auto"/>
          <w:sz w:val="21"/>
          <w:highlight w:val="none"/>
        </w:rPr>
        <w:t>（4）因重大变故，采购任务取消的。</w:t>
      </w:r>
    </w:p>
    <w:p w14:paraId="442DD2DC">
      <w:pPr>
        <w:pStyle w:val="231"/>
        <w:spacing w:line="360" w:lineRule="auto"/>
        <w:ind w:firstLine="420"/>
        <w:rPr>
          <w:rFonts w:hint="eastAsia" w:hAnsi="宋体"/>
          <w:color w:val="auto"/>
          <w:sz w:val="21"/>
          <w:highlight w:val="none"/>
        </w:rPr>
      </w:pPr>
      <w:r>
        <w:rPr>
          <w:rFonts w:hint="eastAsia" w:hAnsi="宋体"/>
          <w:color w:val="auto"/>
          <w:sz w:val="21"/>
          <w:highlight w:val="none"/>
        </w:rPr>
        <w:t>废标后，采购人应当将废标理由通知所有投标人。</w:t>
      </w:r>
    </w:p>
    <w:p w14:paraId="6C195835">
      <w:pPr>
        <w:pStyle w:val="231"/>
        <w:spacing w:line="360" w:lineRule="auto"/>
        <w:rPr>
          <w:rFonts w:hint="eastAsia" w:hAnsi="宋体"/>
          <w:color w:val="auto"/>
          <w:sz w:val="21"/>
          <w:highlight w:val="none"/>
        </w:rPr>
      </w:pPr>
    </w:p>
    <w:p w14:paraId="008D596A">
      <w:pPr>
        <w:pStyle w:val="196"/>
        <w:keepNext w:val="0"/>
        <w:keepLines w:val="0"/>
        <w:jc w:val="center"/>
        <w:rPr>
          <w:rFonts w:hint="eastAsia"/>
          <w:color w:val="auto"/>
          <w:highlight w:val="none"/>
        </w:rPr>
      </w:pPr>
      <w:bookmarkStart w:id="120" w:name="_Toc254970687"/>
      <w:bookmarkStart w:id="121" w:name="_Toc254970546"/>
      <w:r>
        <w:rPr>
          <w:rFonts w:hint="eastAsia"/>
          <w:color w:val="auto"/>
          <w:highlight w:val="none"/>
        </w:rPr>
        <w:t>七、</w:t>
      </w:r>
      <w:bookmarkEnd w:id="120"/>
      <w:bookmarkEnd w:id="121"/>
      <w:r>
        <w:rPr>
          <w:rFonts w:hint="eastAsia"/>
          <w:color w:val="auto"/>
          <w:highlight w:val="none"/>
        </w:rPr>
        <w:t>中标和合同</w:t>
      </w:r>
    </w:p>
    <w:p w14:paraId="3E5FCD77">
      <w:pPr>
        <w:pStyle w:val="198"/>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30</w:t>
      </w:r>
      <w:r>
        <w:rPr>
          <w:rFonts w:ascii="黑体" w:hAnsi="黑体" w:eastAsia="黑体"/>
          <w:color w:val="auto"/>
          <w:sz w:val="24"/>
          <w:highlight w:val="none"/>
        </w:rPr>
        <w:t xml:space="preserve"> </w:t>
      </w:r>
      <w:r>
        <w:rPr>
          <w:rFonts w:hint="eastAsia" w:ascii="黑体" w:hAnsi="黑体" w:eastAsia="黑体"/>
          <w:color w:val="auto"/>
          <w:sz w:val="24"/>
          <w:highlight w:val="none"/>
        </w:rPr>
        <w:t>确定中标供应商</w:t>
      </w:r>
    </w:p>
    <w:p w14:paraId="7C0ED52C">
      <w:pPr>
        <w:pStyle w:val="198"/>
        <w:keepNext w:val="0"/>
        <w:keepLines w:val="0"/>
        <w:spacing w:before="0" w:after="0" w:line="360" w:lineRule="auto"/>
        <w:ind w:firstLine="420"/>
        <w:rPr>
          <w:rFonts w:hint="eastAsia"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供应商。中标候选人并列的，按照“投标人须知前附表”规定的方式确定中标供应商。采购人也可以事先授权评标委员会直接确定中标供应商。</w:t>
      </w:r>
    </w:p>
    <w:p w14:paraId="7EAB59FF">
      <w:pPr>
        <w:spacing w:line="360" w:lineRule="auto"/>
        <w:ind w:firstLine="420"/>
        <w:rPr>
          <w:rFonts w:hint="eastAsia"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采购人在收到评标报告5个工作日内未按评标报告推荐的中标候选人顺序确定中标供应商，又不能说明合法理由的，视同按评标报告推荐的顺序确定排名第一的中标候选人为中标供应商。</w:t>
      </w:r>
    </w:p>
    <w:p w14:paraId="58873F82">
      <w:pPr>
        <w:pStyle w:val="198"/>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31. 结果公告</w:t>
      </w:r>
    </w:p>
    <w:p w14:paraId="7D2078F9">
      <w:pPr>
        <w:pStyle w:val="198"/>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供应商确定之日起2个工作日内，在省级以上财政部门指定的媒体上公告中标结果，招标文件应当随中标结果同时公告。采购人或者采购代理发出中标通知书前，应当对中标供应商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供应商。排名第二的中标候选人因前款规定的同样原因被取消中标资格的，采购人可以确定排名第三的中标候选人为中标供应商，以此类推。</w:t>
      </w:r>
    </w:p>
    <w:p w14:paraId="6B78F31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以上信息查询记录及相关证据与招标文件一并保存。</w:t>
      </w:r>
    </w:p>
    <w:p w14:paraId="7DC2D252">
      <w:pPr>
        <w:pStyle w:val="198"/>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25499BF7">
      <w:pPr>
        <w:spacing w:line="360" w:lineRule="auto"/>
        <w:ind w:firstLine="42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31.3 采购人、采购代理机构应当随中标结果公开中标供应商的《关于符合本国产品标准的声明函》或有关证明文件</w:t>
      </w:r>
      <w:r>
        <w:rPr>
          <w:rFonts w:hint="eastAsia" w:ascii="宋体" w:hAnsi="宋体" w:eastAsia="宋体" w:cs="Times New Roman"/>
          <w:color w:val="auto"/>
          <w:szCs w:val="21"/>
          <w:highlight w:val="none"/>
          <w:lang w:eastAsia="zh-CN"/>
        </w:rPr>
        <w:t>。</w:t>
      </w:r>
    </w:p>
    <w:p w14:paraId="48393E1C">
      <w:pPr>
        <w:pStyle w:val="198"/>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32.发出中标通知书</w:t>
      </w:r>
    </w:p>
    <w:p w14:paraId="0AB23080">
      <w:pPr>
        <w:pStyle w:val="198"/>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 xml:space="preserve">   </w:t>
      </w:r>
      <w:r>
        <w:rPr>
          <w:rFonts w:hint="eastAsia" w:ascii="宋体" w:hAnsi="宋体"/>
          <w:b w:val="0"/>
          <w:color w:val="auto"/>
          <w:sz w:val="21"/>
          <w:szCs w:val="21"/>
          <w:highlight w:val="none"/>
        </w:rPr>
        <w:t>在发布中标公告的同时，采购代理机构向中标供应商通过广西政府采购云平台发出电子中标通知书。对未通过资格审查的投标人，应当告知其未通过的原因；采用综合评分办法评审的，还应当告知未中标供应商本人的评审得分与排序。</w:t>
      </w:r>
    </w:p>
    <w:p w14:paraId="0E04203C">
      <w:pPr>
        <w:pStyle w:val="198"/>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28C9974D">
      <w:pPr>
        <w:pStyle w:val="198"/>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w:t>
      </w:r>
    </w:p>
    <w:p w14:paraId="2C70A520">
      <w:pPr>
        <w:pStyle w:val="198"/>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3AC090D0">
      <w:pPr>
        <w:spacing w:line="360" w:lineRule="auto"/>
        <w:ind w:firstLine="42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合同将授予被确定实质上响应招标文件要求，具备履行合同能力的中标供应商。</w:t>
      </w:r>
    </w:p>
    <w:p w14:paraId="0E806DBF">
      <w:pPr>
        <w:pStyle w:val="198"/>
        <w:keepNext w:val="0"/>
        <w:keepLines w:val="0"/>
        <w:spacing w:before="0" w:after="0" w:line="360" w:lineRule="auto"/>
        <w:ind w:firstLine="316"/>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35. 履约保证金</w:t>
      </w:r>
      <w:r>
        <w:rPr>
          <w:rFonts w:hint="eastAsia" w:ascii="宋体" w:hAnsi="宋体" w:eastAsia="宋体" w:cs="Times New Roman"/>
          <w:b/>
          <w:color w:val="auto"/>
          <w:sz w:val="21"/>
          <w:szCs w:val="21"/>
          <w:highlight w:val="none"/>
          <w:lang w:eastAsia="zh-CN"/>
        </w:rPr>
        <w:t>：无</w:t>
      </w:r>
    </w:p>
    <w:p w14:paraId="3D6D4F0F">
      <w:pPr>
        <w:pStyle w:val="198"/>
        <w:keepNext w:val="0"/>
        <w:keepLines w:val="0"/>
        <w:spacing w:before="0" w:after="0" w:line="360" w:lineRule="auto"/>
        <w:ind w:firstLine="316"/>
        <w:rPr>
          <w:rFonts w:hint="eastAsia" w:ascii="宋体" w:hAnsi="宋体" w:eastAsia="宋体" w:cs="Times New Roman"/>
          <w:b/>
          <w:color w:val="auto"/>
          <w:sz w:val="21"/>
          <w:szCs w:val="21"/>
          <w:highlight w:val="none"/>
        </w:rPr>
      </w:pPr>
      <w:bookmarkStart w:id="122" w:name="_39.1中标人须于签订合同前按本须知前附表规定的金额转账或电汇到指定账"/>
      <w:bookmarkEnd w:id="122"/>
      <w:r>
        <w:rPr>
          <w:rFonts w:hint="eastAsia" w:ascii="宋体" w:hAnsi="宋体" w:eastAsia="宋体" w:cs="Times New Roman"/>
          <w:b/>
          <w:color w:val="auto"/>
          <w:sz w:val="21"/>
          <w:szCs w:val="21"/>
          <w:highlight w:val="none"/>
        </w:rPr>
        <w:t>36.签订合同</w:t>
      </w:r>
    </w:p>
    <w:p w14:paraId="57144B0E">
      <w:pPr>
        <w:pStyle w:val="198"/>
        <w:keepNext w:val="0"/>
        <w:keepLines w:val="0"/>
        <w:spacing w:before="0" w:after="0" w:line="360" w:lineRule="auto"/>
        <w:ind w:firstLine="316"/>
        <w:rPr>
          <w:rFonts w:hint="eastAsia" w:ascii="宋体" w:hAnsi="宋体"/>
          <w:b w:val="0"/>
          <w:color w:val="auto"/>
          <w:sz w:val="21"/>
          <w:szCs w:val="21"/>
          <w:highlight w:val="none"/>
        </w:rPr>
      </w:pPr>
      <w:bookmarkStart w:id="123" w:name="_40.1投标人接到中标通知书后，按须知前附表规定向采购人出示相关资格证"/>
      <w:bookmarkEnd w:id="123"/>
      <w:r>
        <w:rPr>
          <w:rFonts w:hint="eastAsia" w:ascii="宋体" w:hAnsi="宋体"/>
          <w:color w:val="auto"/>
          <w:sz w:val="21"/>
          <w:szCs w:val="21"/>
          <w:highlight w:val="none"/>
        </w:rPr>
        <w:t>36.1签订电子采购合同：中标供应商领取电子中标通知书后，在</w:t>
      </w:r>
      <w:r>
        <w:rPr>
          <w:rFonts w:hint="eastAsia" w:ascii="宋体" w:hAnsi="宋体"/>
          <w:color w:val="auto"/>
          <w:sz w:val="21"/>
          <w:szCs w:val="21"/>
          <w:highlight w:val="none"/>
          <w:lang w:val="zh-CN"/>
        </w:rPr>
        <w:t>规定的日期、时间、地点，由法定代表人或其授权代表与采购人代表签订电子采购合同。如中标供应商为联合体的，由联合体成员各方法定代表人或其授权代表与采购人代表签订合同。</w:t>
      </w:r>
    </w:p>
    <w:p w14:paraId="19730971">
      <w:pPr>
        <w:pStyle w:val="198"/>
        <w:keepNext w:val="0"/>
        <w:keepLines w:val="0"/>
        <w:numPr>
          <w:ilvl w:val="0"/>
          <w:numId w:val="0"/>
        </w:numPr>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w:t>
      </w:r>
    </w:p>
    <w:p w14:paraId="63742FCE">
      <w:pPr>
        <w:pStyle w:val="198"/>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36.</w:t>
      </w:r>
      <w:r>
        <w:rPr>
          <w:rFonts w:ascii="宋体" w:hAnsi="宋体"/>
          <w:b w:val="0"/>
          <w:color w:val="auto"/>
          <w:sz w:val="21"/>
          <w:szCs w:val="21"/>
          <w:highlight w:val="none"/>
        </w:rPr>
        <w:t>3</w:t>
      </w:r>
      <w:r>
        <w:rPr>
          <w:rFonts w:hint="eastAsia" w:ascii="宋体" w:hAnsi="宋体"/>
          <w:b w:val="0"/>
          <w:color w:val="auto"/>
          <w:sz w:val="21"/>
          <w:szCs w:val="21"/>
          <w:highlight w:val="none"/>
        </w:rPr>
        <w:t>中标供应商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09C8801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5D0287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7DEEDDD7">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36.6</w:t>
      </w:r>
      <w:r>
        <w:rPr>
          <w:rFonts w:hint="eastAsia" w:ascii="宋体" w:hAnsi="宋体" w:cs="仿宋_GB2312"/>
          <w:color w:val="auto"/>
          <w:szCs w:val="21"/>
          <w:highlight w:val="none"/>
        </w:rPr>
        <w:t>如签订合同并生效后，供应商无故拒绝或延期，除按照合同条款处理外，将承担相应的法律责任。</w:t>
      </w:r>
    </w:p>
    <w:p w14:paraId="7326F56E">
      <w:pPr>
        <w:spacing w:line="360" w:lineRule="auto"/>
        <w:ind w:firstLine="420"/>
        <w:rPr>
          <w:rFonts w:hint="eastAsia" w:ascii="宋体" w:hAnsi="宋体" w:cs="宋体"/>
          <w:color w:val="auto"/>
          <w:szCs w:val="21"/>
          <w:highlight w:val="none"/>
        </w:rPr>
      </w:pPr>
      <w:r>
        <w:rPr>
          <w:rFonts w:hint="eastAsia" w:ascii="宋体" w:hAnsi="宋体"/>
          <w:color w:val="auto"/>
          <w:szCs w:val="21"/>
          <w:highlight w:val="none"/>
        </w:rPr>
        <w:t>36.7</w:t>
      </w:r>
      <w:r>
        <w:rPr>
          <w:rFonts w:hint="eastAsia" w:ascii="宋体" w:hAnsi="宋体" w:cs="宋体"/>
          <w:color w:val="auto"/>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65DF619B">
      <w:pPr>
        <w:spacing w:line="360" w:lineRule="auto"/>
        <w:ind w:firstLine="420"/>
        <w:rPr>
          <w:rFonts w:hint="eastAsia" w:ascii="宋体" w:hAnsi="宋体"/>
          <w:color w:val="auto"/>
          <w:szCs w:val="21"/>
          <w:highlight w:val="none"/>
        </w:rPr>
      </w:pPr>
      <w:r>
        <w:rPr>
          <w:rFonts w:hint="eastAsia" w:ascii="宋体" w:hAnsi="宋体" w:cs="宋体"/>
          <w:color w:val="auto"/>
          <w:szCs w:val="21"/>
          <w:highlight w:val="none"/>
        </w:rPr>
        <w:t>36.8供应商可凭中标（成交）通知书或政府采购合同等在内的相关材料、信息，通过中征应收账款融资服务平台向银行业金融机构在线申请“政采贷”融资。</w:t>
      </w:r>
    </w:p>
    <w:p w14:paraId="774C508B">
      <w:pPr>
        <w:pStyle w:val="198"/>
        <w:keepNext w:val="0"/>
        <w:keepLines w:val="0"/>
        <w:spacing w:before="0" w:after="0" w:line="360" w:lineRule="auto"/>
        <w:ind w:left="420"/>
        <w:rPr>
          <w:rFonts w:hint="eastAsia" w:ascii="黑体" w:hAnsi="黑体" w:eastAsia="黑体"/>
          <w:color w:val="auto"/>
          <w:sz w:val="24"/>
          <w:highlight w:val="none"/>
        </w:rPr>
      </w:pPr>
      <w:bookmarkStart w:id="124" w:name="_41.政府采购合同公告"/>
      <w:bookmarkEnd w:id="124"/>
      <w:r>
        <w:rPr>
          <w:rFonts w:hint="eastAsia" w:ascii="黑体" w:hAnsi="黑体" w:eastAsia="黑体"/>
          <w:color w:val="auto"/>
          <w:sz w:val="24"/>
          <w:highlight w:val="none"/>
        </w:rPr>
        <w:t>37.政府采购合同公告</w:t>
      </w:r>
    </w:p>
    <w:p w14:paraId="61AE7C9B">
      <w:pPr>
        <w:pStyle w:val="231"/>
        <w:spacing w:line="360" w:lineRule="auto"/>
        <w:ind w:firstLine="420"/>
        <w:rPr>
          <w:rFonts w:hint="eastAsia"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22108185">
      <w:pPr>
        <w:pStyle w:val="198"/>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 xml:space="preserve"> 询问、质疑和投诉</w:t>
      </w:r>
    </w:p>
    <w:p w14:paraId="3D85BC4B">
      <w:pPr>
        <w:pStyle w:val="199"/>
        <w:spacing w:line="360" w:lineRule="auto"/>
        <w:rPr>
          <w:rFonts w:hint="eastAsia"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6CF2F676">
      <w:pPr>
        <w:pStyle w:val="198"/>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7349613C">
      <w:pPr>
        <w:pStyle w:val="231"/>
        <w:spacing w:line="360" w:lineRule="auto"/>
        <w:ind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73B485C2">
      <w:pPr>
        <w:pStyle w:val="231"/>
        <w:spacing w:line="360" w:lineRule="auto"/>
        <w:ind w:firstLine="42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213640BF">
      <w:pPr>
        <w:pStyle w:val="231"/>
        <w:spacing w:line="360" w:lineRule="auto"/>
        <w:ind w:firstLine="420"/>
        <w:rPr>
          <w:rFonts w:hint="eastAsia"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77968A34">
      <w:pPr>
        <w:pStyle w:val="198"/>
        <w:keepNext w:val="0"/>
        <w:keepLines w:val="0"/>
        <w:spacing w:before="0" w:after="0" w:line="360" w:lineRule="auto"/>
        <w:ind w:firstLine="315"/>
        <w:rPr>
          <w:rFonts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 xml:space="preserve"> </w:t>
      </w:r>
      <w:r>
        <w:rPr>
          <w:rFonts w:hAnsi="宋体"/>
          <w:b w:val="0"/>
          <w:bCs/>
          <w:color w:val="auto"/>
          <w:sz w:val="21"/>
          <w:highlight w:val="none"/>
        </w:rPr>
        <w:t>供应商提出质疑应当提交质疑函和必要的证明材料</w:t>
      </w:r>
      <w:r>
        <w:rPr>
          <w:rFonts w:hint="eastAsia" w:hAnsi="宋体"/>
          <w:b w:val="0"/>
          <w:bCs/>
          <w:color w:val="auto"/>
          <w:sz w:val="21"/>
          <w:highlight w:val="none"/>
        </w:rPr>
        <w:t>，</w:t>
      </w:r>
      <w:r>
        <w:rPr>
          <w:rFonts w:hAnsi="宋体"/>
          <w:b w:val="0"/>
          <w:bCs/>
          <w:color w:val="auto"/>
          <w:sz w:val="21"/>
          <w:highlight w:val="none"/>
        </w:rPr>
        <w:t>针对同一采购程序环节的质疑</w:t>
      </w:r>
      <w:r>
        <w:rPr>
          <w:rFonts w:hint="eastAsia" w:hAnsi="宋体"/>
          <w:b w:val="0"/>
          <w:bCs/>
          <w:color w:val="auto"/>
          <w:sz w:val="21"/>
          <w:highlight w:val="none"/>
        </w:rPr>
        <w:t>必须</w:t>
      </w:r>
      <w:r>
        <w:rPr>
          <w:rFonts w:hAnsi="宋体"/>
          <w:b w:val="0"/>
          <w:bCs/>
          <w:color w:val="auto"/>
          <w:sz w:val="21"/>
          <w:highlight w:val="none"/>
        </w:rPr>
        <w:t>在法定质疑期内一次性提出。质疑函应当包括下列内容</w:t>
      </w:r>
      <w:r>
        <w:rPr>
          <w:rFonts w:hint="eastAsia" w:hAnsi="宋体"/>
          <w:b w:val="0"/>
          <w:bCs/>
          <w:color w:val="auto"/>
          <w:sz w:val="21"/>
          <w:highlight w:val="none"/>
        </w:rPr>
        <w:t>（质疑函格式后附）</w:t>
      </w:r>
      <w:r>
        <w:rPr>
          <w:rFonts w:hAnsi="宋体"/>
          <w:b w:val="0"/>
          <w:bCs/>
          <w:color w:val="auto"/>
          <w:sz w:val="21"/>
          <w:highlight w:val="none"/>
        </w:rPr>
        <w:t>：</w:t>
      </w:r>
    </w:p>
    <w:p w14:paraId="54F8AD31">
      <w:pPr>
        <w:pStyle w:val="231"/>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34E6E2D7">
      <w:pPr>
        <w:pStyle w:val="231"/>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03BE721A">
      <w:pPr>
        <w:pStyle w:val="231"/>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33EFD775">
      <w:pPr>
        <w:pStyle w:val="231"/>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2E86BFCC">
      <w:pPr>
        <w:pStyle w:val="231"/>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74FE0D82">
      <w:pPr>
        <w:pStyle w:val="231"/>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45D25FC2">
      <w:pPr>
        <w:pStyle w:val="231"/>
        <w:spacing w:line="360" w:lineRule="auto"/>
        <w:ind w:firstLine="420"/>
        <w:rPr>
          <w:rFonts w:hint="eastAsia" w:hAnsi="宋体"/>
          <w:bCs/>
          <w:color w:val="auto"/>
          <w:sz w:val="21"/>
          <w:highlight w:val="none"/>
        </w:rPr>
      </w:pPr>
      <w:r>
        <w:rPr>
          <w:rFonts w:hAnsi="宋体"/>
          <w:bCs/>
          <w:color w:val="auto"/>
          <w:sz w:val="21"/>
          <w:highlight w:val="none"/>
        </w:rPr>
        <w:t>供应商为法人或者其他组织的，应当由法定代表人、主要负责人，或者其委托代理人签字或者盖章，并加盖公章</w:t>
      </w:r>
      <w:r>
        <w:rPr>
          <w:rFonts w:hint="eastAsia" w:hAnsi="宋体"/>
          <w:bCs/>
          <w:color w:val="auto"/>
          <w:sz w:val="21"/>
          <w:highlight w:val="none"/>
        </w:rPr>
        <w:t>。</w:t>
      </w:r>
    </w:p>
    <w:p w14:paraId="715A94E1">
      <w:pPr>
        <w:pStyle w:val="198"/>
        <w:keepNext w:val="0"/>
        <w:keepLines w:val="0"/>
        <w:spacing w:before="0" w:after="0" w:line="360" w:lineRule="auto"/>
        <w:ind w:firstLine="420"/>
        <w:rPr>
          <w:rFonts w:hint="eastAsia"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4E946D40">
      <w:pPr>
        <w:pStyle w:val="231"/>
        <w:spacing w:line="360" w:lineRule="auto"/>
        <w:rPr>
          <w:rFonts w:hint="eastAsia" w:hAnsi="宋体"/>
          <w:bCs/>
          <w:color w:val="auto"/>
          <w:sz w:val="21"/>
          <w:highlight w:val="none"/>
        </w:rPr>
      </w:pPr>
      <w:r>
        <w:rPr>
          <w:rFonts w:hint="eastAsia" w:hAnsi="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58592D4C">
      <w:pPr>
        <w:pStyle w:val="231"/>
        <w:spacing w:line="360" w:lineRule="auto"/>
        <w:rPr>
          <w:rFonts w:hint="eastAsia" w:hAnsi="宋体"/>
          <w:bCs/>
          <w:color w:val="auto"/>
          <w:sz w:val="21"/>
          <w:highlight w:val="none"/>
        </w:rPr>
      </w:pPr>
      <w:r>
        <w:rPr>
          <w:rFonts w:hint="eastAsia" w:hAnsi="宋体"/>
          <w:bCs/>
          <w:color w:val="auto"/>
          <w:sz w:val="21"/>
          <w:highlight w:val="none"/>
        </w:rPr>
        <w:t>　　（二）对采购过程、中标结果提出的质疑，合格供应商符合法定数量时，可以从合格的中标候选人中另行确定中标供应商的，应当依法另行确定中标供应商；否则应当重新开展采购活动。</w:t>
      </w:r>
    </w:p>
    <w:p w14:paraId="2BC21AF3">
      <w:pPr>
        <w:pStyle w:val="231"/>
        <w:spacing w:line="360" w:lineRule="auto"/>
        <w:ind w:firstLine="420"/>
        <w:rPr>
          <w:rFonts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1559D95A">
      <w:pPr>
        <w:pStyle w:val="231"/>
        <w:spacing w:line="360" w:lineRule="auto"/>
        <w:ind w:firstLine="420"/>
        <w:rPr>
          <w:rFonts w:hint="eastAsia"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F48741A">
      <w:pPr>
        <w:pStyle w:val="196"/>
        <w:keepNext w:val="0"/>
        <w:keepLines w:val="0"/>
        <w:spacing w:before="240" w:after="240" w:line="415" w:lineRule="auto"/>
        <w:jc w:val="center"/>
        <w:rPr>
          <w:rFonts w:hint="eastAsia"/>
          <w:color w:val="auto"/>
          <w:highlight w:val="none"/>
        </w:rPr>
      </w:pPr>
      <w:r>
        <w:rPr>
          <w:rFonts w:hint="eastAsia"/>
          <w:color w:val="auto"/>
          <w:highlight w:val="none"/>
        </w:rPr>
        <w:t>八、其他事项</w:t>
      </w:r>
    </w:p>
    <w:p w14:paraId="271FCC05">
      <w:pPr>
        <w:pStyle w:val="198"/>
        <w:keepNext w:val="0"/>
        <w:keepLines w:val="0"/>
        <w:spacing w:before="0" w:after="0" w:line="24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9</w:t>
      </w:r>
      <w:r>
        <w:rPr>
          <w:rFonts w:hint="eastAsia" w:ascii="黑体" w:hAnsi="黑体" w:eastAsia="黑体"/>
          <w:color w:val="auto"/>
          <w:sz w:val="24"/>
          <w:highlight w:val="none"/>
        </w:rPr>
        <w:t>.代理服务费</w:t>
      </w:r>
    </w:p>
    <w:p w14:paraId="3405C8CB">
      <w:pPr>
        <w:pStyle w:val="231"/>
        <w:spacing w:line="360" w:lineRule="auto"/>
        <w:ind w:firstLine="840" w:firstLineChars="400"/>
        <w:rPr>
          <w:rFonts w:hint="eastAsia" w:ascii="宋体" w:hAnsi="宋体" w:eastAsia="宋体" w:cs="Times New Roman"/>
          <w:bCs/>
          <w:color w:val="auto"/>
          <w:sz w:val="21"/>
          <w:highlight w:val="none"/>
          <w:lang w:val="en-US" w:eastAsia="zh-CN"/>
        </w:rPr>
      </w:pPr>
      <w:r>
        <w:rPr>
          <w:rFonts w:hint="eastAsia" w:ascii="宋体" w:hAnsi="宋体" w:eastAsia="宋体" w:cs="Times New Roman"/>
          <w:bCs/>
          <w:color w:val="auto"/>
          <w:sz w:val="21"/>
          <w:highlight w:val="none"/>
          <w:lang w:val="en-US" w:eastAsia="zh-CN"/>
        </w:rPr>
        <w:t>代理服务费收取标准及缴费账户详见“投标人须知前附表”。</w:t>
      </w:r>
    </w:p>
    <w:p w14:paraId="62790FDE">
      <w:pPr>
        <w:pStyle w:val="198"/>
        <w:keepNext w:val="0"/>
        <w:keepLines w:val="0"/>
        <w:spacing w:before="0" w:after="0" w:line="400" w:lineRule="exact"/>
        <w:ind w:left="420"/>
        <w:rPr>
          <w:rFonts w:ascii="黑体" w:hAnsi="黑体" w:eastAsia="黑体"/>
          <w:color w:val="auto"/>
          <w:sz w:val="24"/>
          <w:highlight w:val="none"/>
        </w:rPr>
      </w:pPr>
      <w:r>
        <w:rPr>
          <w:rFonts w:ascii="黑体" w:hAnsi="黑体" w:eastAsia="黑体"/>
          <w:color w:val="auto"/>
          <w:sz w:val="24"/>
          <w:highlight w:val="none"/>
        </w:rPr>
        <w:t>40. 需要补充的其他内容</w:t>
      </w:r>
    </w:p>
    <w:p w14:paraId="784B44DF">
      <w:pPr>
        <w:pStyle w:val="231"/>
        <w:spacing w:line="400" w:lineRule="exact"/>
        <w:ind w:firstLine="420"/>
        <w:rPr>
          <w:rFonts w:hint="eastAsia" w:hAnsi="宋体" w:cs="宋体"/>
          <w:color w:val="auto"/>
          <w:sz w:val="21"/>
          <w:highlight w:val="none"/>
        </w:rPr>
      </w:pPr>
      <w:r>
        <w:rPr>
          <w:rFonts w:hint="eastAsia" w:hAnsi="宋体" w:cs="宋体"/>
          <w:color w:val="auto"/>
          <w:sz w:val="21"/>
          <w:highlight w:val="none"/>
        </w:rPr>
        <w:t>40.1本招标文件解释规则详见“投标人须知前附表”。</w:t>
      </w:r>
    </w:p>
    <w:p w14:paraId="4E265D9A">
      <w:pPr>
        <w:pStyle w:val="231"/>
        <w:spacing w:line="400" w:lineRule="exact"/>
        <w:ind w:firstLine="420"/>
        <w:rPr>
          <w:rFonts w:hint="eastAsia" w:hAnsi="宋体" w:cs="宋体"/>
          <w:color w:val="auto"/>
          <w:sz w:val="21"/>
          <w:highlight w:val="none"/>
        </w:rPr>
      </w:pPr>
      <w:r>
        <w:rPr>
          <w:rFonts w:hint="eastAsia" w:hAnsi="宋体" w:cs="宋体"/>
          <w:color w:val="auto"/>
          <w:sz w:val="21"/>
          <w:highlight w:val="none"/>
        </w:rPr>
        <w:t>40.2 其他事项详见“投标人须知前附表”。</w:t>
      </w:r>
    </w:p>
    <w:p w14:paraId="5AB2A5E8">
      <w:pPr>
        <w:pStyle w:val="231"/>
        <w:spacing w:line="400" w:lineRule="exact"/>
        <w:ind w:firstLine="420"/>
        <w:rPr>
          <w:rFonts w:hint="eastAsia" w:hAnsi="宋体" w:cs="宋体"/>
          <w:color w:val="auto"/>
          <w:sz w:val="21"/>
          <w:highlight w:val="none"/>
        </w:rPr>
      </w:pPr>
      <w:r>
        <w:rPr>
          <w:rFonts w:hint="eastAsia" w:hAnsi="宋体" w:cs="宋体"/>
          <w:color w:val="auto"/>
          <w:sz w:val="21"/>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2D46925F">
      <w:pPr>
        <w:pStyle w:val="231"/>
        <w:spacing w:line="400" w:lineRule="exact"/>
        <w:ind w:firstLine="420"/>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4441E931">
      <w:pPr>
        <w:pStyle w:val="231"/>
        <w:spacing w:line="400" w:lineRule="exact"/>
        <w:ind w:firstLine="420"/>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416D93AB">
      <w:pPr>
        <w:pStyle w:val="231"/>
        <w:spacing w:line="400" w:lineRule="exact"/>
        <w:ind w:firstLine="420"/>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3515802C">
      <w:pPr>
        <w:pStyle w:val="231"/>
        <w:spacing w:line="400" w:lineRule="exact"/>
        <w:ind w:firstLine="420"/>
        <w:rPr>
          <w:rFonts w:hint="eastAsia"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7F98C458">
      <w:pPr>
        <w:pStyle w:val="231"/>
        <w:spacing w:line="400" w:lineRule="exact"/>
        <w:ind w:firstLine="420"/>
        <w:jc w:val="both"/>
        <w:rPr>
          <w:rFonts w:hint="eastAsia" w:hAnsi="宋体" w:cs="宋体"/>
          <w:bCs/>
          <w:color w:val="auto"/>
          <w:sz w:val="21"/>
          <w:highlight w:val="none"/>
        </w:rPr>
      </w:pPr>
      <w:r>
        <w:rPr>
          <w:rFonts w:hint="eastAsia" w:hAnsi="宋体" w:cs="宋体"/>
          <w:bCs/>
          <w:color w:val="auto"/>
          <w:sz w:val="21"/>
          <w:highlight w:val="none"/>
        </w:rPr>
        <w:t>依据本招标文件规定享受扶持政策获得政府采购合同的，小微企业不得将合同分包给大中型企业，中型企业不得将合同分包给大型企业。</w:t>
      </w:r>
    </w:p>
    <w:p w14:paraId="5E617B8C">
      <w:pPr>
        <w:pStyle w:val="231"/>
        <w:spacing w:line="400" w:lineRule="exact"/>
        <w:jc w:val="both"/>
        <w:rPr>
          <w:rFonts w:hint="eastAsia" w:hAnsi="宋体" w:cs="宋体"/>
          <w:bCs/>
          <w:color w:val="auto"/>
          <w:sz w:val="21"/>
          <w:highlight w:val="none"/>
        </w:rPr>
      </w:pPr>
    </w:p>
    <w:p w14:paraId="384E4C26">
      <w:pPr>
        <w:pStyle w:val="231"/>
        <w:spacing w:line="400" w:lineRule="exact"/>
        <w:jc w:val="both"/>
        <w:rPr>
          <w:rFonts w:hint="eastAsia" w:hAnsi="宋体" w:cs="宋体"/>
          <w:bCs/>
          <w:color w:val="auto"/>
          <w:sz w:val="21"/>
          <w:highlight w:val="none"/>
        </w:rPr>
      </w:pPr>
    </w:p>
    <w:p w14:paraId="6E180C82">
      <w:pPr>
        <w:pStyle w:val="231"/>
        <w:spacing w:line="400" w:lineRule="exact"/>
        <w:jc w:val="both"/>
        <w:rPr>
          <w:rFonts w:hint="eastAsia" w:hAnsi="宋体" w:cs="宋体"/>
          <w:bCs/>
          <w:color w:val="auto"/>
          <w:sz w:val="21"/>
          <w:highlight w:val="none"/>
        </w:rPr>
      </w:pPr>
    </w:p>
    <w:p w14:paraId="1F841103">
      <w:pPr>
        <w:pStyle w:val="231"/>
        <w:spacing w:line="400" w:lineRule="exact"/>
        <w:jc w:val="both"/>
        <w:rPr>
          <w:rFonts w:hint="eastAsia" w:hAnsi="宋体" w:cs="宋体"/>
          <w:bCs/>
          <w:color w:val="auto"/>
          <w:sz w:val="21"/>
          <w:highlight w:val="none"/>
        </w:rPr>
      </w:pPr>
    </w:p>
    <w:p w14:paraId="4297E97F">
      <w:pPr>
        <w:pStyle w:val="231"/>
        <w:spacing w:line="400" w:lineRule="exact"/>
        <w:jc w:val="both"/>
        <w:rPr>
          <w:rFonts w:hint="eastAsia" w:hAnsi="宋体" w:cs="宋体"/>
          <w:bCs/>
          <w:color w:val="auto"/>
          <w:sz w:val="21"/>
          <w:highlight w:val="none"/>
        </w:rPr>
      </w:pPr>
    </w:p>
    <w:p w14:paraId="056D82D1">
      <w:pPr>
        <w:pStyle w:val="231"/>
        <w:spacing w:line="400" w:lineRule="exact"/>
        <w:jc w:val="both"/>
        <w:rPr>
          <w:rFonts w:hint="eastAsia" w:hAnsi="宋体" w:cs="宋体"/>
          <w:bCs/>
          <w:color w:val="auto"/>
          <w:sz w:val="21"/>
          <w:highlight w:val="none"/>
        </w:rPr>
      </w:pPr>
    </w:p>
    <w:p w14:paraId="564F45E6">
      <w:pPr>
        <w:pStyle w:val="231"/>
        <w:spacing w:line="400" w:lineRule="exact"/>
        <w:jc w:val="both"/>
        <w:rPr>
          <w:rFonts w:hint="eastAsia" w:hAnsi="宋体" w:cs="宋体"/>
          <w:bCs/>
          <w:color w:val="auto"/>
          <w:sz w:val="21"/>
          <w:highlight w:val="none"/>
        </w:rPr>
      </w:pPr>
    </w:p>
    <w:p w14:paraId="6A386003">
      <w:pPr>
        <w:pStyle w:val="231"/>
        <w:spacing w:line="400" w:lineRule="exact"/>
        <w:jc w:val="both"/>
        <w:rPr>
          <w:rFonts w:hint="eastAsia" w:hAnsi="宋体" w:cs="宋体"/>
          <w:bCs/>
          <w:color w:val="auto"/>
          <w:sz w:val="21"/>
          <w:highlight w:val="none"/>
        </w:rPr>
      </w:pPr>
    </w:p>
    <w:p w14:paraId="178BF156">
      <w:pPr>
        <w:pStyle w:val="231"/>
        <w:spacing w:line="400" w:lineRule="exact"/>
        <w:jc w:val="both"/>
        <w:rPr>
          <w:rFonts w:hint="eastAsia" w:hAnsi="宋体" w:cs="宋体"/>
          <w:bCs/>
          <w:color w:val="auto"/>
          <w:sz w:val="21"/>
          <w:highlight w:val="none"/>
        </w:rPr>
      </w:pPr>
    </w:p>
    <w:p w14:paraId="07424A09">
      <w:pPr>
        <w:pStyle w:val="231"/>
        <w:spacing w:line="400" w:lineRule="exact"/>
        <w:jc w:val="both"/>
        <w:rPr>
          <w:rFonts w:hint="eastAsia" w:hAnsi="宋体" w:cs="宋体"/>
          <w:bCs/>
          <w:color w:val="auto"/>
          <w:sz w:val="21"/>
          <w:highlight w:val="none"/>
        </w:rPr>
      </w:pPr>
    </w:p>
    <w:p w14:paraId="1B5C16DF">
      <w:pPr>
        <w:pStyle w:val="231"/>
        <w:spacing w:line="400" w:lineRule="exact"/>
        <w:jc w:val="both"/>
        <w:rPr>
          <w:rFonts w:hint="eastAsia" w:hAnsi="宋体" w:cs="宋体"/>
          <w:bCs/>
          <w:color w:val="auto"/>
          <w:sz w:val="21"/>
          <w:highlight w:val="none"/>
        </w:rPr>
      </w:pPr>
    </w:p>
    <w:p w14:paraId="6CD035E0">
      <w:pPr>
        <w:pStyle w:val="231"/>
        <w:spacing w:line="400" w:lineRule="exact"/>
        <w:jc w:val="both"/>
        <w:rPr>
          <w:rFonts w:hint="eastAsia" w:hAnsi="宋体" w:cs="宋体"/>
          <w:bCs/>
          <w:color w:val="auto"/>
          <w:sz w:val="21"/>
          <w:highlight w:val="none"/>
        </w:rPr>
      </w:pPr>
    </w:p>
    <w:p w14:paraId="12B566D6">
      <w:pPr>
        <w:pStyle w:val="231"/>
        <w:spacing w:line="400" w:lineRule="exact"/>
        <w:jc w:val="both"/>
        <w:rPr>
          <w:rFonts w:hint="eastAsia" w:hAnsi="宋体" w:cs="宋体"/>
          <w:bCs/>
          <w:color w:val="auto"/>
          <w:sz w:val="21"/>
          <w:highlight w:val="none"/>
        </w:rPr>
      </w:pPr>
    </w:p>
    <w:p w14:paraId="2E742707">
      <w:pPr>
        <w:pStyle w:val="231"/>
        <w:spacing w:line="400" w:lineRule="exact"/>
        <w:jc w:val="both"/>
        <w:rPr>
          <w:rFonts w:hint="eastAsia" w:hAnsi="宋体" w:cs="宋体"/>
          <w:bCs/>
          <w:color w:val="auto"/>
          <w:sz w:val="21"/>
          <w:highlight w:val="none"/>
        </w:rPr>
      </w:pPr>
    </w:p>
    <w:p w14:paraId="39EF0D35">
      <w:pPr>
        <w:pStyle w:val="231"/>
        <w:spacing w:line="400" w:lineRule="exact"/>
        <w:jc w:val="both"/>
        <w:rPr>
          <w:rFonts w:hint="eastAsia" w:hAnsi="宋体" w:cs="宋体"/>
          <w:bCs/>
          <w:color w:val="auto"/>
          <w:sz w:val="21"/>
          <w:highlight w:val="none"/>
        </w:rPr>
      </w:pPr>
    </w:p>
    <w:p w14:paraId="7461993E">
      <w:pPr>
        <w:pStyle w:val="231"/>
        <w:spacing w:line="400" w:lineRule="exact"/>
        <w:jc w:val="both"/>
        <w:rPr>
          <w:rFonts w:hint="eastAsia" w:hAnsi="宋体" w:cs="宋体"/>
          <w:bCs/>
          <w:color w:val="auto"/>
          <w:sz w:val="21"/>
          <w:highlight w:val="none"/>
        </w:rPr>
      </w:pPr>
    </w:p>
    <w:p w14:paraId="790C4E99">
      <w:pPr>
        <w:pStyle w:val="231"/>
        <w:spacing w:line="400" w:lineRule="exact"/>
        <w:jc w:val="both"/>
        <w:rPr>
          <w:rFonts w:hint="eastAsia" w:hAnsi="宋体" w:cs="宋体"/>
          <w:bCs/>
          <w:color w:val="auto"/>
          <w:sz w:val="21"/>
          <w:highlight w:val="none"/>
        </w:rPr>
      </w:pPr>
    </w:p>
    <w:p w14:paraId="69CF8888">
      <w:pPr>
        <w:pStyle w:val="231"/>
        <w:spacing w:line="400" w:lineRule="exact"/>
        <w:jc w:val="both"/>
        <w:rPr>
          <w:rFonts w:hint="eastAsia" w:hAnsi="宋体" w:cs="宋体"/>
          <w:bCs/>
          <w:color w:val="auto"/>
          <w:sz w:val="21"/>
          <w:highlight w:val="none"/>
        </w:rPr>
      </w:pPr>
    </w:p>
    <w:p w14:paraId="47FE45F8">
      <w:pPr>
        <w:pStyle w:val="231"/>
        <w:spacing w:line="400" w:lineRule="exact"/>
        <w:jc w:val="both"/>
        <w:rPr>
          <w:rFonts w:hint="eastAsia" w:hAnsi="宋体" w:cs="宋体"/>
          <w:bCs/>
          <w:color w:val="auto"/>
          <w:sz w:val="21"/>
          <w:highlight w:val="none"/>
        </w:rPr>
      </w:pPr>
    </w:p>
    <w:p w14:paraId="6D06B1F3">
      <w:pPr>
        <w:pStyle w:val="231"/>
        <w:spacing w:line="400" w:lineRule="exact"/>
        <w:jc w:val="both"/>
        <w:rPr>
          <w:rFonts w:hint="eastAsia" w:hAnsi="宋体" w:cs="宋体"/>
          <w:bCs/>
          <w:color w:val="auto"/>
          <w:sz w:val="21"/>
          <w:highlight w:val="none"/>
        </w:rPr>
      </w:pPr>
    </w:p>
    <w:p w14:paraId="20BCD229">
      <w:pPr>
        <w:pStyle w:val="231"/>
        <w:spacing w:line="400" w:lineRule="exact"/>
        <w:jc w:val="both"/>
        <w:rPr>
          <w:rFonts w:hint="eastAsia" w:hAnsi="宋体" w:cs="宋体"/>
          <w:bCs/>
          <w:color w:val="auto"/>
          <w:sz w:val="21"/>
          <w:highlight w:val="none"/>
        </w:rPr>
      </w:pPr>
    </w:p>
    <w:p w14:paraId="4EB6D408">
      <w:pPr>
        <w:pStyle w:val="231"/>
        <w:spacing w:line="400" w:lineRule="exact"/>
        <w:jc w:val="both"/>
        <w:rPr>
          <w:rFonts w:hint="eastAsia" w:hAnsi="宋体" w:cs="宋体"/>
          <w:bCs/>
          <w:color w:val="auto"/>
          <w:sz w:val="21"/>
          <w:highlight w:val="none"/>
        </w:rPr>
      </w:pPr>
    </w:p>
    <w:p w14:paraId="267A9BD2">
      <w:pPr>
        <w:pStyle w:val="231"/>
        <w:spacing w:line="400" w:lineRule="exact"/>
        <w:jc w:val="both"/>
        <w:rPr>
          <w:rFonts w:hint="eastAsia" w:hAnsi="宋体" w:cs="宋体"/>
          <w:bCs/>
          <w:color w:val="auto"/>
          <w:sz w:val="21"/>
          <w:highlight w:val="none"/>
        </w:rPr>
      </w:pPr>
    </w:p>
    <w:p w14:paraId="35BA7177">
      <w:pPr>
        <w:pStyle w:val="231"/>
        <w:spacing w:line="400" w:lineRule="exact"/>
        <w:jc w:val="both"/>
        <w:rPr>
          <w:rFonts w:hint="eastAsia" w:hAnsi="宋体" w:cs="宋体"/>
          <w:bCs/>
          <w:color w:val="auto"/>
          <w:sz w:val="21"/>
          <w:highlight w:val="none"/>
        </w:rPr>
      </w:pPr>
    </w:p>
    <w:p w14:paraId="15C6B4BB">
      <w:pPr>
        <w:pStyle w:val="231"/>
        <w:spacing w:line="400" w:lineRule="exact"/>
        <w:jc w:val="both"/>
        <w:rPr>
          <w:rFonts w:hint="eastAsia" w:hAnsi="宋体" w:cs="宋体"/>
          <w:bCs/>
          <w:color w:val="auto"/>
          <w:sz w:val="21"/>
          <w:highlight w:val="none"/>
        </w:rPr>
      </w:pPr>
    </w:p>
    <w:p w14:paraId="52E4CA1D">
      <w:pPr>
        <w:pStyle w:val="231"/>
        <w:spacing w:line="400" w:lineRule="exact"/>
        <w:jc w:val="both"/>
        <w:rPr>
          <w:rFonts w:hint="eastAsia" w:hAnsi="宋体" w:cs="宋体"/>
          <w:bCs/>
          <w:color w:val="auto"/>
          <w:sz w:val="21"/>
          <w:highlight w:val="none"/>
        </w:rPr>
      </w:pPr>
    </w:p>
    <w:p w14:paraId="5C9A649F">
      <w:pPr>
        <w:pStyle w:val="231"/>
        <w:spacing w:line="400" w:lineRule="exact"/>
        <w:jc w:val="both"/>
        <w:rPr>
          <w:rFonts w:hint="eastAsia" w:hAnsi="宋体" w:cs="宋体"/>
          <w:bCs/>
          <w:color w:val="auto"/>
          <w:sz w:val="21"/>
          <w:highlight w:val="none"/>
        </w:rPr>
      </w:pPr>
    </w:p>
    <w:p w14:paraId="05D78947">
      <w:pPr>
        <w:pStyle w:val="231"/>
        <w:spacing w:line="400" w:lineRule="exact"/>
        <w:jc w:val="both"/>
        <w:rPr>
          <w:rFonts w:hint="eastAsia" w:hAnsi="宋体" w:cs="宋体"/>
          <w:bCs/>
          <w:color w:val="auto"/>
          <w:sz w:val="21"/>
          <w:highlight w:val="none"/>
        </w:rPr>
      </w:pPr>
    </w:p>
    <w:p w14:paraId="376B19DC">
      <w:pPr>
        <w:pStyle w:val="231"/>
        <w:spacing w:line="400" w:lineRule="exact"/>
        <w:jc w:val="both"/>
        <w:rPr>
          <w:rFonts w:hint="eastAsia" w:hAnsi="宋体" w:cs="宋体"/>
          <w:bCs/>
          <w:color w:val="auto"/>
          <w:sz w:val="21"/>
          <w:highlight w:val="none"/>
        </w:rPr>
      </w:pPr>
    </w:p>
    <w:p w14:paraId="5EE6A3C5">
      <w:pPr>
        <w:spacing w:line="340" w:lineRule="exact"/>
        <w:rPr>
          <w:rFonts w:hint="eastAsia" w:ascii="黑体" w:hAnsi="黑体" w:eastAsia="黑体" w:cs="黑体"/>
          <w:bCs/>
          <w:color w:val="auto"/>
          <w:sz w:val="32"/>
          <w:szCs w:val="32"/>
          <w:highlight w:val="none"/>
        </w:rPr>
      </w:pPr>
    </w:p>
    <w:p w14:paraId="4F71A2DC">
      <w:pPr>
        <w:spacing w:line="340" w:lineRule="exact"/>
        <w:rPr>
          <w:rFonts w:hint="eastAsia" w:ascii="宋体" w:hAnsi="宋体"/>
          <w:color w:val="auto"/>
          <w:sz w:val="20"/>
          <w:szCs w:val="21"/>
          <w:highlight w:val="none"/>
        </w:rPr>
      </w:pPr>
      <w:r>
        <w:rPr>
          <w:rFonts w:hint="eastAsia" w:ascii="黑体" w:hAnsi="黑体" w:eastAsia="黑体" w:cs="黑体"/>
          <w:bCs/>
          <w:color w:val="auto"/>
          <w:sz w:val="32"/>
          <w:szCs w:val="32"/>
          <w:highlight w:val="none"/>
        </w:rPr>
        <w:t>附件1：</w:t>
      </w:r>
    </w:p>
    <w:p w14:paraId="437F82B6">
      <w:pPr>
        <w:widowControl/>
        <w:shd w:val="clear" w:color="auto" w:fill="FFFFFF"/>
        <w:spacing w:line="480" w:lineRule="atLeast"/>
        <w:jc w:val="center"/>
        <w:rPr>
          <w:rFonts w:hint="eastAsia" w:ascii="仿宋" w:hAnsi="仿宋" w:eastAsia="仿宋" w:cs="宋体"/>
          <w:color w:val="auto"/>
          <w:sz w:val="32"/>
          <w:szCs w:val="32"/>
          <w:highlight w:val="none"/>
        </w:rPr>
      </w:pPr>
      <w:r>
        <w:rPr>
          <w:rFonts w:hint="eastAsia" w:ascii="宋体" w:hAnsi="宋体" w:cs="宋体"/>
          <w:b/>
          <w:bCs/>
          <w:color w:val="auto"/>
          <w:sz w:val="32"/>
          <w:szCs w:val="32"/>
          <w:highlight w:val="none"/>
        </w:rPr>
        <w:t>广西壮族自治区政府采购项目合同验收书（格式）</w:t>
      </w:r>
    </w:p>
    <w:p w14:paraId="708F07D8">
      <w:pPr>
        <w:widowControl/>
        <w:shd w:val="clear" w:color="auto" w:fill="FFFFFF"/>
        <w:spacing w:line="480" w:lineRule="atLeast"/>
        <w:jc w:val="center"/>
        <w:rPr>
          <w:rFonts w:hint="eastAsia" w:ascii="仿宋" w:hAnsi="仿宋" w:eastAsia="仿宋" w:cs="宋体"/>
          <w:color w:val="auto"/>
          <w:sz w:val="32"/>
          <w:szCs w:val="32"/>
          <w:highlight w:val="none"/>
        </w:rPr>
      </w:pPr>
    </w:p>
    <w:p w14:paraId="0E6B89EF">
      <w:pPr>
        <w:widowControl/>
        <w:shd w:val="clear" w:color="auto" w:fill="FFFFFF"/>
        <w:spacing w:line="320" w:lineRule="atLeast"/>
        <w:ind w:firstLine="480"/>
        <w:jc w:val="left"/>
        <w:rPr>
          <w:rFonts w:hint="eastAsia" w:ascii="仿宋" w:hAnsi="仿宋" w:eastAsia="仿宋" w:cs="宋体"/>
          <w:color w:val="auto"/>
          <w:szCs w:val="21"/>
          <w:highlight w:val="none"/>
        </w:rPr>
      </w:pPr>
      <w:r>
        <w:rPr>
          <w:rFonts w:hint="eastAsia" w:ascii="仿宋" w:hAnsi="仿宋" w:eastAsia="仿宋" w:cs="宋体"/>
          <w:color w:val="auto"/>
          <w:szCs w:val="21"/>
          <w:highlight w:val="none"/>
        </w:rPr>
        <w:t>根据政府采购项目（</w:t>
      </w:r>
      <w:r>
        <w:rPr>
          <w:rFonts w:hint="eastAsia" w:ascii="仿宋" w:hAnsi="仿宋" w:eastAsia="仿宋" w:cs="宋体"/>
          <w:color w:val="auto"/>
          <w:szCs w:val="21"/>
          <w:highlight w:val="none"/>
          <w:u w:val="single"/>
        </w:rPr>
        <w:t xml:space="preserve">采购合同编号： </w:t>
      </w:r>
      <w:r>
        <w:rPr>
          <w:rFonts w:hint="eastAsia" w:ascii="仿宋" w:hAnsi="仿宋" w:eastAsia="仿宋" w:cs="宋体"/>
          <w:color w:val="auto"/>
          <w:szCs w:val="21"/>
          <w:highlight w:val="none"/>
        </w:rPr>
        <w:t>）的约定，我单位对（</w:t>
      </w:r>
      <w:r>
        <w:rPr>
          <w:rFonts w:hint="eastAsia" w:ascii="仿宋" w:hAnsi="仿宋" w:eastAsia="仿宋" w:cs="宋体"/>
          <w:color w:val="auto"/>
          <w:szCs w:val="21"/>
          <w:highlight w:val="none"/>
          <w:u w:val="single"/>
        </w:rPr>
        <w:t xml:space="preserve"> 项目名称 </w:t>
      </w:r>
      <w:r>
        <w:rPr>
          <w:rFonts w:hint="eastAsia" w:ascii="仿宋" w:hAnsi="仿宋" w:eastAsia="仿宋" w:cs="宋体"/>
          <w:color w:val="auto"/>
          <w:szCs w:val="21"/>
          <w:highlight w:val="none"/>
        </w:rPr>
        <w:t>） 政府采购项目</w:t>
      </w:r>
      <w:r>
        <w:rPr>
          <w:rFonts w:hint="eastAsia" w:ascii="仿宋" w:hAnsi="仿宋" w:eastAsia="仿宋" w:cs="宋体"/>
          <w:color w:val="auto"/>
          <w:szCs w:val="21"/>
          <w:highlight w:val="none"/>
          <w:lang w:eastAsia="zh-CN"/>
        </w:rPr>
        <w:t>中标</w:t>
      </w:r>
      <w:r>
        <w:rPr>
          <w:rFonts w:hint="eastAsia" w:ascii="仿宋" w:hAnsi="仿宋" w:eastAsia="仿宋" w:cs="宋体"/>
          <w:color w:val="auto"/>
          <w:szCs w:val="21"/>
          <w:highlight w:val="none"/>
        </w:rPr>
        <w:t>供应商（</w:t>
      </w:r>
      <w:r>
        <w:rPr>
          <w:rFonts w:hint="eastAsia" w:ascii="仿宋" w:hAnsi="仿宋" w:eastAsia="仿宋" w:cs="宋体"/>
          <w:color w:val="auto"/>
          <w:szCs w:val="21"/>
          <w:highlight w:val="none"/>
          <w:u w:val="single"/>
        </w:rPr>
        <w:t xml:space="preserve"> 公司名称 </w:t>
      </w:r>
      <w:r>
        <w:rPr>
          <w:rFonts w:hint="eastAsia" w:ascii="仿宋" w:hAnsi="仿宋" w:eastAsia="仿宋" w:cs="宋体"/>
          <w:color w:val="auto"/>
          <w:szCs w:val="21"/>
          <w:highlight w:val="none"/>
        </w:rPr>
        <w:t>） 提供的货物（或者工程、服务）进行了验收，验收情况如下：</w:t>
      </w:r>
    </w:p>
    <w:tbl>
      <w:tblPr>
        <w:tblStyle w:val="30"/>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1191"/>
        <w:gridCol w:w="1428"/>
      </w:tblGrid>
      <w:tr w14:paraId="027D83E7">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3B369DEF">
            <w:pPr>
              <w:widowControl/>
              <w:spacing w:before="100" w:beforeAutospacing="1" w:after="100" w:afterAutospacing="1" w:line="320" w:lineRule="atLeast"/>
              <w:ind w:firstLine="5"/>
              <w:jc w:val="center"/>
              <w:rPr>
                <w:rFonts w:ascii="Verdana" w:hAnsi="Verdana" w:cs="宋体"/>
                <w:color w:val="auto"/>
                <w:szCs w:val="21"/>
                <w:highlight w:val="none"/>
              </w:rPr>
            </w:pPr>
            <w:r>
              <w:rPr>
                <w:rFonts w:ascii="Verdana" w:hAnsi="Verdana" w:cs="宋体"/>
                <w:color w:val="auto"/>
                <w:szCs w:val="21"/>
                <w:highlight w:val="none"/>
              </w:rPr>
              <w:t>验收方式：</w:t>
            </w:r>
          </w:p>
        </w:tc>
        <w:tc>
          <w:tcPr>
            <w:tcW w:w="5699" w:type="dxa"/>
            <w:gridSpan w:val="6"/>
            <w:tcBorders>
              <w:top w:val="single" w:color="auto" w:sz="8" w:space="0"/>
              <w:left w:val="nil"/>
              <w:bottom w:val="single" w:color="auto" w:sz="8" w:space="0"/>
              <w:right w:val="single" w:color="auto" w:sz="8" w:space="0"/>
            </w:tcBorders>
            <w:noWrap w:val="0"/>
            <w:vAlign w:val="center"/>
          </w:tcPr>
          <w:p w14:paraId="602F0339">
            <w:pPr>
              <w:widowControl/>
              <w:spacing w:before="100" w:beforeAutospacing="1" w:after="100" w:afterAutospacing="1" w:line="320" w:lineRule="atLeast"/>
              <w:jc w:val="center"/>
              <w:rPr>
                <w:rFonts w:ascii="Verdana" w:hAnsi="Verdana" w:cs="宋体"/>
                <w:color w:val="auto"/>
                <w:szCs w:val="21"/>
                <w:highlight w:val="none"/>
              </w:rPr>
            </w:pPr>
            <w:r>
              <w:rPr>
                <w:rFonts w:ascii="Verdana" w:hAnsi="Verdana" w:cs="宋体"/>
                <w:color w:val="auto"/>
                <w:szCs w:val="21"/>
                <w:highlight w:val="none"/>
              </w:rPr>
              <w:t>□自行验收 □委托验收</w:t>
            </w:r>
          </w:p>
        </w:tc>
      </w:tr>
      <w:tr w14:paraId="60AAE737">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385DAB3C">
            <w:pPr>
              <w:widowControl/>
              <w:spacing w:before="100" w:beforeAutospacing="1" w:after="100" w:afterAutospacing="1" w:line="320" w:lineRule="atLeast"/>
              <w:ind w:firstLine="2"/>
              <w:jc w:val="center"/>
              <w:rPr>
                <w:rFonts w:ascii="Verdana" w:hAnsi="Verdana" w:cs="宋体"/>
                <w:color w:val="auto"/>
                <w:szCs w:val="21"/>
                <w:highlight w:val="none"/>
              </w:rPr>
            </w:pPr>
            <w:r>
              <w:rPr>
                <w:rFonts w:ascii="Verdana" w:hAnsi="Verdana" w:cs="宋体"/>
                <w:color w:val="auto"/>
                <w:szCs w:val="21"/>
                <w:highlight w:val="none"/>
              </w:rPr>
              <w:t>序号</w:t>
            </w:r>
          </w:p>
        </w:tc>
        <w:tc>
          <w:tcPr>
            <w:tcW w:w="2448" w:type="dxa"/>
            <w:gridSpan w:val="2"/>
            <w:tcBorders>
              <w:top w:val="nil"/>
              <w:left w:val="nil"/>
              <w:bottom w:val="single" w:color="auto" w:sz="8" w:space="0"/>
              <w:right w:val="single" w:color="auto" w:sz="8" w:space="0"/>
            </w:tcBorders>
            <w:noWrap w:val="0"/>
            <w:vAlign w:val="center"/>
          </w:tcPr>
          <w:p w14:paraId="4000F9E8">
            <w:pPr>
              <w:widowControl/>
              <w:spacing w:before="100" w:beforeAutospacing="1" w:after="100" w:afterAutospacing="1" w:line="320" w:lineRule="atLeast"/>
              <w:ind w:firstLine="2"/>
              <w:jc w:val="center"/>
              <w:rPr>
                <w:rFonts w:ascii="Verdana" w:hAnsi="Verdana" w:cs="宋体"/>
                <w:color w:val="auto"/>
                <w:szCs w:val="21"/>
                <w:highlight w:val="none"/>
              </w:rPr>
            </w:pPr>
            <w:r>
              <w:rPr>
                <w:rFonts w:ascii="Verdana" w:hAnsi="Verdana" w:cs="宋体"/>
                <w:color w:val="auto"/>
                <w:szCs w:val="21"/>
                <w:highlight w:val="none"/>
              </w:rPr>
              <w:t>名称</w:t>
            </w:r>
          </w:p>
        </w:tc>
        <w:tc>
          <w:tcPr>
            <w:tcW w:w="2902" w:type="dxa"/>
            <w:gridSpan w:val="3"/>
            <w:tcBorders>
              <w:top w:val="nil"/>
              <w:left w:val="nil"/>
              <w:bottom w:val="single" w:color="auto" w:sz="8" w:space="0"/>
              <w:right w:val="single" w:color="auto" w:sz="8" w:space="0"/>
            </w:tcBorders>
            <w:noWrap w:val="0"/>
            <w:vAlign w:val="center"/>
          </w:tcPr>
          <w:p w14:paraId="4BF2231B">
            <w:pPr>
              <w:widowControl/>
              <w:spacing w:before="100" w:beforeAutospacing="1" w:after="100" w:afterAutospacing="1" w:line="320" w:lineRule="atLeast"/>
              <w:ind w:firstLine="2"/>
              <w:jc w:val="center"/>
              <w:rPr>
                <w:rFonts w:ascii="Verdana" w:hAnsi="Verdana" w:cs="宋体"/>
                <w:color w:val="auto"/>
                <w:szCs w:val="21"/>
                <w:highlight w:val="none"/>
              </w:rPr>
            </w:pPr>
            <w:r>
              <w:rPr>
                <w:rFonts w:ascii="Verdana" w:hAnsi="Verdana" w:cs="宋体"/>
                <w:color w:val="auto"/>
                <w:szCs w:val="21"/>
                <w:highlight w:val="none"/>
              </w:rPr>
              <w:t>货物型号规格、标准及配置等（或者服务内容、标准）</w:t>
            </w:r>
          </w:p>
        </w:tc>
        <w:tc>
          <w:tcPr>
            <w:tcW w:w="1369" w:type="dxa"/>
            <w:gridSpan w:val="2"/>
            <w:tcBorders>
              <w:top w:val="nil"/>
              <w:left w:val="nil"/>
              <w:bottom w:val="single" w:color="auto" w:sz="8" w:space="0"/>
              <w:right w:val="single" w:color="auto" w:sz="8" w:space="0"/>
            </w:tcBorders>
            <w:noWrap w:val="0"/>
            <w:vAlign w:val="center"/>
          </w:tcPr>
          <w:p w14:paraId="038D2362">
            <w:pPr>
              <w:widowControl/>
              <w:spacing w:before="100" w:beforeAutospacing="1" w:after="100" w:afterAutospacing="1" w:line="320" w:lineRule="atLeast"/>
              <w:jc w:val="center"/>
              <w:rPr>
                <w:rFonts w:ascii="Verdana" w:hAnsi="Verdana" w:cs="宋体"/>
                <w:color w:val="auto"/>
                <w:szCs w:val="21"/>
                <w:highlight w:val="none"/>
              </w:rPr>
            </w:pPr>
            <w:r>
              <w:rPr>
                <w:rFonts w:ascii="Verdana" w:hAnsi="Verdana" w:cs="宋体"/>
                <w:color w:val="auto"/>
                <w:szCs w:val="21"/>
                <w:highlight w:val="none"/>
              </w:rPr>
              <w:t>数量</w:t>
            </w:r>
          </w:p>
        </w:tc>
        <w:tc>
          <w:tcPr>
            <w:tcW w:w="1428" w:type="dxa"/>
            <w:tcBorders>
              <w:top w:val="nil"/>
              <w:left w:val="nil"/>
              <w:bottom w:val="single" w:color="auto" w:sz="8" w:space="0"/>
              <w:right w:val="single" w:color="auto" w:sz="8" w:space="0"/>
            </w:tcBorders>
            <w:noWrap w:val="0"/>
            <w:vAlign w:val="center"/>
          </w:tcPr>
          <w:p w14:paraId="24DADAD9">
            <w:pPr>
              <w:widowControl/>
              <w:spacing w:before="100" w:beforeAutospacing="1" w:after="100" w:afterAutospacing="1" w:line="320" w:lineRule="atLeast"/>
              <w:ind w:firstLine="2"/>
              <w:jc w:val="center"/>
              <w:rPr>
                <w:rFonts w:ascii="Verdana" w:hAnsi="Verdana" w:cs="宋体"/>
                <w:color w:val="auto"/>
                <w:szCs w:val="21"/>
                <w:highlight w:val="none"/>
              </w:rPr>
            </w:pPr>
            <w:r>
              <w:rPr>
                <w:rFonts w:ascii="Verdana" w:hAnsi="Verdana" w:cs="宋体"/>
                <w:color w:val="auto"/>
                <w:szCs w:val="21"/>
                <w:highlight w:val="none"/>
              </w:rPr>
              <w:t>金额</w:t>
            </w:r>
          </w:p>
        </w:tc>
      </w:tr>
      <w:tr w14:paraId="7421DE2C">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5E216EF7">
            <w:pPr>
              <w:widowControl/>
              <w:spacing w:before="100" w:beforeAutospacing="1" w:after="100" w:afterAutospacing="1" w:line="240" w:lineRule="atLeast"/>
              <w:jc w:val="center"/>
              <w:rPr>
                <w:rFonts w:ascii="Verdana" w:hAnsi="Verdana" w:cs="宋体"/>
                <w:color w:val="auto"/>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1A1F1BC3">
            <w:pPr>
              <w:widowControl/>
              <w:spacing w:before="100" w:beforeAutospacing="1" w:after="100" w:afterAutospacing="1" w:line="240" w:lineRule="atLeast"/>
              <w:jc w:val="center"/>
              <w:rPr>
                <w:rFonts w:ascii="Verdana" w:hAnsi="Verdana" w:cs="宋体"/>
                <w:color w:val="auto"/>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0CCA6F60">
            <w:pPr>
              <w:widowControl/>
              <w:spacing w:before="100" w:beforeAutospacing="1" w:after="100" w:afterAutospacing="1" w:line="240" w:lineRule="atLeast"/>
              <w:jc w:val="center"/>
              <w:rPr>
                <w:rFonts w:ascii="Verdana" w:hAnsi="Verdana" w:cs="宋体"/>
                <w:color w:val="auto"/>
                <w:szCs w:val="21"/>
                <w:highlight w:val="none"/>
              </w:rPr>
            </w:pPr>
          </w:p>
        </w:tc>
        <w:tc>
          <w:tcPr>
            <w:tcW w:w="1369" w:type="dxa"/>
            <w:gridSpan w:val="2"/>
            <w:tcBorders>
              <w:top w:val="nil"/>
              <w:left w:val="nil"/>
              <w:bottom w:val="single" w:color="auto" w:sz="8" w:space="0"/>
              <w:right w:val="single" w:color="auto" w:sz="8" w:space="0"/>
            </w:tcBorders>
            <w:noWrap w:val="0"/>
            <w:vAlign w:val="center"/>
          </w:tcPr>
          <w:p w14:paraId="6B69F976">
            <w:pPr>
              <w:widowControl/>
              <w:spacing w:before="100" w:beforeAutospacing="1" w:after="100" w:afterAutospacing="1" w:line="240" w:lineRule="atLeast"/>
              <w:jc w:val="center"/>
              <w:rPr>
                <w:rFonts w:ascii="Verdana" w:hAnsi="Verdana" w:cs="宋体"/>
                <w:color w:val="auto"/>
                <w:szCs w:val="21"/>
                <w:highlight w:val="none"/>
              </w:rPr>
            </w:pPr>
          </w:p>
        </w:tc>
        <w:tc>
          <w:tcPr>
            <w:tcW w:w="1428" w:type="dxa"/>
            <w:tcBorders>
              <w:top w:val="nil"/>
              <w:left w:val="nil"/>
              <w:bottom w:val="single" w:color="auto" w:sz="8" w:space="0"/>
              <w:right w:val="single" w:color="auto" w:sz="8" w:space="0"/>
            </w:tcBorders>
            <w:noWrap w:val="0"/>
            <w:vAlign w:val="center"/>
          </w:tcPr>
          <w:p w14:paraId="6A022B6F">
            <w:pPr>
              <w:widowControl/>
              <w:spacing w:before="100" w:beforeAutospacing="1" w:after="100" w:afterAutospacing="1" w:line="240" w:lineRule="atLeast"/>
              <w:jc w:val="center"/>
              <w:rPr>
                <w:rFonts w:ascii="Verdana" w:hAnsi="Verdana" w:cs="宋体"/>
                <w:color w:val="auto"/>
                <w:szCs w:val="21"/>
                <w:highlight w:val="none"/>
              </w:rPr>
            </w:pPr>
          </w:p>
        </w:tc>
      </w:tr>
      <w:tr w14:paraId="1AD93D09">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15F1669C">
            <w:pPr>
              <w:widowControl/>
              <w:spacing w:before="100" w:beforeAutospacing="1" w:after="100" w:afterAutospacing="1" w:line="240" w:lineRule="atLeast"/>
              <w:jc w:val="center"/>
              <w:rPr>
                <w:rFonts w:ascii="Verdana" w:hAnsi="Verdana" w:cs="宋体"/>
                <w:color w:val="auto"/>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4AB6B209">
            <w:pPr>
              <w:widowControl/>
              <w:spacing w:before="100" w:beforeAutospacing="1" w:after="100" w:afterAutospacing="1" w:line="240" w:lineRule="atLeast"/>
              <w:jc w:val="center"/>
              <w:rPr>
                <w:rFonts w:ascii="Verdana" w:hAnsi="Verdana" w:cs="宋体"/>
                <w:color w:val="auto"/>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35FC284C">
            <w:pPr>
              <w:widowControl/>
              <w:spacing w:before="100" w:beforeAutospacing="1" w:after="100" w:afterAutospacing="1" w:line="240" w:lineRule="atLeast"/>
              <w:jc w:val="center"/>
              <w:rPr>
                <w:rFonts w:ascii="Verdana" w:hAnsi="Verdana" w:cs="宋体"/>
                <w:color w:val="auto"/>
                <w:szCs w:val="21"/>
                <w:highlight w:val="none"/>
              </w:rPr>
            </w:pPr>
          </w:p>
        </w:tc>
        <w:tc>
          <w:tcPr>
            <w:tcW w:w="1369" w:type="dxa"/>
            <w:gridSpan w:val="2"/>
            <w:tcBorders>
              <w:top w:val="nil"/>
              <w:left w:val="nil"/>
              <w:bottom w:val="single" w:color="auto" w:sz="8" w:space="0"/>
              <w:right w:val="single" w:color="auto" w:sz="8" w:space="0"/>
            </w:tcBorders>
            <w:noWrap w:val="0"/>
            <w:vAlign w:val="center"/>
          </w:tcPr>
          <w:p w14:paraId="0779CC4C">
            <w:pPr>
              <w:widowControl/>
              <w:spacing w:before="100" w:beforeAutospacing="1" w:after="100" w:afterAutospacing="1" w:line="240" w:lineRule="atLeast"/>
              <w:jc w:val="center"/>
              <w:rPr>
                <w:rFonts w:ascii="Verdana" w:hAnsi="Verdana" w:cs="宋体"/>
                <w:color w:val="auto"/>
                <w:szCs w:val="21"/>
                <w:highlight w:val="none"/>
              </w:rPr>
            </w:pPr>
          </w:p>
        </w:tc>
        <w:tc>
          <w:tcPr>
            <w:tcW w:w="1428" w:type="dxa"/>
            <w:tcBorders>
              <w:top w:val="nil"/>
              <w:left w:val="nil"/>
              <w:bottom w:val="single" w:color="auto" w:sz="8" w:space="0"/>
              <w:right w:val="single" w:color="auto" w:sz="8" w:space="0"/>
            </w:tcBorders>
            <w:noWrap w:val="0"/>
            <w:vAlign w:val="center"/>
          </w:tcPr>
          <w:p w14:paraId="232B4189">
            <w:pPr>
              <w:widowControl/>
              <w:spacing w:before="100" w:beforeAutospacing="1" w:after="100" w:afterAutospacing="1" w:line="240" w:lineRule="atLeast"/>
              <w:jc w:val="center"/>
              <w:rPr>
                <w:rFonts w:ascii="Verdana" w:hAnsi="Verdana" w:cs="宋体"/>
                <w:color w:val="auto"/>
                <w:szCs w:val="21"/>
                <w:highlight w:val="none"/>
              </w:rPr>
            </w:pPr>
          </w:p>
        </w:tc>
      </w:tr>
      <w:tr w14:paraId="521F834D">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7FAD2AFF">
            <w:pPr>
              <w:widowControl/>
              <w:spacing w:before="100" w:beforeAutospacing="1" w:after="100" w:afterAutospacing="1" w:line="240" w:lineRule="atLeast"/>
              <w:jc w:val="center"/>
              <w:rPr>
                <w:rFonts w:ascii="Verdana" w:hAnsi="Verdana" w:cs="宋体"/>
                <w:color w:val="auto"/>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69F812B6">
            <w:pPr>
              <w:widowControl/>
              <w:spacing w:before="100" w:beforeAutospacing="1" w:after="100" w:afterAutospacing="1" w:line="240" w:lineRule="atLeast"/>
              <w:jc w:val="center"/>
              <w:rPr>
                <w:rFonts w:ascii="Verdana" w:hAnsi="Verdana" w:cs="宋体"/>
                <w:color w:val="auto"/>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3031BDD1">
            <w:pPr>
              <w:widowControl/>
              <w:spacing w:before="100" w:beforeAutospacing="1" w:after="100" w:afterAutospacing="1" w:line="240" w:lineRule="atLeast"/>
              <w:jc w:val="center"/>
              <w:rPr>
                <w:rFonts w:ascii="Verdana" w:hAnsi="Verdana" w:cs="宋体"/>
                <w:color w:val="auto"/>
                <w:szCs w:val="21"/>
                <w:highlight w:val="none"/>
              </w:rPr>
            </w:pPr>
          </w:p>
        </w:tc>
        <w:tc>
          <w:tcPr>
            <w:tcW w:w="1369" w:type="dxa"/>
            <w:gridSpan w:val="2"/>
            <w:tcBorders>
              <w:top w:val="nil"/>
              <w:left w:val="nil"/>
              <w:bottom w:val="single" w:color="auto" w:sz="8" w:space="0"/>
              <w:right w:val="single" w:color="auto" w:sz="8" w:space="0"/>
            </w:tcBorders>
            <w:noWrap w:val="0"/>
            <w:vAlign w:val="center"/>
          </w:tcPr>
          <w:p w14:paraId="370A8DDF">
            <w:pPr>
              <w:widowControl/>
              <w:spacing w:before="100" w:beforeAutospacing="1" w:after="100" w:afterAutospacing="1" w:line="240" w:lineRule="atLeast"/>
              <w:jc w:val="center"/>
              <w:rPr>
                <w:rFonts w:ascii="Verdana" w:hAnsi="Verdana" w:cs="宋体"/>
                <w:color w:val="auto"/>
                <w:szCs w:val="21"/>
                <w:highlight w:val="none"/>
              </w:rPr>
            </w:pPr>
          </w:p>
        </w:tc>
        <w:tc>
          <w:tcPr>
            <w:tcW w:w="1428" w:type="dxa"/>
            <w:tcBorders>
              <w:top w:val="nil"/>
              <w:left w:val="nil"/>
              <w:bottom w:val="single" w:color="auto" w:sz="8" w:space="0"/>
              <w:right w:val="single" w:color="auto" w:sz="8" w:space="0"/>
            </w:tcBorders>
            <w:noWrap w:val="0"/>
            <w:vAlign w:val="center"/>
          </w:tcPr>
          <w:p w14:paraId="31D53F95">
            <w:pPr>
              <w:widowControl/>
              <w:spacing w:before="100" w:beforeAutospacing="1" w:after="100" w:afterAutospacing="1" w:line="240" w:lineRule="atLeast"/>
              <w:jc w:val="center"/>
              <w:rPr>
                <w:rFonts w:ascii="Verdana" w:hAnsi="Verdana" w:cs="宋体"/>
                <w:color w:val="auto"/>
                <w:szCs w:val="21"/>
                <w:highlight w:val="none"/>
              </w:rPr>
            </w:pPr>
          </w:p>
        </w:tc>
      </w:tr>
      <w:tr w14:paraId="4D78FF84">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3C15BA07">
            <w:pPr>
              <w:widowControl/>
              <w:spacing w:before="100" w:beforeAutospacing="1" w:after="100" w:afterAutospacing="1" w:line="320" w:lineRule="atLeast"/>
              <w:ind w:firstLine="5"/>
              <w:jc w:val="center"/>
              <w:rPr>
                <w:rFonts w:ascii="Verdana" w:hAnsi="Verdana" w:cs="宋体"/>
                <w:color w:val="auto"/>
                <w:szCs w:val="21"/>
                <w:highlight w:val="none"/>
              </w:rPr>
            </w:pPr>
            <w:r>
              <w:rPr>
                <w:rFonts w:ascii="Verdana" w:hAnsi="Verdana" w:cs="宋体"/>
                <w:color w:val="auto"/>
                <w:szCs w:val="21"/>
                <w:highlight w:val="none"/>
              </w:rPr>
              <w:t>合 计</w:t>
            </w:r>
          </w:p>
        </w:tc>
        <w:tc>
          <w:tcPr>
            <w:tcW w:w="1369" w:type="dxa"/>
            <w:gridSpan w:val="2"/>
            <w:tcBorders>
              <w:top w:val="nil"/>
              <w:left w:val="nil"/>
              <w:bottom w:val="single" w:color="auto" w:sz="8" w:space="0"/>
              <w:right w:val="single" w:color="auto" w:sz="8" w:space="0"/>
            </w:tcBorders>
            <w:noWrap w:val="0"/>
            <w:vAlign w:val="center"/>
          </w:tcPr>
          <w:p w14:paraId="7C6029DD">
            <w:pPr>
              <w:widowControl/>
              <w:spacing w:before="100" w:beforeAutospacing="1" w:after="100" w:afterAutospacing="1" w:line="240" w:lineRule="atLeast"/>
              <w:jc w:val="center"/>
              <w:rPr>
                <w:rFonts w:ascii="Verdana" w:hAnsi="Verdana" w:cs="宋体"/>
                <w:color w:val="auto"/>
                <w:szCs w:val="21"/>
                <w:highlight w:val="none"/>
              </w:rPr>
            </w:pPr>
          </w:p>
        </w:tc>
        <w:tc>
          <w:tcPr>
            <w:tcW w:w="1428" w:type="dxa"/>
            <w:tcBorders>
              <w:top w:val="nil"/>
              <w:left w:val="nil"/>
              <w:bottom w:val="single" w:color="auto" w:sz="8" w:space="0"/>
              <w:right w:val="single" w:color="auto" w:sz="8" w:space="0"/>
            </w:tcBorders>
            <w:noWrap w:val="0"/>
            <w:vAlign w:val="center"/>
          </w:tcPr>
          <w:p w14:paraId="5CD07C44">
            <w:pPr>
              <w:widowControl/>
              <w:spacing w:before="100" w:beforeAutospacing="1" w:after="100" w:afterAutospacing="1" w:line="240" w:lineRule="atLeast"/>
              <w:jc w:val="center"/>
              <w:rPr>
                <w:rFonts w:ascii="Verdana" w:hAnsi="Verdana" w:cs="宋体"/>
                <w:color w:val="auto"/>
                <w:szCs w:val="21"/>
                <w:highlight w:val="none"/>
              </w:rPr>
            </w:pPr>
          </w:p>
        </w:tc>
      </w:tr>
      <w:tr w14:paraId="3FDC1055">
        <w:tblPrEx>
          <w:tblCellMar>
            <w:top w:w="0" w:type="dxa"/>
            <w:left w:w="0" w:type="dxa"/>
            <w:bottom w:w="0" w:type="dxa"/>
            <w:right w:w="0" w:type="dxa"/>
          </w:tblCellMar>
        </w:tblPrEx>
        <w:trPr>
          <w:trHeight w:val="641" w:hRule="atLeast"/>
          <w:jc w:val="center"/>
        </w:trPr>
        <w:tc>
          <w:tcPr>
            <w:tcW w:w="8951" w:type="dxa"/>
            <w:gridSpan w:val="9"/>
            <w:tcBorders>
              <w:top w:val="nil"/>
              <w:left w:val="single" w:color="auto" w:sz="8" w:space="0"/>
              <w:bottom w:val="single" w:color="auto" w:sz="8" w:space="0"/>
              <w:right w:val="single" w:color="auto" w:sz="8" w:space="0"/>
            </w:tcBorders>
            <w:noWrap w:val="0"/>
            <w:vAlign w:val="center"/>
          </w:tcPr>
          <w:p w14:paraId="21DD04D7">
            <w:pPr>
              <w:widowControl/>
              <w:spacing w:before="100" w:beforeAutospacing="1" w:after="100" w:afterAutospacing="1" w:line="320" w:lineRule="atLeast"/>
              <w:ind w:firstLine="210"/>
              <w:jc w:val="left"/>
              <w:rPr>
                <w:rFonts w:ascii="Verdana" w:hAnsi="Verdana" w:cs="宋体"/>
                <w:color w:val="auto"/>
                <w:szCs w:val="21"/>
                <w:highlight w:val="none"/>
              </w:rPr>
            </w:pPr>
            <w:r>
              <w:rPr>
                <w:rFonts w:ascii="Verdana" w:hAnsi="Verdana" w:cs="宋体"/>
                <w:color w:val="auto"/>
                <w:szCs w:val="21"/>
                <w:highlight w:val="none"/>
              </w:rPr>
              <w:t xml:space="preserve">合计大写金额： </w:t>
            </w:r>
            <w:r>
              <w:rPr>
                <w:rFonts w:hint="eastAsia" w:ascii="Verdana" w:hAnsi="Verdana" w:cs="宋体"/>
                <w:color w:val="auto"/>
                <w:szCs w:val="21"/>
                <w:highlight w:val="none"/>
              </w:rPr>
              <w:t xml:space="preserve"> </w:t>
            </w:r>
            <w:r>
              <w:rPr>
                <w:rFonts w:ascii="Verdana" w:hAnsi="Verdana" w:cs="宋体"/>
                <w:color w:val="auto"/>
                <w:szCs w:val="21"/>
                <w:highlight w:val="none"/>
              </w:rPr>
              <w:t xml:space="preserve">仟 </w:t>
            </w:r>
            <w:r>
              <w:rPr>
                <w:rFonts w:hint="eastAsia" w:ascii="Verdana" w:hAnsi="Verdana" w:cs="宋体"/>
                <w:color w:val="auto"/>
                <w:szCs w:val="21"/>
                <w:highlight w:val="none"/>
              </w:rPr>
              <w:t xml:space="preserve"> </w:t>
            </w:r>
            <w:r>
              <w:rPr>
                <w:rFonts w:ascii="Verdana" w:hAnsi="Verdana" w:cs="宋体"/>
                <w:color w:val="auto"/>
                <w:szCs w:val="21"/>
                <w:highlight w:val="none"/>
              </w:rPr>
              <w:t xml:space="preserve">佰 </w:t>
            </w:r>
            <w:r>
              <w:rPr>
                <w:rFonts w:hint="eastAsia" w:ascii="Verdana" w:hAnsi="Verdana" w:cs="宋体"/>
                <w:color w:val="auto"/>
                <w:szCs w:val="21"/>
                <w:highlight w:val="none"/>
              </w:rPr>
              <w:t xml:space="preserve"> </w:t>
            </w:r>
            <w:r>
              <w:rPr>
                <w:rFonts w:ascii="Verdana" w:hAnsi="Verdana" w:cs="宋体"/>
                <w:color w:val="auto"/>
                <w:szCs w:val="21"/>
                <w:highlight w:val="none"/>
              </w:rPr>
              <w:t xml:space="preserve">拾 </w:t>
            </w:r>
            <w:r>
              <w:rPr>
                <w:rFonts w:hint="eastAsia" w:ascii="Verdana" w:hAnsi="Verdana" w:cs="宋体"/>
                <w:color w:val="auto"/>
                <w:szCs w:val="21"/>
                <w:highlight w:val="none"/>
              </w:rPr>
              <w:t xml:space="preserve"> </w:t>
            </w:r>
            <w:r>
              <w:rPr>
                <w:rFonts w:ascii="Verdana" w:hAnsi="Verdana" w:cs="宋体"/>
                <w:color w:val="auto"/>
                <w:szCs w:val="21"/>
                <w:highlight w:val="none"/>
              </w:rPr>
              <w:t xml:space="preserve">万 </w:t>
            </w:r>
            <w:r>
              <w:rPr>
                <w:rFonts w:hint="eastAsia" w:ascii="Verdana" w:hAnsi="Verdana" w:cs="宋体"/>
                <w:color w:val="auto"/>
                <w:szCs w:val="21"/>
                <w:highlight w:val="none"/>
              </w:rPr>
              <w:t xml:space="preserve"> </w:t>
            </w:r>
            <w:r>
              <w:rPr>
                <w:rFonts w:ascii="Verdana" w:hAnsi="Verdana" w:cs="宋体"/>
                <w:color w:val="auto"/>
                <w:szCs w:val="21"/>
                <w:highlight w:val="none"/>
              </w:rPr>
              <w:t xml:space="preserve">仟 </w:t>
            </w:r>
            <w:r>
              <w:rPr>
                <w:rFonts w:hint="eastAsia" w:ascii="Verdana" w:hAnsi="Verdana" w:cs="宋体"/>
                <w:color w:val="auto"/>
                <w:szCs w:val="21"/>
                <w:highlight w:val="none"/>
              </w:rPr>
              <w:t xml:space="preserve"> </w:t>
            </w:r>
            <w:r>
              <w:rPr>
                <w:rFonts w:ascii="Verdana" w:hAnsi="Verdana" w:cs="宋体"/>
                <w:color w:val="auto"/>
                <w:szCs w:val="21"/>
                <w:highlight w:val="none"/>
              </w:rPr>
              <w:t xml:space="preserve">佰 </w:t>
            </w:r>
            <w:r>
              <w:rPr>
                <w:rFonts w:hint="eastAsia" w:ascii="Verdana" w:hAnsi="Verdana" w:cs="宋体"/>
                <w:color w:val="auto"/>
                <w:szCs w:val="21"/>
                <w:highlight w:val="none"/>
              </w:rPr>
              <w:t xml:space="preserve"> </w:t>
            </w:r>
            <w:r>
              <w:rPr>
                <w:rFonts w:ascii="Verdana" w:hAnsi="Verdana" w:cs="宋体"/>
                <w:color w:val="auto"/>
                <w:szCs w:val="21"/>
                <w:highlight w:val="none"/>
              </w:rPr>
              <w:t xml:space="preserve">拾 </w:t>
            </w:r>
            <w:r>
              <w:rPr>
                <w:rFonts w:hint="eastAsia" w:ascii="Verdana" w:hAnsi="Verdana" w:cs="宋体"/>
                <w:color w:val="auto"/>
                <w:szCs w:val="21"/>
                <w:highlight w:val="none"/>
              </w:rPr>
              <w:t xml:space="preserve"> </w:t>
            </w:r>
            <w:r>
              <w:rPr>
                <w:rFonts w:ascii="Verdana" w:hAnsi="Verdana" w:cs="宋体"/>
                <w:color w:val="auto"/>
                <w:szCs w:val="21"/>
                <w:highlight w:val="none"/>
              </w:rPr>
              <w:t>元</w:t>
            </w:r>
          </w:p>
        </w:tc>
      </w:tr>
      <w:tr w14:paraId="35A855F2">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4EAE91B8">
            <w:pPr>
              <w:widowControl/>
              <w:spacing w:before="100" w:beforeAutospacing="1" w:after="100" w:afterAutospacing="1" w:line="320" w:lineRule="atLeast"/>
              <w:ind w:firstLine="2"/>
              <w:jc w:val="center"/>
              <w:rPr>
                <w:rFonts w:ascii="Verdana" w:hAnsi="Verdana" w:cs="宋体"/>
                <w:color w:val="auto"/>
                <w:szCs w:val="21"/>
                <w:highlight w:val="none"/>
              </w:rPr>
            </w:pPr>
            <w:r>
              <w:rPr>
                <w:rFonts w:ascii="Verdana" w:hAnsi="Verdana" w:cs="宋体"/>
                <w:color w:val="auto"/>
                <w:szCs w:val="21"/>
                <w:highlight w:val="none"/>
              </w:rPr>
              <w:t>实际供货日期</w:t>
            </w:r>
          </w:p>
        </w:tc>
        <w:tc>
          <w:tcPr>
            <w:tcW w:w="2421" w:type="dxa"/>
            <w:gridSpan w:val="2"/>
            <w:tcBorders>
              <w:top w:val="nil"/>
              <w:left w:val="nil"/>
              <w:bottom w:val="single" w:color="auto" w:sz="8" w:space="0"/>
              <w:right w:val="single" w:color="auto" w:sz="8" w:space="0"/>
            </w:tcBorders>
            <w:noWrap w:val="0"/>
            <w:vAlign w:val="center"/>
          </w:tcPr>
          <w:p w14:paraId="3242D954">
            <w:pPr>
              <w:widowControl/>
              <w:spacing w:before="100" w:beforeAutospacing="1" w:after="100" w:afterAutospacing="1" w:line="240" w:lineRule="atLeast"/>
              <w:jc w:val="center"/>
              <w:rPr>
                <w:rFonts w:ascii="Verdana" w:hAnsi="Verdana" w:cs="宋体"/>
                <w:color w:val="auto"/>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461F7AFD">
            <w:pPr>
              <w:widowControl/>
              <w:spacing w:before="100" w:beforeAutospacing="1" w:after="100" w:afterAutospacing="1" w:line="320" w:lineRule="atLeast"/>
              <w:ind w:firstLine="46"/>
              <w:jc w:val="center"/>
              <w:rPr>
                <w:rFonts w:ascii="Verdana" w:hAnsi="Verdana" w:cs="宋体"/>
                <w:color w:val="auto"/>
                <w:szCs w:val="21"/>
                <w:highlight w:val="none"/>
              </w:rPr>
            </w:pPr>
            <w:r>
              <w:rPr>
                <w:rFonts w:ascii="Verdana" w:hAnsi="Verdana" w:cs="宋体"/>
                <w:color w:val="auto"/>
                <w:szCs w:val="21"/>
                <w:highlight w:val="none"/>
              </w:rPr>
              <w:t>合同交货验收日期</w:t>
            </w:r>
          </w:p>
        </w:tc>
        <w:tc>
          <w:tcPr>
            <w:tcW w:w="2619" w:type="dxa"/>
            <w:gridSpan w:val="2"/>
            <w:tcBorders>
              <w:top w:val="nil"/>
              <w:left w:val="nil"/>
              <w:bottom w:val="single" w:color="auto" w:sz="8" w:space="0"/>
              <w:right w:val="single" w:color="auto" w:sz="8" w:space="0"/>
            </w:tcBorders>
            <w:noWrap w:val="0"/>
            <w:vAlign w:val="center"/>
          </w:tcPr>
          <w:p w14:paraId="425EAFD8">
            <w:pPr>
              <w:widowControl/>
              <w:spacing w:before="100" w:beforeAutospacing="1" w:after="100" w:afterAutospacing="1" w:line="240" w:lineRule="atLeast"/>
              <w:jc w:val="center"/>
              <w:rPr>
                <w:rFonts w:ascii="Verdana" w:hAnsi="Verdana" w:cs="宋体"/>
                <w:color w:val="auto"/>
                <w:szCs w:val="21"/>
                <w:highlight w:val="none"/>
              </w:rPr>
            </w:pPr>
          </w:p>
        </w:tc>
      </w:tr>
      <w:tr w14:paraId="59DE2FA9">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7A45EE68">
            <w:pPr>
              <w:widowControl/>
              <w:spacing w:before="100" w:beforeAutospacing="1" w:after="100" w:afterAutospacing="1" w:line="240" w:lineRule="atLeast"/>
              <w:jc w:val="center"/>
              <w:rPr>
                <w:rFonts w:ascii="Verdana" w:hAnsi="Verdana" w:cs="宋体"/>
                <w:color w:val="auto"/>
                <w:szCs w:val="21"/>
                <w:highlight w:val="none"/>
              </w:rPr>
            </w:pPr>
          </w:p>
        </w:tc>
        <w:tc>
          <w:tcPr>
            <w:tcW w:w="2421" w:type="dxa"/>
            <w:gridSpan w:val="2"/>
            <w:tcBorders>
              <w:top w:val="nil"/>
              <w:left w:val="nil"/>
              <w:bottom w:val="single" w:color="auto" w:sz="8" w:space="0"/>
              <w:right w:val="single" w:color="auto" w:sz="8" w:space="0"/>
            </w:tcBorders>
            <w:noWrap w:val="0"/>
            <w:vAlign w:val="center"/>
          </w:tcPr>
          <w:p w14:paraId="41EA0681">
            <w:pPr>
              <w:widowControl/>
              <w:spacing w:before="100" w:beforeAutospacing="1" w:after="100" w:afterAutospacing="1" w:line="240" w:lineRule="atLeast"/>
              <w:jc w:val="center"/>
              <w:rPr>
                <w:rFonts w:ascii="Verdana" w:hAnsi="Verdana" w:cs="宋体"/>
                <w:color w:val="auto"/>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661F44F4">
            <w:pPr>
              <w:widowControl/>
              <w:spacing w:before="100" w:beforeAutospacing="1" w:after="100" w:afterAutospacing="1" w:line="240" w:lineRule="atLeast"/>
              <w:jc w:val="center"/>
              <w:rPr>
                <w:rFonts w:ascii="Verdana" w:hAnsi="Verdana" w:cs="宋体"/>
                <w:color w:val="auto"/>
                <w:szCs w:val="21"/>
                <w:highlight w:val="none"/>
              </w:rPr>
            </w:pPr>
          </w:p>
        </w:tc>
        <w:tc>
          <w:tcPr>
            <w:tcW w:w="2619" w:type="dxa"/>
            <w:gridSpan w:val="2"/>
            <w:tcBorders>
              <w:top w:val="nil"/>
              <w:left w:val="nil"/>
              <w:bottom w:val="single" w:color="auto" w:sz="8" w:space="0"/>
              <w:right w:val="single" w:color="auto" w:sz="8" w:space="0"/>
            </w:tcBorders>
            <w:noWrap w:val="0"/>
            <w:vAlign w:val="center"/>
          </w:tcPr>
          <w:p w14:paraId="548C6B84">
            <w:pPr>
              <w:widowControl/>
              <w:spacing w:before="100" w:beforeAutospacing="1" w:after="100" w:afterAutospacing="1" w:line="240" w:lineRule="atLeast"/>
              <w:jc w:val="center"/>
              <w:rPr>
                <w:rFonts w:ascii="Verdana" w:hAnsi="Verdana" w:cs="宋体"/>
                <w:color w:val="auto"/>
                <w:szCs w:val="21"/>
                <w:highlight w:val="none"/>
              </w:rPr>
            </w:pPr>
          </w:p>
        </w:tc>
      </w:tr>
      <w:tr w14:paraId="3D9FF8B7">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CC228FB">
            <w:pPr>
              <w:widowControl/>
              <w:spacing w:before="100" w:beforeAutospacing="1" w:after="100" w:afterAutospacing="1" w:line="320" w:lineRule="atLeast"/>
              <w:jc w:val="left"/>
              <w:rPr>
                <w:rFonts w:ascii="Verdana" w:hAnsi="Verdana" w:cs="宋体"/>
                <w:color w:val="auto"/>
                <w:szCs w:val="21"/>
                <w:highlight w:val="none"/>
              </w:rPr>
            </w:pPr>
            <w:r>
              <w:rPr>
                <w:rFonts w:ascii="Verdana" w:hAnsi="Verdana" w:cs="宋体"/>
                <w:color w:val="auto"/>
                <w:szCs w:val="21"/>
                <w:highlight w:val="none"/>
              </w:rPr>
              <w:t>验收具体内容</w:t>
            </w:r>
          </w:p>
        </w:tc>
        <w:tc>
          <w:tcPr>
            <w:tcW w:w="7322"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551B148">
            <w:pPr>
              <w:widowControl/>
              <w:spacing w:before="100" w:beforeAutospacing="1" w:after="100" w:afterAutospacing="1" w:line="320" w:lineRule="atLeast"/>
              <w:jc w:val="left"/>
              <w:rPr>
                <w:rFonts w:ascii="Verdana" w:hAnsi="Verdana" w:cs="宋体"/>
                <w:color w:val="auto"/>
                <w:szCs w:val="21"/>
                <w:highlight w:val="none"/>
              </w:rPr>
            </w:pPr>
            <w:r>
              <w:rPr>
                <w:rFonts w:ascii="Verdana" w:hAnsi="Verdana" w:cs="宋体"/>
                <w:color w:val="auto"/>
                <w:szCs w:val="21"/>
                <w:highlight w:val="none"/>
              </w:rPr>
              <w:t>（应按采购合同</w:t>
            </w:r>
            <w:r>
              <w:rPr>
                <w:rFonts w:hint="eastAsia" w:ascii="Verdana" w:hAnsi="Verdana" w:cs="宋体"/>
                <w:color w:val="auto"/>
                <w:szCs w:val="21"/>
                <w:highlight w:val="none"/>
                <w:lang w:val="en-US" w:eastAsia="zh-CN"/>
              </w:rPr>
              <w:t>招标文件、投标文件</w:t>
            </w:r>
            <w:r>
              <w:rPr>
                <w:rFonts w:ascii="Verdana" w:hAnsi="Verdana" w:cs="宋体"/>
                <w:color w:val="auto"/>
                <w:szCs w:val="21"/>
                <w:highlight w:val="none"/>
              </w:rPr>
              <w:t>及验收方案等进行验收；并核对</w:t>
            </w:r>
            <w:r>
              <w:rPr>
                <w:rFonts w:hint="eastAsia" w:ascii="宋体" w:hAnsi="宋体"/>
                <w:color w:val="auto"/>
                <w:szCs w:val="21"/>
                <w:highlight w:val="none"/>
                <w:lang w:eastAsia="zh-CN"/>
              </w:rPr>
              <w:t>中标供应商</w:t>
            </w:r>
            <w:r>
              <w:rPr>
                <w:rFonts w:ascii="Verdana" w:hAnsi="Verdana" w:cs="宋体"/>
                <w:color w:val="auto"/>
                <w:szCs w:val="21"/>
                <w:highlight w:val="none"/>
              </w:rPr>
              <w:t>在安装调试等方面是否违反合同约定或者服务规范要求、提供的质量保证证明材料是否齐全、应有的配件及附件是否达到合同约定等。可附件)</w:t>
            </w:r>
          </w:p>
        </w:tc>
      </w:tr>
      <w:tr w14:paraId="4283A1FE">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DA50F57">
            <w:pPr>
              <w:widowControl/>
              <w:spacing w:before="100" w:beforeAutospacing="1" w:after="100" w:afterAutospacing="1" w:line="320" w:lineRule="atLeast"/>
              <w:jc w:val="left"/>
              <w:rPr>
                <w:rFonts w:ascii="Verdana" w:hAnsi="Verdana" w:cs="宋体"/>
                <w:color w:val="auto"/>
                <w:szCs w:val="21"/>
                <w:highlight w:val="none"/>
              </w:rPr>
            </w:pPr>
            <w:r>
              <w:rPr>
                <w:rFonts w:ascii="Verdana" w:hAnsi="Verdana" w:cs="宋体"/>
                <w:color w:val="auto"/>
                <w:szCs w:val="21"/>
                <w:highlight w:val="none"/>
              </w:rPr>
              <w:t>验收小组意见</w:t>
            </w:r>
          </w:p>
        </w:tc>
        <w:tc>
          <w:tcPr>
            <w:tcW w:w="7322" w:type="dxa"/>
            <w:gridSpan w:val="7"/>
            <w:tcBorders>
              <w:top w:val="nil"/>
              <w:left w:val="nil"/>
              <w:bottom w:val="single" w:color="auto" w:sz="8" w:space="0"/>
              <w:right w:val="single" w:color="auto" w:sz="8" w:space="0"/>
            </w:tcBorders>
            <w:noWrap w:val="0"/>
            <w:vAlign w:val="center"/>
          </w:tcPr>
          <w:p w14:paraId="47A37810">
            <w:pPr>
              <w:widowControl/>
              <w:spacing w:before="100" w:beforeAutospacing="1" w:after="100" w:afterAutospacing="1" w:line="320" w:lineRule="atLeast"/>
              <w:ind w:firstLine="210"/>
              <w:jc w:val="left"/>
              <w:rPr>
                <w:rFonts w:ascii="Verdana" w:hAnsi="Verdana" w:cs="宋体"/>
                <w:color w:val="auto"/>
                <w:szCs w:val="21"/>
                <w:highlight w:val="none"/>
              </w:rPr>
            </w:pPr>
            <w:r>
              <w:rPr>
                <w:rFonts w:ascii="Verdana" w:hAnsi="Verdana" w:cs="宋体"/>
                <w:color w:val="auto"/>
                <w:szCs w:val="21"/>
                <w:highlight w:val="none"/>
              </w:rPr>
              <w:t>验收结论性意见：</w:t>
            </w:r>
          </w:p>
        </w:tc>
      </w:tr>
      <w:tr w14:paraId="5D111085">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40D041EE">
            <w:pPr>
              <w:widowControl/>
              <w:jc w:val="left"/>
              <w:rPr>
                <w:rFonts w:ascii="Verdana" w:hAnsi="Verdana" w:cs="宋体"/>
                <w:color w:val="auto"/>
                <w:szCs w:val="21"/>
                <w:highlight w:val="none"/>
              </w:rPr>
            </w:pPr>
          </w:p>
        </w:tc>
        <w:tc>
          <w:tcPr>
            <w:tcW w:w="7322" w:type="dxa"/>
            <w:gridSpan w:val="7"/>
            <w:tcBorders>
              <w:top w:val="nil"/>
              <w:left w:val="nil"/>
              <w:bottom w:val="single" w:color="auto" w:sz="8" w:space="0"/>
              <w:right w:val="single" w:color="auto" w:sz="8" w:space="0"/>
            </w:tcBorders>
            <w:noWrap w:val="0"/>
            <w:vAlign w:val="center"/>
          </w:tcPr>
          <w:p w14:paraId="1396EF22">
            <w:pPr>
              <w:widowControl/>
              <w:spacing w:before="100" w:beforeAutospacing="1" w:after="100" w:afterAutospacing="1" w:line="320" w:lineRule="atLeast"/>
              <w:ind w:firstLine="210"/>
              <w:jc w:val="left"/>
              <w:rPr>
                <w:rFonts w:ascii="Verdana" w:hAnsi="Verdana" w:cs="宋体"/>
                <w:color w:val="auto"/>
                <w:szCs w:val="21"/>
                <w:highlight w:val="none"/>
              </w:rPr>
            </w:pPr>
            <w:r>
              <w:rPr>
                <w:rFonts w:ascii="Verdana" w:hAnsi="Verdana" w:cs="宋体"/>
                <w:color w:val="auto"/>
                <w:szCs w:val="21"/>
                <w:highlight w:val="none"/>
              </w:rPr>
              <w:t>有异议的意见和说明理由：</w:t>
            </w:r>
          </w:p>
          <w:p w14:paraId="6BE16BEA">
            <w:pPr>
              <w:widowControl/>
              <w:spacing w:before="100" w:beforeAutospacing="1" w:after="100" w:afterAutospacing="1" w:line="320" w:lineRule="atLeast"/>
              <w:ind w:firstLine="210"/>
              <w:jc w:val="left"/>
              <w:rPr>
                <w:rFonts w:ascii="Verdana" w:hAnsi="Verdana" w:cs="宋体"/>
                <w:color w:val="auto"/>
                <w:szCs w:val="21"/>
                <w:highlight w:val="none"/>
              </w:rPr>
            </w:pPr>
            <w:r>
              <w:rPr>
                <w:rFonts w:ascii="Verdana" w:hAnsi="Verdana" w:cs="宋体"/>
                <w:color w:val="auto"/>
                <w:szCs w:val="21"/>
                <w:highlight w:val="none"/>
              </w:rPr>
              <w:t>签字：</w:t>
            </w:r>
          </w:p>
        </w:tc>
      </w:tr>
      <w:tr w14:paraId="1B32F179">
        <w:tblPrEx>
          <w:tblCellMar>
            <w:top w:w="0" w:type="dxa"/>
            <w:left w:w="0" w:type="dxa"/>
            <w:bottom w:w="0" w:type="dxa"/>
            <w:right w:w="0" w:type="dxa"/>
          </w:tblCellMar>
        </w:tblPrEx>
        <w:trPr>
          <w:trHeight w:val="507" w:hRule="atLeast"/>
          <w:jc w:val="center"/>
        </w:trPr>
        <w:tc>
          <w:tcPr>
            <w:tcW w:w="8951"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5F0D3FB">
            <w:pPr>
              <w:widowControl/>
              <w:spacing w:before="100" w:beforeAutospacing="1" w:after="100" w:afterAutospacing="1" w:line="320" w:lineRule="atLeast"/>
              <w:jc w:val="left"/>
              <w:rPr>
                <w:rFonts w:ascii="Verdana" w:hAnsi="Verdana" w:cs="宋体"/>
                <w:color w:val="auto"/>
                <w:szCs w:val="21"/>
                <w:highlight w:val="none"/>
              </w:rPr>
            </w:pPr>
            <w:r>
              <w:rPr>
                <w:rFonts w:ascii="Verdana" w:hAnsi="Verdana" w:cs="宋体"/>
                <w:color w:val="auto"/>
                <w:szCs w:val="21"/>
                <w:highlight w:val="none"/>
              </w:rPr>
              <w:t>验收小组成员签字：</w:t>
            </w:r>
          </w:p>
        </w:tc>
      </w:tr>
      <w:tr w14:paraId="54376DCB">
        <w:tblPrEx>
          <w:tblCellMar>
            <w:top w:w="0" w:type="dxa"/>
            <w:left w:w="0" w:type="dxa"/>
            <w:bottom w:w="0" w:type="dxa"/>
            <w:right w:w="0" w:type="dxa"/>
          </w:tblCellMar>
        </w:tblPrEx>
        <w:trPr>
          <w:trHeight w:val="736" w:hRule="atLeast"/>
          <w:jc w:val="center"/>
        </w:trPr>
        <w:tc>
          <w:tcPr>
            <w:tcW w:w="8951"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3735CFD">
            <w:pPr>
              <w:widowControl/>
              <w:spacing w:before="100" w:beforeAutospacing="1" w:after="100" w:afterAutospacing="1" w:line="320" w:lineRule="atLeast"/>
              <w:jc w:val="left"/>
              <w:rPr>
                <w:rFonts w:ascii="Verdana" w:hAnsi="Verdana" w:cs="宋体"/>
                <w:color w:val="auto"/>
                <w:szCs w:val="21"/>
                <w:highlight w:val="none"/>
              </w:rPr>
            </w:pPr>
            <w:r>
              <w:rPr>
                <w:rFonts w:ascii="Verdana" w:hAnsi="Verdana" w:cs="宋体"/>
                <w:color w:val="auto"/>
                <w:szCs w:val="21"/>
                <w:highlight w:val="none"/>
              </w:rPr>
              <w:t>监督人员或者其他相关人员签字：</w:t>
            </w:r>
          </w:p>
          <w:p w14:paraId="20CDEDFE">
            <w:pPr>
              <w:widowControl/>
              <w:spacing w:before="100" w:beforeAutospacing="1" w:after="100" w:afterAutospacing="1" w:line="320" w:lineRule="atLeast"/>
              <w:ind w:firstLine="74"/>
              <w:jc w:val="left"/>
              <w:rPr>
                <w:rFonts w:ascii="Verdana" w:hAnsi="Verdana" w:cs="宋体"/>
                <w:color w:val="auto"/>
                <w:szCs w:val="21"/>
                <w:highlight w:val="none"/>
              </w:rPr>
            </w:pPr>
            <w:r>
              <w:rPr>
                <w:rFonts w:ascii="Verdana" w:hAnsi="Verdana" w:cs="宋体"/>
                <w:color w:val="auto"/>
                <w:szCs w:val="21"/>
                <w:highlight w:val="none"/>
              </w:rPr>
              <w:t>或者受邀机构的意见（盖章）：</w:t>
            </w:r>
          </w:p>
        </w:tc>
      </w:tr>
      <w:tr w14:paraId="701D3008">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51CDA127">
            <w:pPr>
              <w:widowControl/>
              <w:spacing w:before="100" w:beforeAutospacing="1" w:after="100" w:afterAutospacing="1" w:line="320" w:lineRule="atLeast"/>
              <w:jc w:val="left"/>
              <w:rPr>
                <w:rFonts w:ascii="Verdana" w:hAnsi="Verdana" w:cs="宋体"/>
                <w:color w:val="auto"/>
                <w:szCs w:val="21"/>
                <w:highlight w:val="none"/>
              </w:rPr>
            </w:pPr>
            <w:r>
              <w:rPr>
                <w:rFonts w:hint="eastAsia" w:ascii="宋体" w:hAnsi="宋体"/>
                <w:color w:val="auto"/>
                <w:szCs w:val="21"/>
                <w:highlight w:val="none"/>
                <w:lang w:eastAsia="zh-CN"/>
              </w:rPr>
              <w:t>中标供应商</w:t>
            </w:r>
            <w:r>
              <w:rPr>
                <w:rFonts w:ascii="Verdana" w:hAnsi="Verdana" w:cs="宋体"/>
                <w:color w:val="auto"/>
                <w:szCs w:val="21"/>
                <w:highlight w:val="none"/>
              </w:rPr>
              <w:t>负责人签字或者盖章：</w:t>
            </w:r>
          </w:p>
          <w:p w14:paraId="725B5559">
            <w:pPr>
              <w:widowControl/>
              <w:spacing w:before="100" w:beforeAutospacing="1" w:after="100" w:afterAutospacing="1" w:line="320" w:lineRule="atLeast"/>
              <w:jc w:val="left"/>
              <w:rPr>
                <w:rFonts w:ascii="Verdana" w:hAnsi="Verdana" w:cs="宋体"/>
                <w:color w:val="auto"/>
                <w:szCs w:val="21"/>
                <w:highlight w:val="none"/>
              </w:rPr>
            </w:pPr>
          </w:p>
          <w:p w14:paraId="331ED532">
            <w:pPr>
              <w:widowControl/>
              <w:spacing w:before="100" w:beforeAutospacing="1" w:after="100" w:afterAutospacing="1" w:line="320" w:lineRule="atLeast"/>
              <w:jc w:val="left"/>
              <w:rPr>
                <w:rFonts w:ascii="Verdana" w:hAnsi="Verdana" w:cs="宋体"/>
                <w:color w:val="auto"/>
                <w:szCs w:val="21"/>
                <w:highlight w:val="none"/>
              </w:rPr>
            </w:pPr>
            <w:r>
              <w:rPr>
                <w:rFonts w:ascii="Verdana" w:hAnsi="Verdana" w:cs="宋体"/>
                <w:color w:val="auto"/>
                <w:szCs w:val="21"/>
                <w:highlight w:val="none"/>
              </w:rPr>
              <w:t>联系电话：</w:t>
            </w:r>
            <w:r>
              <w:rPr>
                <w:rFonts w:hint="eastAsia" w:ascii="Verdana" w:hAnsi="Verdana" w:cs="宋体"/>
                <w:color w:val="auto"/>
                <w:szCs w:val="21"/>
                <w:highlight w:val="none"/>
              </w:rPr>
              <w:t xml:space="preserve">               </w:t>
            </w:r>
            <w:r>
              <w:rPr>
                <w:rFonts w:ascii="Verdana" w:hAnsi="Verdana" w:cs="宋体"/>
                <w:color w:val="auto"/>
                <w:szCs w:val="21"/>
                <w:highlight w:val="none"/>
              </w:rPr>
              <w:t xml:space="preserve"> 年</w:t>
            </w:r>
            <w:r>
              <w:rPr>
                <w:rFonts w:hint="eastAsia" w:ascii="Verdana" w:hAnsi="Verdana" w:cs="宋体"/>
                <w:color w:val="auto"/>
                <w:szCs w:val="21"/>
                <w:highlight w:val="none"/>
              </w:rPr>
              <w:t xml:space="preserve"> </w:t>
            </w:r>
            <w:r>
              <w:rPr>
                <w:rFonts w:ascii="Verdana" w:hAnsi="Verdana" w:cs="宋体"/>
                <w:color w:val="auto"/>
                <w:szCs w:val="21"/>
                <w:highlight w:val="none"/>
              </w:rPr>
              <w:t xml:space="preserve"> 月 </w:t>
            </w:r>
            <w:r>
              <w:rPr>
                <w:rFonts w:hint="eastAsia" w:ascii="Verdana" w:hAnsi="Verdana" w:cs="宋体"/>
                <w:color w:val="auto"/>
                <w:szCs w:val="21"/>
                <w:highlight w:val="none"/>
              </w:rPr>
              <w:t xml:space="preserve"> </w:t>
            </w:r>
            <w:r>
              <w:rPr>
                <w:rFonts w:ascii="Verdana" w:hAnsi="Verdana" w:cs="宋体"/>
                <w:color w:val="auto"/>
                <w:szCs w:val="21"/>
                <w:highlight w:val="none"/>
              </w:rPr>
              <w:t>日</w:t>
            </w:r>
          </w:p>
        </w:tc>
        <w:tc>
          <w:tcPr>
            <w:tcW w:w="4799" w:type="dxa"/>
            <w:gridSpan w:val="4"/>
            <w:tcBorders>
              <w:top w:val="nil"/>
              <w:left w:val="nil"/>
              <w:bottom w:val="single" w:color="auto" w:sz="8" w:space="0"/>
              <w:right w:val="single" w:color="auto" w:sz="8" w:space="0"/>
            </w:tcBorders>
            <w:noWrap w:val="0"/>
            <w:vAlign w:val="center"/>
          </w:tcPr>
          <w:p w14:paraId="070FB95C">
            <w:pPr>
              <w:widowControl/>
              <w:spacing w:before="100" w:beforeAutospacing="1" w:after="100" w:afterAutospacing="1" w:line="320" w:lineRule="atLeast"/>
              <w:ind w:firstLine="210"/>
              <w:jc w:val="left"/>
              <w:rPr>
                <w:rFonts w:ascii="Verdana" w:hAnsi="Verdana" w:cs="宋体"/>
                <w:color w:val="auto"/>
                <w:szCs w:val="21"/>
                <w:highlight w:val="none"/>
              </w:rPr>
            </w:pPr>
            <w:r>
              <w:rPr>
                <w:rFonts w:ascii="Verdana" w:hAnsi="Verdana" w:cs="宋体"/>
                <w:color w:val="auto"/>
                <w:szCs w:val="21"/>
                <w:highlight w:val="none"/>
              </w:rPr>
              <w:t>采购人或者受托机构的意见（盖章）：</w:t>
            </w:r>
          </w:p>
          <w:p w14:paraId="0ED1EB56">
            <w:pPr>
              <w:widowControl/>
              <w:spacing w:before="100" w:beforeAutospacing="1" w:after="100" w:afterAutospacing="1" w:line="320" w:lineRule="atLeast"/>
              <w:ind w:firstLine="210"/>
              <w:jc w:val="left"/>
              <w:rPr>
                <w:rFonts w:ascii="Verdana" w:hAnsi="Verdana" w:cs="宋体"/>
                <w:color w:val="auto"/>
                <w:szCs w:val="21"/>
                <w:highlight w:val="none"/>
              </w:rPr>
            </w:pPr>
          </w:p>
          <w:p w14:paraId="2FA5B90D">
            <w:pPr>
              <w:widowControl/>
              <w:spacing w:before="100" w:beforeAutospacing="1" w:after="100" w:afterAutospacing="1" w:line="320" w:lineRule="atLeast"/>
              <w:ind w:firstLine="210"/>
              <w:jc w:val="left"/>
              <w:rPr>
                <w:rFonts w:ascii="Verdana" w:hAnsi="Verdana" w:cs="宋体"/>
                <w:color w:val="auto"/>
                <w:szCs w:val="21"/>
                <w:highlight w:val="none"/>
              </w:rPr>
            </w:pPr>
            <w:r>
              <w:rPr>
                <w:rFonts w:ascii="Verdana" w:hAnsi="Verdana" w:cs="宋体"/>
                <w:color w:val="auto"/>
                <w:szCs w:val="21"/>
                <w:highlight w:val="none"/>
              </w:rPr>
              <w:t>联系电话：</w:t>
            </w:r>
            <w:r>
              <w:rPr>
                <w:rFonts w:hint="eastAsia" w:ascii="Verdana" w:hAnsi="Verdana" w:cs="宋体"/>
                <w:color w:val="auto"/>
                <w:szCs w:val="21"/>
                <w:highlight w:val="none"/>
              </w:rPr>
              <w:t xml:space="preserve">                  </w:t>
            </w:r>
            <w:r>
              <w:rPr>
                <w:rFonts w:ascii="Verdana" w:hAnsi="Verdana" w:cs="宋体"/>
                <w:color w:val="auto"/>
                <w:szCs w:val="21"/>
                <w:highlight w:val="none"/>
              </w:rPr>
              <w:t>年</w:t>
            </w:r>
            <w:r>
              <w:rPr>
                <w:rFonts w:hint="eastAsia" w:ascii="Verdana" w:hAnsi="Verdana" w:cs="宋体"/>
                <w:color w:val="auto"/>
                <w:szCs w:val="21"/>
                <w:highlight w:val="none"/>
              </w:rPr>
              <w:t xml:space="preserve"> </w:t>
            </w:r>
            <w:r>
              <w:rPr>
                <w:rFonts w:ascii="Verdana" w:hAnsi="Verdana" w:cs="宋体"/>
                <w:color w:val="auto"/>
                <w:szCs w:val="21"/>
                <w:highlight w:val="none"/>
              </w:rPr>
              <w:t xml:space="preserve"> 月</w:t>
            </w:r>
            <w:r>
              <w:rPr>
                <w:rFonts w:hint="eastAsia" w:ascii="Verdana" w:hAnsi="Verdana" w:cs="宋体"/>
                <w:color w:val="auto"/>
                <w:szCs w:val="21"/>
                <w:highlight w:val="none"/>
              </w:rPr>
              <w:t xml:space="preserve"> </w:t>
            </w:r>
            <w:r>
              <w:rPr>
                <w:rFonts w:ascii="Verdana" w:hAnsi="Verdana" w:cs="宋体"/>
                <w:color w:val="auto"/>
                <w:szCs w:val="21"/>
                <w:highlight w:val="none"/>
              </w:rPr>
              <w:t xml:space="preserve"> 日</w:t>
            </w:r>
          </w:p>
        </w:tc>
      </w:tr>
    </w:tbl>
    <w:p w14:paraId="217C1F75">
      <w:pPr>
        <w:spacing w:after="120"/>
        <w:jc w:val="center"/>
        <w:rPr>
          <w:rFonts w:hint="eastAsia"/>
          <w:color w:val="auto"/>
          <w:highlight w:val="none"/>
        </w:rPr>
      </w:pPr>
      <w:r>
        <w:rPr>
          <w:rFonts w:hAnsi="宋体"/>
          <w:color w:val="auto"/>
          <w:highlight w:val="none"/>
        </w:rPr>
        <w:br w:type="page" w:clear="all"/>
      </w:r>
      <w:r>
        <w:rPr>
          <w:rFonts w:hint="eastAsia" w:ascii="Times New Roman" w:hAnsi="Times New Roman"/>
          <w:b/>
          <w:bCs/>
          <w:color w:val="auto"/>
          <w:sz w:val="32"/>
          <w:szCs w:val="32"/>
          <w:highlight w:val="none"/>
        </w:rPr>
        <w:t>第四章  评标方法及评标标准</w:t>
      </w:r>
    </w:p>
    <w:p w14:paraId="2965F955">
      <w:pPr>
        <w:pStyle w:val="196"/>
        <w:keepNext w:val="0"/>
        <w:keepLines w:val="0"/>
        <w:jc w:val="center"/>
        <w:rPr>
          <w:color w:val="auto"/>
          <w:highlight w:val="none"/>
        </w:rPr>
      </w:pPr>
      <w:r>
        <w:rPr>
          <w:rFonts w:hint="eastAsia"/>
          <w:color w:val="auto"/>
          <w:highlight w:val="none"/>
        </w:rPr>
        <w:t>一、评标方法</w:t>
      </w:r>
    </w:p>
    <w:p w14:paraId="721797EC">
      <w:pPr>
        <w:pStyle w:val="231"/>
        <w:spacing w:line="360" w:lineRule="exact"/>
        <w:ind w:firstLine="420"/>
        <w:rPr>
          <w:rFonts w:hAnsi="宋体"/>
          <w:b/>
          <w:color w:val="auto"/>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79BCF6E0">
      <w:pPr>
        <w:pStyle w:val="231"/>
        <w:spacing w:line="360" w:lineRule="exact"/>
        <w:ind w:firstLine="420"/>
        <w:rPr>
          <w:rFonts w:hAnsi="宋体"/>
          <w:b/>
          <w:color w:val="auto"/>
          <w:highlight w:val="none"/>
        </w:rPr>
      </w:pPr>
    </w:p>
    <w:p w14:paraId="5D722591">
      <w:pPr>
        <w:pStyle w:val="196"/>
        <w:keepNext w:val="0"/>
        <w:keepLines w:val="0"/>
        <w:jc w:val="center"/>
        <w:rPr>
          <w:rFonts w:hint="eastAsia"/>
          <w:color w:val="auto"/>
          <w:highlight w:val="none"/>
        </w:rPr>
      </w:pPr>
      <w:r>
        <w:rPr>
          <w:rFonts w:hint="eastAsia"/>
          <w:color w:val="auto"/>
          <w:highlight w:val="none"/>
        </w:rPr>
        <w:t>二、评标程序</w:t>
      </w:r>
    </w:p>
    <w:p w14:paraId="5DBA5C9D">
      <w:pPr>
        <w:pStyle w:val="198"/>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1.符合性审查</w:t>
      </w:r>
    </w:p>
    <w:p w14:paraId="0507F093">
      <w:pPr>
        <w:pStyle w:val="231"/>
        <w:spacing w:line="360" w:lineRule="auto"/>
        <w:ind w:left="1" w:firstLine="420"/>
        <w:rPr>
          <w:rFonts w:hint="eastAsia" w:hAnsi="宋体"/>
          <w:b/>
          <w:color w:val="auto"/>
          <w:sz w:val="21"/>
          <w:highlight w:val="none"/>
        </w:rPr>
      </w:pPr>
      <w:r>
        <w:rPr>
          <w:rFonts w:hint="eastAsia" w:hAnsi="宋体"/>
          <w:b/>
          <w:color w:val="auto"/>
          <w:sz w:val="21"/>
          <w:highlight w:val="none"/>
        </w:rPr>
        <w:t>评标委员会应当对符合资格的投标人的投标文件进行投标报价、商务、技术等实质性内容符合性审查，以确定其是否满足招标文件的实质性要求。</w:t>
      </w:r>
    </w:p>
    <w:p w14:paraId="12BB00BD">
      <w:pPr>
        <w:pStyle w:val="198"/>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6A945A38">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1EE05BA2">
      <w:pPr>
        <w:pStyle w:val="198"/>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05B3BB85">
      <w:pPr>
        <w:pStyle w:val="199"/>
        <w:numPr>
          <w:ilvl w:val="0"/>
          <w:numId w:val="6"/>
        </w:numPr>
        <w:spacing w:line="360" w:lineRule="auto"/>
        <w:ind w:firstLine="398"/>
        <w:rPr>
          <w:rFonts w:hint="eastAsia" w:ascii="宋体" w:hAnsi="宋体"/>
          <w:b/>
          <w:color w:val="auto"/>
          <w:spacing w:val="-6"/>
          <w:szCs w:val="21"/>
          <w:highlight w:val="none"/>
        </w:rPr>
      </w:pPr>
      <w:r>
        <w:rPr>
          <w:rFonts w:hint="eastAsia" w:ascii="宋体" w:hAnsi="宋体"/>
          <w:b/>
          <w:color w:val="auto"/>
          <w:spacing w:val="-6"/>
          <w:szCs w:val="21"/>
          <w:highlight w:val="none"/>
        </w:rPr>
        <w:t>报价文件未提供“投标人须知前附表”第13条</w:t>
      </w:r>
      <w:r>
        <w:rPr>
          <w:rFonts w:hint="eastAsia" w:ascii="宋体" w:hAnsi="宋体"/>
          <w:b/>
          <w:color w:val="auto"/>
          <w:szCs w:val="21"/>
          <w:highlight w:val="none"/>
        </w:rPr>
        <w:t>“报价文件”</w:t>
      </w:r>
      <w:r>
        <w:rPr>
          <w:rFonts w:hint="eastAsia" w:ascii="宋体" w:hAnsi="宋体"/>
          <w:b/>
          <w:color w:val="auto"/>
          <w:spacing w:val="-6"/>
          <w:szCs w:val="21"/>
          <w:highlight w:val="none"/>
        </w:rPr>
        <w:t>规定中“必须提供”的文件资料的；</w:t>
      </w:r>
    </w:p>
    <w:p w14:paraId="3F3802C7">
      <w:pPr>
        <w:pStyle w:val="199"/>
        <w:numPr>
          <w:ilvl w:val="0"/>
          <w:numId w:val="6"/>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未按照招标文件中的报价要求进行报价的；</w:t>
      </w:r>
    </w:p>
    <w:p w14:paraId="0D5DCA34">
      <w:pPr>
        <w:pStyle w:val="199"/>
        <w:numPr>
          <w:ilvl w:val="0"/>
          <w:numId w:val="6"/>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lang w:val="en-US" w:eastAsia="zh-CN"/>
        </w:rPr>
        <w:t>未采用系数进行报价</w:t>
      </w:r>
      <w:r>
        <w:rPr>
          <w:rFonts w:hint="eastAsia" w:ascii="宋体" w:hAnsi="宋体"/>
          <w:b/>
          <w:color w:val="auto"/>
          <w:szCs w:val="21"/>
          <w:highlight w:val="none"/>
        </w:rPr>
        <w:t>的；</w:t>
      </w:r>
    </w:p>
    <w:p w14:paraId="1D2FD67A">
      <w:pPr>
        <w:pStyle w:val="199"/>
        <w:numPr>
          <w:ilvl w:val="0"/>
          <w:numId w:val="6"/>
        </w:numPr>
        <w:spacing w:line="360" w:lineRule="auto"/>
        <w:ind w:left="-2" w:firstLine="422"/>
        <w:rPr>
          <w:rFonts w:hint="eastAsia" w:ascii="宋体" w:hAnsi="宋体"/>
          <w:b/>
          <w:color w:val="auto"/>
          <w:spacing w:val="-6"/>
          <w:szCs w:val="21"/>
          <w:highlight w:val="none"/>
        </w:rPr>
      </w:pPr>
      <w:r>
        <w:rPr>
          <w:rFonts w:hint="eastAsia" w:ascii="宋体" w:hAnsi="宋体"/>
          <w:b/>
          <w:color w:val="auto"/>
          <w:spacing w:val="-6"/>
          <w:szCs w:val="21"/>
          <w:highlight w:val="none"/>
          <w:lang w:val="en-US" w:eastAsia="zh-CN"/>
        </w:rPr>
        <w:t>投标</w:t>
      </w:r>
      <w:r>
        <w:rPr>
          <w:rFonts w:hint="eastAsia" w:ascii="宋体" w:hAnsi="宋体"/>
          <w:b/>
          <w:color w:val="auto"/>
          <w:spacing w:val="-6"/>
          <w:szCs w:val="21"/>
          <w:highlight w:val="none"/>
          <w:lang w:eastAsia="zh-CN"/>
        </w:rPr>
        <w:t>系数</w:t>
      </w:r>
      <w:r>
        <w:rPr>
          <w:rFonts w:hint="eastAsia" w:ascii="宋体" w:hAnsi="宋体"/>
          <w:b/>
          <w:color w:val="auto"/>
          <w:spacing w:val="-6"/>
          <w:szCs w:val="21"/>
          <w:highlight w:val="none"/>
          <w:lang w:val="en-US" w:eastAsia="zh-CN"/>
        </w:rPr>
        <w:t>报价超出招标文件规定的报价范围的</w:t>
      </w:r>
      <w:r>
        <w:rPr>
          <w:rFonts w:hint="eastAsia" w:ascii="宋体" w:hAnsi="宋体"/>
          <w:b/>
          <w:color w:val="auto"/>
          <w:spacing w:val="-6"/>
          <w:szCs w:val="21"/>
          <w:highlight w:val="none"/>
        </w:rPr>
        <w:t>；</w:t>
      </w:r>
    </w:p>
    <w:p w14:paraId="477CA5FC">
      <w:pPr>
        <w:pStyle w:val="199"/>
        <w:numPr>
          <w:ilvl w:val="0"/>
          <w:numId w:val="6"/>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未就所投项目进行报价或者存在漏项报价；投标人未就所投项目的单项内容作唯一报价；投标人未就所投项目的全部内容作完整唯一总价报价；存在有选择、有条件报价的（招标文件允许有备选方案或者其他约定的除外）；</w:t>
      </w:r>
    </w:p>
    <w:p w14:paraId="51357DE1">
      <w:pPr>
        <w:pStyle w:val="199"/>
        <w:numPr>
          <w:ilvl w:val="0"/>
          <w:numId w:val="6"/>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修正后的报价，投标人不确认的；</w:t>
      </w:r>
    </w:p>
    <w:p w14:paraId="4113BBD6">
      <w:pPr>
        <w:pStyle w:val="199"/>
        <w:numPr>
          <w:ilvl w:val="0"/>
          <w:numId w:val="6"/>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75E1E9BE">
      <w:pPr>
        <w:pStyle w:val="199"/>
        <w:numPr>
          <w:ilvl w:val="0"/>
          <w:numId w:val="6"/>
        </w:numPr>
        <w:spacing w:line="360" w:lineRule="auto"/>
        <w:ind w:firstLine="398"/>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2D550880">
      <w:pPr>
        <w:pStyle w:val="198"/>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2.2在商务及技术评审时，如发现下列情形之一的，将被视为投标无效：</w:t>
      </w:r>
    </w:p>
    <w:p w14:paraId="26648268">
      <w:pPr>
        <w:numPr>
          <w:ilvl w:val="0"/>
          <w:numId w:val="7"/>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投标文件未按招标文件要求签署、盖章的；</w:t>
      </w:r>
    </w:p>
    <w:p w14:paraId="4370BA15">
      <w:pPr>
        <w:numPr>
          <w:ilvl w:val="0"/>
          <w:numId w:val="7"/>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 xml:space="preserve">委托代理人未能出具有效身份证或者出具的身份证与授权委托书中的信息不符的； </w:t>
      </w:r>
    </w:p>
    <w:p w14:paraId="049B0E01">
      <w:pPr>
        <w:numPr>
          <w:ilvl w:val="0"/>
          <w:numId w:val="7"/>
        </w:numPr>
        <w:spacing w:line="360" w:lineRule="auto"/>
        <w:ind w:firstLine="422"/>
        <w:jc w:val="center"/>
        <w:rPr>
          <w:rFonts w:hint="eastAsia" w:ascii="宋体" w:hAnsi="宋体"/>
          <w:b/>
          <w:color w:val="auto"/>
          <w:szCs w:val="21"/>
          <w:highlight w:val="none"/>
        </w:rPr>
      </w:pPr>
      <w:r>
        <w:rPr>
          <w:rFonts w:hint="eastAsia" w:ascii="宋体" w:hAnsi="宋体"/>
          <w:b/>
          <w:color w:val="auto"/>
          <w:szCs w:val="21"/>
          <w:highlight w:val="none"/>
        </w:rPr>
        <w:t>投标文件未提供“投标人须知前附表”第13条“商务及技术文件”规定中“必</w:t>
      </w:r>
    </w:p>
    <w:p w14:paraId="41E852B8">
      <w:pPr>
        <w:spacing w:line="360" w:lineRule="auto"/>
        <w:rPr>
          <w:rFonts w:hint="eastAsia" w:ascii="宋体" w:hAnsi="宋体"/>
          <w:b/>
          <w:color w:val="auto"/>
          <w:szCs w:val="21"/>
          <w:highlight w:val="none"/>
        </w:rPr>
      </w:pPr>
      <w:r>
        <w:rPr>
          <w:rFonts w:hint="eastAsia" w:ascii="宋体" w:hAnsi="宋体"/>
          <w:b/>
          <w:color w:val="auto"/>
          <w:szCs w:val="21"/>
          <w:highlight w:val="none"/>
        </w:rPr>
        <w:t>须提供”或者“委托时必须提供”的文件资料的；</w:t>
      </w:r>
    </w:p>
    <w:p w14:paraId="1A84A86A">
      <w:pPr>
        <w:numPr>
          <w:ilvl w:val="0"/>
          <w:numId w:val="7"/>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商务要求评审允许负偏离的条款数超过“投标人须知前附表”规定项数的；</w:t>
      </w:r>
    </w:p>
    <w:p w14:paraId="2D67EDDB">
      <w:pPr>
        <w:numPr>
          <w:ilvl w:val="0"/>
          <w:numId w:val="7"/>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5B378D09">
      <w:pPr>
        <w:numPr>
          <w:ilvl w:val="0"/>
          <w:numId w:val="7"/>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15777CFE">
      <w:pPr>
        <w:numPr>
          <w:ilvl w:val="0"/>
          <w:numId w:val="7"/>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62EE6936">
      <w:pPr>
        <w:numPr>
          <w:ilvl w:val="0"/>
          <w:numId w:val="7"/>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703C9FEC">
      <w:pPr>
        <w:numPr>
          <w:ilvl w:val="0"/>
          <w:numId w:val="7"/>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337DA3F7">
      <w:pPr>
        <w:numPr>
          <w:ilvl w:val="0"/>
          <w:numId w:val="7"/>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投标文件中承诺的投标有效期低于招标文件要求的期限的；</w:t>
      </w:r>
    </w:p>
    <w:p w14:paraId="50031CD4">
      <w:pPr>
        <w:numPr>
          <w:ilvl w:val="0"/>
          <w:numId w:val="7"/>
        </w:numPr>
        <w:spacing w:line="360" w:lineRule="auto"/>
        <w:ind w:firstLine="422"/>
        <w:rPr>
          <w:rFonts w:ascii="宋体" w:hAnsi="宋体"/>
          <w:b/>
          <w:color w:val="auto"/>
          <w:szCs w:val="21"/>
          <w:highlight w:val="none"/>
        </w:rPr>
      </w:pPr>
      <w:r>
        <w:rPr>
          <w:rFonts w:hint="eastAsia" w:ascii="宋体" w:hAnsi="宋体"/>
          <w:b/>
          <w:color w:val="auto"/>
          <w:szCs w:val="21"/>
          <w:highlight w:val="none"/>
        </w:rPr>
        <w:t>虚假投标，或者出现其他情形而导致被评标委员会认定无效的；</w:t>
      </w:r>
    </w:p>
    <w:p w14:paraId="4E2CC413">
      <w:pPr>
        <w:numPr>
          <w:ilvl w:val="0"/>
          <w:numId w:val="7"/>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招标文件未载明允许提供备选（替代）投标方案或明确不允许提供备选（替代）投标方案时，投标人提供了备选（替代）投标方案的；</w:t>
      </w:r>
    </w:p>
    <w:p w14:paraId="78F4C149">
      <w:pPr>
        <w:numPr>
          <w:ilvl w:val="0"/>
          <w:numId w:val="7"/>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未响应招标文件实质性要求的。</w:t>
      </w:r>
    </w:p>
    <w:p w14:paraId="34F386CA">
      <w:pPr>
        <w:numPr>
          <w:ilvl w:val="0"/>
          <w:numId w:val="7"/>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法律、法规和招标文件规定的其他无效情形。</w:t>
      </w:r>
    </w:p>
    <w:p w14:paraId="149BC591">
      <w:pPr>
        <w:pStyle w:val="198"/>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64FBC1F9">
      <w:pPr>
        <w:spacing w:line="360" w:lineRule="auto"/>
        <w:ind w:firstLine="420"/>
        <w:rPr>
          <w:rFonts w:hint="eastAsia" w:ascii="宋体" w:hAnsi="宋体" w:cs="Courier New"/>
          <w:b/>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383CF45D">
      <w:pPr>
        <w:spacing w:line="360" w:lineRule="auto"/>
        <w:ind w:firstLine="420"/>
        <w:rPr>
          <w:rFonts w:hint="eastAsia"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6D057A33">
      <w:pPr>
        <w:spacing w:line="360" w:lineRule="auto"/>
        <w:ind w:firstLine="420"/>
        <w:rPr>
          <w:rFonts w:hint="eastAsia" w:ascii="宋体" w:hAnsi="宋体" w:cs="Courier New"/>
          <w:color w:val="auto"/>
          <w:szCs w:val="21"/>
          <w:highlight w:val="none"/>
        </w:rPr>
      </w:pPr>
      <w:r>
        <w:rPr>
          <w:rFonts w:hint="eastAsia" w:ascii="宋体" w:hAnsi="宋体" w:cs="Courier New"/>
          <w:color w:val="auto"/>
          <w:szCs w:val="21"/>
          <w:highlight w:val="none"/>
        </w:rPr>
        <w:t>未按评标委员会的要求作出明确澄清、说明或者更正的投标人的投标文件将按照有利于采购人的原则由评标委员会进行判定。</w:t>
      </w:r>
    </w:p>
    <w:p w14:paraId="5DD26B54">
      <w:pPr>
        <w:pStyle w:val="198"/>
        <w:keepNext w:val="0"/>
        <w:keepLines w:val="0"/>
        <w:spacing w:before="0" w:after="0" w:line="360" w:lineRule="auto"/>
        <w:ind w:left="420"/>
        <w:rPr>
          <w:rFonts w:hint="eastAsia"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4DC7CDD9">
      <w:pPr>
        <w:pStyle w:val="231"/>
        <w:spacing w:line="360" w:lineRule="auto"/>
        <w:ind w:firstLine="420"/>
        <w:rPr>
          <w:rFonts w:hint="eastAsia" w:hAnsi="宋体"/>
          <w:color w:val="auto"/>
          <w:sz w:val="21"/>
          <w:highlight w:val="none"/>
        </w:rPr>
      </w:pPr>
      <w:r>
        <w:rPr>
          <w:rFonts w:hAnsi="宋体"/>
          <w:color w:val="auto"/>
          <w:sz w:val="21"/>
          <w:highlight w:val="none"/>
        </w:rPr>
        <w:t>4</w:t>
      </w:r>
      <w:r>
        <w:rPr>
          <w:rFonts w:hint="eastAsia" w:hAnsi="宋体"/>
          <w:color w:val="auto"/>
          <w:sz w:val="21"/>
          <w:highlight w:val="none"/>
        </w:rPr>
        <w:t xml:space="preserve">.1投标文件报价出现前后不一致的，除“投标文件前附表”另有规定的情形，按照下列规定修正： </w:t>
      </w:r>
    </w:p>
    <w:p w14:paraId="19452893">
      <w:pPr>
        <w:pStyle w:val="231"/>
        <w:spacing w:line="360" w:lineRule="auto"/>
        <w:ind w:firstLine="420"/>
        <w:rPr>
          <w:rFonts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7D6B7ACD">
      <w:pPr>
        <w:pStyle w:val="231"/>
        <w:spacing w:line="360" w:lineRule="auto"/>
        <w:ind w:firstLine="420"/>
        <w:rPr>
          <w:rFonts w:hAnsi="宋体"/>
          <w:color w:val="auto"/>
          <w:sz w:val="21"/>
          <w:highlight w:val="none"/>
        </w:rPr>
      </w:pPr>
      <w:r>
        <w:rPr>
          <w:rFonts w:hint="eastAsia" w:hAnsi="宋体"/>
          <w:color w:val="auto"/>
          <w:sz w:val="21"/>
          <w:highlight w:val="none"/>
        </w:rPr>
        <w:t>（2）大写金额和小写金额不一致的，以大写金额为准；</w:t>
      </w:r>
    </w:p>
    <w:p w14:paraId="67802B35">
      <w:pPr>
        <w:pStyle w:val="231"/>
        <w:spacing w:line="360" w:lineRule="auto"/>
        <w:ind w:firstLine="420"/>
        <w:rPr>
          <w:rFonts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5D29268B">
      <w:pPr>
        <w:pStyle w:val="231"/>
        <w:spacing w:line="360" w:lineRule="auto"/>
        <w:ind w:firstLine="420"/>
        <w:rPr>
          <w:rFonts w:hAnsi="宋体"/>
          <w:color w:val="auto"/>
          <w:sz w:val="21"/>
          <w:highlight w:val="none"/>
        </w:rPr>
      </w:pPr>
      <w:r>
        <w:rPr>
          <w:rFonts w:hint="eastAsia" w:hAnsi="宋体"/>
          <w:color w:val="auto"/>
          <w:sz w:val="21"/>
          <w:highlight w:val="none"/>
        </w:rPr>
        <w:t>（4）总价金额与按单价汇总金额不一致的，以单价金额计算结果为准。</w:t>
      </w:r>
    </w:p>
    <w:p w14:paraId="34BEE749">
      <w:pPr>
        <w:pStyle w:val="231"/>
        <w:spacing w:line="360" w:lineRule="auto"/>
        <w:ind w:firstLine="420"/>
        <w:rPr>
          <w:rFonts w:hint="eastAsia"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sz w:val="21"/>
          <w:highlight w:val="none"/>
        </w:rPr>
        <w:t>其投标无效</w:t>
      </w:r>
      <w:r>
        <w:rPr>
          <w:rFonts w:hint="eastAsia" w:hAnsi="宋体"/>
          <w:color w:val="auto"/>
          <w:sz w:val="21"/>
          <w:highlight w:val="none"/>
        </w:rPr>
        <w:t>。</w:t>
      </w:r>
    </w:p>
    <w:p w14:paraId="6EF82CDB">
      <w:pPr>
        <w:pStyle w:val="198"/>
        <w:keepNext w:val="0"/>
        <w:keepLines w:val="0"/>
        <w:spacing w:before="0" w:after="0" w:line="360" w:lineRule="auto"/>
        <w:rPr>
          <w:rFonts w:hint="eastAsia"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w:t>
      </w:r>
      <w:r>
        <w:rPr>
          <w:rFonts w:hint="eastAsia" w:ascii="宋体" w:hAnsi="宋体"/>
          <w:b w:val="0"/>
          <w:color w:val="auto"/>
          <w:sz w:val="21"/>
          <w:szCs w:val="21"/>
          <w:highlight w:val="none"/>
          <w:lang w:val="en-US" w:eastAsia="zh-CN"/>
        </w:rPr>
        <w:t>报价范围的</w:t>
      </w:r>
      <w:r>
        <w:rPr>
          <w:rFonts w:hint="eastAsia" w:ascii="宋体" w:hAnsi="宋体"/>
          <w:b w:val="0"/>
          <w:color w:val="auto"/>
          <w:sz w:val="21"/>
          <w:szCs w:val="21"/>
          <w:highlight w:val="none"/>
        </w:rPr>
        <w:t>，</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201C70C1">
      <w:pPr>
        <w:spacing w:line="360" w:lineRule="auto"/>
        <w:ind w:firstLine="42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72F480BD">
      <w:pPr>
        <w:pStyle w:val="198"/>
        <w:keepNext w:val="0"/>
        <w:keepLines w:val="0"/>
        <w:spacing w:before="0" w:after="0" w:line="360" w:lineRule="auto"/>
        <w:ind w:left="420"/>
        <w:rPr>
          <w:rFonts w:hint="eastAsia"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48E5A854">
      <w:pPr>
        <w:pStyle w:val="231"/>
        <w:spacing w:line="360" w:lineRule="auto"/>
        <w:ind w:firstLine="42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（1）评标委员会按照招标文件中规定的评标方法及评标标准，对符合性审查合格的投标文件进行商务和技术评估，综合比较与评价。</w:t>
      </w:r>
    </w:p>
    <w:p w14:paraId="0C85D3FF">
      <w:pPr>
        <w:pStyle w:val="231"/>
        <w:spacing w:line="360" w:lineRule="auto"/>
        <w:ind w:firstLine="42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（2）评标委员会独立对每个投标人的投标文件进行评价，并汇总每个投标人的得分。</w:t>
      </w:r>
    </w:p>
    <w:p w14:paraId="78F0969B">
      <w:pPr>
        <w:pStyle w:val="231"/>
        <w:spacing w:line="360" w:lineRule="auto"/>
        <w:ind w:firstLine="42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1）评标委员会在评审中发现下列情形之一的，应当启动异常低价投标审查程序：</w:t>
      </w:r>
    </w:p>
    <w:p w14:paraId="194274DD">
      <w:pPr>
        <w:pStyle w:val="231"/>
        <w:spacing w:line="360" w:lineRule="auto"/>
        <w:ind w:firstLine="42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 xml:space="preserve">①投标报价低于全部通过符合性审查供应商投标报价平均值65%的，即投标报价＜全部通过符合性审查供应商投标报价平均值×65%； </w:t>
      </w:r>
    </w:p>
    <w:p w14:paraId="36358625">
      <w:pPr>
        <w:pStyle w:val="231"/>
        <w:spacing w:line="360" w:lineRule="auto"/>
        <w:ind w:firstLine="42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 xml:space="preserve">②投标报价低于通过符合性审查的次低报价供应商投标报价65%的，即投标报价＜通过符合性审查的次低报价供应商投标报价×65%； </w:t>
      </w:r>
    </w:p>
    <w:p w14:paraId="5B9532C3">
      <w:pPr>
        <w:pStyle w:val="231"/>
        <w:spacing w:line="360" w:lineRule="auto"/>
        <w:ind w:firstLine="42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 xml:space="preserve">③投标报价低于采购项目最高限价65%的，即投标报价＜采购项目最高限价×65%； </w:t>
      </w:r>
    </w:p>
    <w:p w14:paraId="49B3A26B">
      <w:pPr>
        <w:pStyle w:val="231"/>
        <w:spacing w:line="360" w:lineRule="auto"/>
        <w:ind w:firstLine="42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④评标委员会基于专业判断，认为供应商报价过低，有可能影响产品质量或者不能诚信履约的其他情形。</w:t>
      </w:r>
    </w:p>
    <w:p w14:paraId="7BA524DA">
      <w:pPr>
        <w:pStyle w:val="231"/>
        <w:spacing w:line="360" w:lineRule="auto"/>
        <w:ind w:firstLine="42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78FB7EC4">
      <w:pPr>
        <w:pStyle w:val="231"/>
        <w:spacing w:line="360" w:lineRule="auto"/>
        <w:ind w:firstLine="42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100C4318">
      <w:pPr>
        <w:pStyle w:val="231"/>
        <w:spacing w:line="360" w:lineRule="auto"/>
        <w:ind w:firstLine="42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238D7C21">
      <w:pPr>
        <w:pStyle w:val="231"/>
        <w:spacing w:line="360" w:lineRule="auto"/>
        <w:ind w:firstLine="42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异常低价投标审查的启动原因、审查意见和审查结果应当在评审报告中记录，并随供应商提供的相关书面说明及证明材料，以及评标委员会有关互联网浏览、查询历史一并归档。</w:t>
      </w:r>
    </w:p>
    <w:p w14:paraId="73829190">
      <w:pPr>
        <w:pStyle w:val="231"/>
        <w:spacing w:line="360" w:lineRule="auto"/>
        <w:ind w:firstLine="42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（3）评标委员会按照招标文件中规定的评标方法和标准计算各投标人的报价得分。在计算过程中，不得去掉最高报价或者最低报价。</w:t>
      </w:r>
    </w:p>
    <w:p w14:paraId="56B49345">
      <w:pPr>
        <w:pStyle w:val="231"/>
        <w:spacing w:line="360" w:lineRule="auto"/>
        <w:ind w:firstLine="42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（4）各投标人的得分为所有评委的有效评分的算术平均数。</w:t>
      </w:r>
    </w:p>
    <w:p w14:paraId="422330EF">
      <w:pPr>
        <w:pStyle w:val="231"/>
        <w:spacing w:line="360" w:lineRule="auto"/>
        <w:ind w:firstLine="42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（5）评标委员会按照招标文件中的规定推荐中标候选人。</w:t>
      </w:r>
    </w:p>
    <w:p w14:paraId="751CEA76">
      <w:pPr>
        <w:pStyle w:val="231"/>
        <w:spacing w:line="360" w:lineRule="auto"/>
        <w:ind w:firstLine="42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3A23E270">
      <w:pPr>
        <w:spacing w:line="360" w:lineRule="auto"/>
        <w:ind w:firstLine="424"/>
        <w:jc w:val="center"/>
        <w:rPr>
          <w:rFonts w:hint="eastAsia" w:ascii="宋体" w:hAnsi="宋体"/>
          <w:color w:val="auto"/>
          <w:szCs w:val="21"/>
          <w:highlight w:val="none"/>
        </w:rPr>
      </w:pPr>
    </w:p>
    <w:p w14:paraId="7E462257">
      <w:pPr>
        <w:spacing w:line="360" w:lineRule="auto"/>
        <w:jc w:val="center"/>
        <w:rPr>
          <w:rFonts w:hint="eastAsia"/>
          <w:color w:val="auto"/>
          <w:highlight w:val="none"/>
        </w:rPr>
      </w:pP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41D12983">
      <w:pPr>
        <w:pStyle w:val="196"/>
        <w:keepNext w:val="0"/>
        <w:keepLines w:val="0"/>
        <w:jc w:val="center"/>
        <w:rPr>
          <w:rFonts w:hint="eastAsia"/>
          <w:color w:val="auto"/>
          <w:highlight w:val="none"/>
        </w:rPr>
      </w:pPr>
      <w:r>
        <w:rPr>
          <w:rFonts w:hint="eastAsia"/>
          <w:color w:val="auto"/>
          <w:highlight w:val="none"/>
        </w:rPr>
        <w:t>综合评分法</w:t>
      </w:r>
    </w:p>
    <w:tbl>
      <w:tblPr>
        <w:tblStyle w:val="30"/>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407"/>
        <w:gridCol w:w="1701"/>
        <w:gridCol w:w="5660"/>
      </w:tblGrid>
      <w:tr w14:paraId="50BDA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147" w:type="dxa"/>
            <w:gridSpan w:val="2"/>
            <w:tcBorders>
              <w:top w:val="single" w:color="auto" w:sz="4" w:space="0"/>
              <w:left w:val="single" w:color="auto" w:sz="4" w:space="0"/>
              <w:bottom w:val="single" w:color="auto" w:sz="4" w:space="0"/>
              <w:right w:val="single" w:color="auto" w:sz="4" w:space="0"/>
            </w:tcBorders>
            <w:noWrap w:val="0"/>
            <w:vAlign w:val="center"/>
          </w:tcPr>
          <w:p w14:paraId="30BC71A2">
            <w:pPr>
              <w:spacing w:line="400" w:lineRule="exact"/>
              <w:jc w:val="center"/>
              <w:rPr>
                <w:rFonts w:ascii="宋体" w:hAnsi="宋体"/>
                <w:b/>
                <w:color w:val="auto"/>
                <w:szCs w:val="21"/>
                <w:highlight w:val="none"/>
              </w:rPr>
            </w:pPr>
            <w:r>
              <w:rPr>
                <w:rFonts w:hint="eastAsia" w:ascii="宋体" w:hAnsi="宋体"/>
                <w:b/>
                <w:color w:val="auto"/>
                <w:szCs w:val="21"/>
                <w:highlight w:val="none"/>
              </w:rPr>
              <w:t>序号</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46180B6">
            <w:pPr>
              <w:spacing w:line="400" w:lineRule="exact"/>
              <w:jc w:val="center"/>
              <w:rPr>
                <w:rFonts w:ascii="宋体" w:hAnsi="宋体"/>
                <w:b/>
                <w:color w:val="auto"/>
                <w:szCs w:val="21"/>
                <w:highlight w:val="none"/>
              </w:rPr>
            </w:pPr>
            <w:r>
              <w:rPr>
                <w:rFonts w:hint="eastAsia" w:ascii="宋体" w:hAnsi="宋体"/>
                <w:b/>
                <w:color w:val="auto"/>
                <w:szCs w:val="21"/>
                <w:highlight w:val="none"/>
              </w:rPr>
              <w:t>评审因素</w:t>
            </w:r>
          </w:p>
        </w:tc>
        <w:tc>
          <w:tcPr>
            <w:tcW w:w="5660" w:type="dxa"/>
            <w:tcBorders>
              <w:top w:val="single" w:color="auto" w:sz="4" w:space="0"/>
              <w:left w:val="single" w:color="auto" w:sz="4" w:space="0"/>
              <w:bottom w:val="single" w:color="auto" w:sz="4" w:space="0"/>
              <w:right w:val="single" w:color="auto" w:sz="4" w:space="0"/>
            </w:tcBorders>
            <w:noWrap w:val="0"/>
            <w:vAlign w:val="center"/>
          </w:tcPr>
          <w:p w14:paraId="71A01309">
            <w:pPr>
              <w:spacing w:line="400" w:lineRule="exact"/>
              <w:jc w:val="center"/>
              <w:rPr>
                <w:rFonts w:ascii="宋体" w:hAnsi="宋体"/>
                <w:b/>
                <w:color w:val="auto"/>
                <w:szCs w:val="21"/>
                <w:highlight w:val="none"/>
              </w:rPr>
            </w:pPr>
            <w:r>
              <w:rPr>
                <w:rFonts w:hint="eastAsia" w:ascii="宋体" w:hAnsi="宋体"/>
                <w:b/>
                <w:color w:val="auto"/>
                <w:szCs w:val="21"/>
                <w:highlight w:val="none"/>
              </w:rPr>
              <w:t>评标标准</w:t>
            </w:r>
          </w:p>
        </w:tc>
      </w:tr>
      <w:tr w14:paraId="1C385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36676EAE">
            <w:pPr>
              <w:spacing w:line="400" w:lineRule="exact"/>
              <w:jc w:val="center"/>
              <w:rPr>
                <w:rFonts w:ascii="宋体" w:hAnsi="宋体"/>
                <w:color w:val="auto"/>
                <w:szCs w:val="21"/>
                <w:highlight w:val="none"/>
              </w:rPr>
            </w:pPr>
            <w:r>
              <w:rPr>
                <w:rFonts w:hint="eastAsia" w:ascii="宋体" w:hAnsi="宋体"/>
                <w:color w:val="auto"/>
                <w:szCs w:val="21"/>
                <w:highlight w:val="none"/>
              </w:rPr>
              <w:t>1</w:t>
            </w:r>
          </w:p>
        </w:tc>
        <w:tc>
          <w:tcPr>
            <w:tcW w:w="1407" w:type="dxa"/>
            <w:tcBorders>
              <w:top w:val="single" w:color="auto" w:sz="4" w:space="0"/>
              <w:left w:val="single" w:color="auto" w:sz="4" w:space="0"/>
              <w:bottom w:val="single" w:color="auto" w:sz="4" w:space="0"/>
              <w:right w:val="single" w:color="auto" w:sz="4" w:space="0"/>
            </w:tcBorders>
            <w:noWrap w:val="0"/>
            <w:vAlign w:val="center"/>
          </w:tcPr>
          <w:p w14:paraId="504A0138">
            <w:pPr>
              <w:spacing w:line="400" w:lineRule="exact"/>
              <w:jc w:val="center"/>
              <w:rPr>
                <w:rFonts w:ascii="宋体" w:hAnsi="宋体"/>
                <w:b/>
                <w:bCs/>
                <w:color w:val="auto"/>
                <w:szCs w:val="21"/>
                <w:highlight w:val="none"/>
              </w:rPr>
            </w:pPr>
            <w:r>
              <w:rPr>
                <w:rFonts w:hint="eastAsia" w:ascii="宋体" w:hAnsi="宋体"/>
                <w:b/>
                <w:bCs/>
                <w:color w:val="auto"/>
                <w:szCs w:val="21"/>
                <w:highlight w:val="none"/>
              </w:rPr>
              <w:t>价格分（满分</w:t>
            </w:r>
            <w:r>
              <w:rPr>
                <w:rFonts w:hint="eastAsia" w:ascii="宋体" w:hAnsi="宋体"/>
                <w:b/>
                <w:bCs/>
                <w:color w:val="auto"/>
                <w:szCs w:val="21"/>
                <w:highlight w:val="none"/>
                <w:lang w:val="en-US" w:eastAsia="zh-CN"/>
              </w:rPr>
              <w:t>20</w:t>
            </w:r>
            <w:r>
              <w:rPr>
                <w:rFonts w:hint="eastAsia" w:ascii="宋体" w:hAnsi="宋体"/>
                <w:b/>
                <w:bCs/>
                <w:color w:val="auto"/>
                <w:szCs w:val="21"/>
                <w:highlight w:val="none"/>
              </w:rPr>
              <w:t>分</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4F47BAA">
            <w:pPr>
              <w:spacing w:line="400" w:lineRule="exact"/>
              <w:jc w:val="center"/>
              <w:rPr>
                <w:rFonts w:ascii="宋体" w:hAnsi="宋体"/>
                <w:b/>
                <w:bCs/>
                <w:color w:val="auto"/>
                <w:szCs w:val="21"/>
                <w:highlight w:val="none"/>
              </w:rPr>
            </w:pPr>
            <w:r>
              <w:rPr>
                <w:rFonts w:hint="eastAsia" w:ascii="宋体" w:hAnsi="宋体"/>
                <w:b/>
                <w:bCs/>
                <w:color w:val="auto"/>
                <w:szCs w:val="21"/>
                <w:highlight w:val="none"/>
              </w:rPr>
              <w:t>投标报价</w:t>
            </w:r>
            <w:r>
              <w:rPr>
                <w:rFonts w:hint="eastAsia" w:ascii="宋体" w:hAnsi="宋体"/>
                <w:b/>
                <w:bCs/>
                <w:color w:val="auto"/>
                <w:szCs w:val="21"/>
                <w:highlight w:val="none"/>
                <w:lang w:eastAsia="zh-CN"/>
              </w:rPr>
              <w:t>系数</w:t>
            </w:r>
            <w:r>
              <w:rPr>
                <w:rFonts w:hint="eastAsia" w:ascii="宋体" w:hAnsi="宋体"/>
                <w:b/>
                <w:bCs/>
                <w:color w:val="auto"/>
                <w:szCs w:val="21"/>
                <w:highlight w:val="none"/>
              </w:rPr>
              <w:t xml:space="preserve">（满分 </w:t>
            </w:r>
            <w:r>
              <w:rPr>
                <w:rFonts w:hint="eastAsia" w:ascii="宋体" w:hAnsi="宋体"/>
                <w:b/>
                <w:bCs/>
                <w:color w:val="auto"/>
                <w:szCs w:val="21"/>
                <w:highlight w:val="none"/>
                <w:lang w:val="en-US" w:eastAsia="zh-CN"/>
              </w:rPr>
              <w:t>20</w:t>
            </w:r>
            <w:r>
              <w:rPr>
                <w:rFonts w:hint="eastAsia" w:ascii="宋体" w:hAnsi="宋体"/>
                <w:b/>
                <w:bCs/>
                <w:color w:val="auto"/>
                <w:szCs w:val="21"/>
                <w:highlight w:val="none"/>
              </w:rPr>
              <w:t>分）</w:t>
            </w:r>
          </w:p>
        </w:tc>
        <w:tc>
          <w:tcPr>
            <w:tcW w:w="5660" w:type="dxa"/>
            <w:tcBorders>
              <w:top w:val="single" w:color="auto" w:sz="4" w:space="0"/>
              <w:left w:val="single" w:color="auto" w:sz="4" w:space="0"/>
              <w:bottom w:val="single" w:color="auto" w:sz="4" w:space="0"/>
              <w:right w:val="single" w:color="auto" w:sz="4" w:space="0"/>
            </w:tcBorders>
            <w:noWrap w:val="0"/>
            <w:vAlign w:val="center"/>
          </w:tcPr>
          <w:p w14:paraId="2AC62D76">
            <w:pPr>
              <w:spacing w:line="400" w:lineRule="exact"/>
              <w:rPr>
                <w:rFonts w:hint="eastAsia" w:ascii="宋体" w:hAnsi="宋体" w:cs="Courier New"/>
                <w:bCs/>
                <w:color w:val="auto"/>
                <w:szCs w:val="21"/>
                <w:highlight w:val="none"/>
              </w:rPr>
            </w:pPr>
            <w:r>
              <w:rPr>
                <w:rFonts w:hint="eastAsia" w:ascii="宋体" w:hAnsi="宋体" w:cs="Courier New"/>
                <w:bCs/>
                <w:color w:val="auto"/>
                <w:szCs w:val="21"/>
                <w:highlight w:val="none"/>
              </w:rPr>
              <w:t>（1）评标报价</w:t>
            </w:r>
            <w:r>
              <w:rPr>
                <w:rFonts w:hint="eastAsia" w:ascii="宋体" w:hAnsi="宋体" w:cs="Courier New"/>
                <w:bCs/>
                <w:color w:val="auto"/>
                <w:szCs w:val="21"/>
                <w:highlight w:val="none"/>
                <w:lang w:eastAsia="zh-CN"/>
              </w:rPr>
              <w:t>系数</w:t>
            </w:r>
            <w:r>
              <w:rPr>
                <w:rFonts w:hint="eastAsia" w:ascii="宋体" w:hAnsi="宋体" w:cs="Courier New"/>
                <w:bCs/>
                <w:color w:val="auto"/>
                <w:szCs w:val="21"/>
                <w:highlight w:val="none"/>
              </w:rPr>
              <w:t>为投标人的投标报价</w:t>
            </w:r>
            <w:r>
              <w:rPr>
                <w:rFonts w:hint="eastAsia" w:ascii="宋体" w:hAnsi="宋体" w:cs="Courier New"/>
                <w:bCs/>
                <w:color w:val="auto"/>
                <w:szCs w:val="21"/>
                <w:highlight w:val="none"/>
                <w:lang w:eastAsia="zh-CN"/>
              </w:rPr>
              <w:t>系数</w:t>
            </w:r>
            <w:r>
              <w:rPr>
                <w:rFonts w:hint="eastAsia" w:ascii="宋体" w:hAnsi="宋体" w:cs="Courier New"/>
                <w:bCs/>
                <w:color w:val="auto"/>
                <w:szCs w:val="21"/>
                <w:highlight w:val="none"/>
              </w:rPr>
              <w:t>进行政策性扣除后的</w:t>
            </w:r>
            <w:r>
              <w:rPr>
                <w:rFonts w:hint="eastAsia" w:ascii="宋体" w:hAnsi="宋体" w:cs="Courier New"/>
                <w:bCs/>
                <w:color w:val="auto"/>
                <w:szCs w:val="21"/>
                <w:highlight w:val="none"/>
                <w:lang w:eastAsia="zh-CN"/>
              </w:rPr>
              <w:t>系数</w:t>
            </w:r>
            <w:r>
              <w:rPr>
                <w:rFonts w:hint="eastAsia" w:ascii="宋体" w:hAnsi="宋体" w:cs="Courier New"/>
                <w:bCs/>
                <w:color w:val="auto"/>
                <w:szCs w:val="21"/>
                <w:highlight w:val="none"/>
              </w:rPr>
              <w:t>，评标报价</w:t>
            </w:r>
            <w:r>
              <w:rPr>
                <w:rFonts w:hint="eastAsia" w:ascii="宋体" w:hAnsi="宋体" w:cs="Courier New"/>
                <w:bCs/>
                <w:color w:val="auto"/>
                <w:szCs w:val="21"/>
                <w:highlight w:val="none"/>
                <w:lang w:eastAsia="zh-CN"/>
              </w:rPr>
              <w:t>系数</w:t>
            </w:r>
            <w:r>
              <w:rPr>
                <w:rFonts w:hint="eastAsia" w:ascii="宋体" w:hAnsi="宋体" w:cs="Courier New"/>
                <w:bCs/>
                <w:color w:val="auto"/>
                <w:szCs w:val="21"/>
                <w:highlight w:val="none"/>
              </w:rPr>
              <w:t>只是作为评标时使用。最终中标人的中标</w:t>
            </w:r>
            <w:r>
              <w:rPr>
                <w:rFonts w:hint="eastAsia" w:ascii="宋体" w:hAnsi="宋体" w:cs="Courier New"/>
                <w:bCs/>
                <w:color w:val="auto"/>
                <w:szCs w:val="21"/>
                <w:highlight w:val="none"/>
                <w:lang w:eastAsia="zh-CN"/>
              </w:rPr>
              <w:t>系数</w:t>
            </w:r>
            <w:r>
              <w:rPr>
                <w:rFonts w:hint="eastAsia" w:ascii="宋体" w:hAnsi="宋体" w:cs="Courier New"/>
                <w:bCs/>
                <w:color w:val="auto"/>
                <w:szCs w:val="21"/>
                <w:highlight w:val="none"/>
              </w:rPr>
              <w:t>等于投标报价</w:t>
            </w:r>
            <w:r>
              <w:rPr>
                <w:rFonts w:hint="eastAsia" w:ascii="宋体" w:hAnsi="宋体" w:cs="Courier New"/>
                <w:bCs/>
                <w:color w:val="auto"/>
                <w:szCs w:val="21"/>
                <w:highlight w:val="none"/>
                <w:lang w:eastAsia="zh-CN"/>
              </w:rPr>
              <w:t>系数</w:t>
            </w:r>
            <w:r>
              <w:rPr>
                <w:rFonts w:hint="eastAsia" w:ascii="宋体" w:hAnsi="宋体" w:cs="Courier New"/>
                <w:bCs/>
                <w:color w:val="auto"/>
                <w:szCs w:val="21"/>
                <w:highlight w:val="none"/>
              </w:rPr>
              <w:t>。</w:t>
            </w:r>
          </w:p>
          <w:p w14:paraId="7BDEB985">
            <w:pPr>
              <w:spacing w:line="400" w:lineRule="exact"/>
              <w:rPr>
                <w:rFonts w:hint="eastAsia" w:ascii="宋体" w:hAnsi="宋体" w:cs="Courier New"/>
                <w:bCs/>
                <w:color w:val="auto"/>
                <w:szCs w:val="21"/>
                <w:highlight w:val="none"/>
              </w:rPr>
            </w:pPr>
            <w:r>
              <w:rPr>
                <w:rFonts w:hint="eastAsia" w:ascii="宋体" w:hAnsi="宋体" w:cs="Courier New"/>
                <w:bCs/>
                <w:color w:val="auto"/>
                <w:szCs w:val="21"/>
                <w:highlight w:val="none"/>
              </w:rPr>
              <w:t>（2）</w:t>
            </w:r>
            <w:r>
              <w:rPr>
                <w:rFonts w:hint="eastAsia" w:ascii="宋体" w:hAnsi="宋体" w:cs="Courier New"/>
                <w:bCs/>
                <w:color w:val="auto"/>
                <w:szCs w:val="21"/>
                <w:highlight w:val="none"/>
                <w:lang w:val="en-US" w:eastAsia="zh-CN"/>
              </w:rPr>
              <w:t>中小企业</w:t>
            </w:r>
            <w:r>
              <w:rPr>
                <w:rFonts w:hint="eastAsia" w:ascii="宋体" w:hAnsi="宋体" w:cs="Courier New"/>
                <w:bCs/>
                <w:color w:val="auto"/>
                <w:szCs w:val="21"/>
                <w:highlight w:val="none"/>
              </w:rPr>
              <w:t>政策性扣除计算方法。</w:t>
            </w:r>
          </w:p>
          <w:p w14:paraId="23726920">
            <w:pPr>
              <w:spacing w:line="400" w:lineRule="exact"/>
              <w:rPr>
                <w:rFonts w:hint="eastAsia" w:ascii="宋体" w:hAnsi="宋体" w:cs="Courier New"/>
                <w:bCs/>
                <w:color w:val="auto"/>
                <w:szCs w:val="21"/>
                <w:highlight w:val="none"/>
              </w:rPr>
            </w:pPr>
            <w:r>
              <w:rPr>
                <w:rFonts w:hint="eastAsia" w:ascii="宋体" w:hAnsi="宋体" w:cs="Courier New"/>
                <w:bCs/>
                <w:color w:val="auto"/>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投标</w:t>
            </w:r>
            <w:r>
              <w:rPr>
                <w:rFonts w:hint="eastAsia" w:ascii="宋体" w:hAnsi="宋体" w:cs="Courier New"/>
                <w:bCs/>
                <w:color w:val="auto"/>
                <w:szCs w:val="21"/>
                <w:highlight w:val="none"/>
                <w:lang w:val="en-US" w:eastAsia="zh-CN"/>
              </w:rPr>
              <w:t>全部服务</w:t>
            </w:r>
            <w:r>
              <w:rPr>
                <w:rFonts w:hint="eastAsia" w:ascii="宋体" w:hAnsi="宋体" w:cs="Courier New"/>
                <w:bCs/>
                <w:color w:val="auto"/>
                <w:szCs w:val="21"/>
                <w:highlight w:val="none"/>
              </w:rPr>
              <w:t>小微企业</w:t>
            </w:r>
            <w:r>
              <w:rPr>
                <w:rFonts w:hint="eastAsia" w:ascii="宋体" w:hAnsi="宋体" w:cs="Courier New"/>
                <w:bCs/>
                <w:color w:val="auto"/>
                <w:szCs w:val="21"/>
                <w:highlight w:val="none"/>
                <w:lang w:val="en-US" w:eastAsia="zh-CN"/>
              </w:rPr>
              <w:t>承接的</w:t>
            </w:r>
            <w:r>
              <w:rPr>
                <w:rFonts w:hint="eastAsia" w:ascii="宋体" w:hAnsi="宋体" w:cs="Courier New"/>
                <w:bCs/>
                <w:color w:val="auto"/>
                <w:szCs w:val="21"/>
                <w:highlight w:val="none"/>
              </w:rPr>
              <w:t>，对其投标报价</w:t>
            </w:r>
            <w:r>
              <w:rPr>
                <w:rFonts w:hint="eastAsia" w:ascii="宋体" w:hAnsi="宋体" w:cs="Courier New"/>
                <w:bCs/>
                <w:color w:val="auto"/>
                <w:szCs w:val="21"/>
                <w:highlight w:val="none"/>
                <w:lang w:eastAsia="zh-CN"/>
              </w:rPr>
              <w:t>系数</w:t>
            </w:r>
            <w:r>
              <w:rPr>
                <w:rFonts w:hint="eastAsia" w:ascii="宋体" w:hAnsi="宋体" w:cs="Courier New"/>
                <w:bCs/>
                <w:color w:val="auto"/>
                <w:szCs w:val="21"/>
                <w:highlight w:val="none"/>
              </w:rPr>
              <w:t>给予10%的扣除，扣除后的</w:t>
            </w:r>
            <w:r>
              <w:rPr>
                <w:rFonts w:hint="eastAsia" w:ascii="宋体" w:hAnsi="宋体" w:cs="Courier New"/>
                <w:bCs/>
                <w:color w:val="auto"/>
                <w:szCs w:val="21"/>
                <w:highlight w:val="none"/>
                <w:lang w:eastAsia="zh-CN"/>
              </w:rPr>
              <w:t>报价系数</w:t>
            </w:r>
            <w:r>
              <w:rPr>
                <w:rFonts w:hint="eastAsia" w:ascii="宋体" w:hAnsi="宋体" w:cs="Courier New"/>
                <w:bCs/>
                <w:color w:val="auto"/>
                <w:szCs w:val="21"/>
                <w:highlight w:val="none"/>
              </w:rPr>
              <w:t>为评标报价</w:t>
            </w:r>
            <w:r>
              <w:rPr>
                <w:rFonts w:hint="eastAsia" w:ascii="宋体" w:hAnsi="宋体" w:cs="Courier New"/>
                <w:bCs/>
                <w:color w:val="auto"/>
                <w:szCs w:val="21"/>
                <w:highlight w:val="none"/>
                <w:lang w:eastAsia="zh-CN"/>
              </w:rPr>
              <w:t>系数</w:t>
            </w:r>
            <w:r>
              <w:rPr>
                <w:rFonts w:hint="eastAsia" w:ascii="宋体" w:hAnsi="宋体" w:cs="Courier New"/>
                <w:bCs/>
                <w:color w:val="auto"/>
                <w:szCs w:val="21"/>
                <w:highlight w:val="none"/>
              </w:rPr>
              <w:t>，即评标报价</w:t>
            </w:r>
            <w:r>
              <w:rPr>
                <w:rFonts w:hint="eastAsia" w:ascii="宋体" w:hAnsi="宋体" w:cs="Courier New"/>
                <w:bCs/>
                <w:color w:val="auto"/>
                <w:szCs w:val="21"/>
                <w:highlight w:val="none"/>
                <w:lang w:eastAsia="zh-CN"/>
              </w:rPr>
              <w:t>系数</w:t>
            </w:r>
            <w:r>
              <w:rPr>
                <w:rFonts w:hint="eastAsia" w:ascii="宋体" w:hAnsi="宋体" w:cs="Courier New"/>
                <w:bCs/>
                <w:color w:val="auto"/>
                <w:szCs w:val="21"/>
                <w:highlight w:val="none"/>
              </w:rPr>
              <w:t>=投标报价</w:t>
            </w:r>
            <w:r>
              <w:rPr>
                <w:rFonts w:hint="eastAsia" w:ascii="宋体" w:hAnsi="宋体" w:cs="Courier New"/>
                <w:bCs/>
                <w:color w:val="auto"/>
                <w:szCs w:val="21"/>
                <w:highlight w:val="none"/>
                <w:lang w:eastAsia="zh-CN"/>
              </w:rPr>
              <w:t>系数</w:t>
            </w:r>
            <w:r>
              <w:rPr>
                <w:rFonts w:hint="eastAsia" w:ascii="宋体" w:hAnsi="宋体" w:cs="Courier New"/>
                <w:bCs/>
                <w:color w:val="auto"/>
                <w:szCs w:val="21"/>
                <w:highlight w:val="none"/>
              </w:rPr>
              <w:t>×（1-10%）。除上述情况外，评标报价</w:t>
            </w:r>
            <w:r>
              <w:rPr>
                <w:rFonts w:hint="eastAsia" w:ascii="宋体" w:hAnsi="宋体" w:cs="Courier New"/>
                <w:bCs/>
                <w:color w:val="auto"/>
                <w:szCs w:val="21"/>
                <w:highlight w:val="none"/>
                <w:lang w:eastAsia="zh-CN"/>
              </w:rPr>
              <w:t>系数</w:t>
            </w:r>
            <w:r>
              <w:rPr>
                <w:rFonts w:hint="eastAsia" w:ascii="宋体" w:hAnsi="宋体" w:cs="Courier New"/>
                <w:bCs/>
                <w:color w:val="auto"/>
                <w:szCs w:val="21"/>
                <w:highlight w:val="none"/>
              </w:rPr>
              <w:t>=投标报价</w:t>
            </w:r>
            <w:r>
              <w:rPr>
                <w:rFonts w:hint="eastAsia" w:ascii="宋体" w:hAnsi="宋体" w:cs="Courier New"/>
                <w:bCs/>
                <w:color w:val="auto"/>
                <w:szCs w:val="21"/>
                <w:highlight w:val="none"/>
                <w:lang w:eastAsia="zh-CN"/>
              </w:rPr>
              <w:t>系数</w:t>
            </w:r>
            <w:r>
              <w:rPr>
                <w:rFonts w:hint="eastAsia" w:ascii="宋体" w:hAnsi="宋体" w:cs="Courier New"/>
                <w:bCs/>
                <w:color w:val="auto"/>
                <w:szCs w:val="21"/>
                <w:highlight w:val="none"/>
              </w:rPr>
              <w:t>。</w:t>
            </w:r>
          </w:p>
          <w:p w14:paraId="037CCB51">
            <w:pPr>
              <w:spacing w:line="400" w:lineRule="exact"/>
              <w:rPr>
                <w:rFonts w:hint="eastAsia" w:ascii="宋体" w:hAnsi="宋体" w:cs="Courier New"/>
                <w:bCs/>
                <w:color w:val="auto"/>
                <w:szCs w:val="21"/>
                <w:highlight w:val="none"/>
              </w:rPr>
            </w:pPr>
            <w:r>
              <w:rPr>
                <w:rFonts w:hint="eastAsia" w:ascii="宋体" w:hAnsi="宋体" w:cs="Courier New"/>
                <w:bCs/>
                <w:color w:val="auto"/>
                <w:szCs w:val="21"/>
                <w:highlight w:val="none"/>
              </w:rPr>
              <w:t>（3）按照《财政部、司法部关于政府  采购支持监狱企业发展有关问题的通知》（财库〔2014〕68号）的规定，监狱企业视同小型、微型企业，享受预留份额、评审中</w:t>
            </w:r>
            <w:r>
              <w:rPr>
                <w:rFonts w:hint="eastAsia" w:ascii="宋体" w:hAnsi="宋体" w:cs="Courier New"/>
                <w:bCs/>
                <w:color w:val="auto"/>
                <w:szCs w:val="21"/>
                <w:highlight w:val="none"/>
                <w:lang w:eastAsia="zh-CN"/>
              </w:rPr>
              <w:t>系数</w:t>
            </w:r>
            <w:r>
              <w:rPr>
                <w:rFonts w:hint="eastAsia" w:ascii="宋体" w:hAnsi="宋体" w:cs="Courier New"/>
                <w:bCs/>
                <w:color w:val="auto"/>
                <w:szCs w:val="21"/>
                <w:highlight w:val="none"/>
              </w:rPr>
              <w:t>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3D5F9C8E">
            <w:pPr>
              <w:spacing w:line="400" w:lineRule="exact"/>
              <w:rPr>
                <w:rFonts w:hint="eastAsia" w:ascii="宋体" w:hAnsi="宋体" w:cs="Courier New"/>
                <w:bCs/>
                <w:color w:val="auto"/>
                <w:szCs w:val="21"/>
                <w:highlight w:val="none"/>
              </w:rPr>
            </w:pPr>
            <w:r>
              <w:rPr>
                <w:rFonts w:hint="eastAsia" w:ascii="宋体" w:hAnsi="宋体" w:cs="Courier New"/>
                <w:bCs/>
                <w:color w:val="auto"/>
                <w:szCs w:val="21"/>
                <w:highlight w:val="none"/>
              </w:rPr>
              <w:t>（4）按照《关于促进残疾人就业政府采购政策的通知》（财库〔2017〕141号）的规定，残疾人福利性单位视同小型、微型企业，享受预留份额、评审中</w:t>
            </w:r>
            <w:r>
              <w:rPr>
                <w:rFonts w:hint="eastAsia" w:ascii="宋体" w:hAnsi="宋体" w:cs="Courier New"/>
                <w:bCs/>
                <w:color w:val="auto"/>
                <w:szCs w:val="21"/>
                <w:highlight w:val="none"/>
                <w:lang w:eastAsia="zh-CN"/>
              </w:rPr>
              <w:t>系数</w:t>
            </w:r>
            <w:r>
              <w:rPr>
                <w:rFonts w:hint="eastAsia" w:ascii="宋体" w:hAnsi="宋体" w:cs="Courier New"/>
                <w:bCs/>
                <w:color w:val="auto"/>
                <w:szCs w:val="21"/>
                <w:highlight w:val="none"/>
              </w:rPr>
              <w:t>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4BD3DD3">
            <w:pPr>
              <w:spacing w:line="400" w:lineRule="exac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）本国产品政策性扣除计算方法。</w:t>
            </w:r>
          </w:p>
          <w:p w14:paraId="4B6EF97F">
            <w:pPr>
              <w:spacing w:line="400" w:lineRule="exact"/>
              <w:ind w:firstLine="420"/>
              <w:rPr>
                <w:rFonts w:hint="eastAsia" w:ascii="宋体" w:hAnsi="宋体" w:cs="Courier New"/>
                <w:bCs/>
                <w:color w:val="auto"/>
                <w:szCs w:val="21"/>
                <w:highlight w:val="none"/>
              </w:rPr>
            </w:pPr>
            <w:r>
              <w:rPr>
                <w:rFonts w:hint="eastAsia" w:ascii="宋体" w:hAnsi="宋体"/>
                <w:color w:val="auto"/>
                <w:szCs w:val="21"/>
                <w:highlight w:val="none"/>
                <w:lang w:val="en-US" w:eastAsia="zh-CN"/>
              </w:rPr>
              <w:t>本项目不涉及本国产品，无须对投标人</w:t>
            </w:r>
            <w:r>
              <w:rPr>
                <w:rFonts w:hint="eastAsia" w:ascii="宋体" w:hAnsi="宋体"/>
                <w:color w:val="auto"/>
                <w:szCs w:val="21"/>
                <w:highlight w:val="none"/>
              </w:rPr>
              <w:t>的</w:t>
            </w:r>
            <w:r>
              <w:rPr>
                <w:rFonts w:hint="eastAsia" w:ascii="宋体" w:hAnsi="宋体"/>
                <w:color w:val="auto"/>
                <w:szCs w:val="21"/>
                <w:highlight w:val="none"/>
                <w:lang w:val="en-US" w:eastAsia="zh-CN"/>
              </w:rPr>
              <w:t>投标</w:t>
            </w:r>
            <w:r>
              <w:rPr>
                <w:rFonts w:hint="eastAsia" w:ascii="宋体" w:hAnsi="宋体"/>
                <w:color w:val="auto"/>
                <w:szCs w:val="21"/>
                <w:highlight w:val="none"/>
              </w:rPr>
              <w:t>报价进行本国产品政策性扣除</w:t>
            </w:r>
            <w:r>
              <w:rPr>
                <w:rFonts w:hint="eastAsia" w:ascii="宋体" w:hAnsi="宋体"/>
                <w:color w:val="auto"/>
                <w:szCs w:val="21"/>
                <w:highlight w:val="none"/>
                <w:lang w:eastAsia="zh-CN"/>
              </w:rPr>
              <w:t>。</w:t>
            </w:r>
          </w:p>
          <w:p w14:paraId="7E6151D1">
            <w:pPr>
              <w:spacing w:line="400" w:lineRule="exact"/>
              <w:rPr>
                <w:rFonts w:hint="eastAsia" w:ascii="宋体" w:hAnsi="宋体" w:cs="Courier New"/>
                <w:bCs/>
                <w:color w:val="auto"/>
                <w:szCs w:val="21"/>
                <w:highlight w:val="none"/>
              </w:rPr>
            </w:pPr>
            <w:r>
              <w:rPr>
                <w:rFonts w:hint="eastAsia" w:ascii="宋体" w:hAnsi="宋体" w:cs="Courier New"/>
                <w:bCs/>
                <w:color w:val="auto"/>
                <w:szCs w:val="21"/>
                <w:highlight w:val="none"/>
              </w:rPr>
              <w:t>（</w:t>
            </w:r>
            <w:r>
              <w:rPr>
                <w:rFonts w:hint="eastAsia" w:ascii="宋体" w:hAnsi="宋体" w:cs="Courier New"/>
                <w:bCs/>
                <w:color w:val="auto"/>
                <w:szCs w:val="21"/>
                <w:highlight w:val="none"/>
                <w:lang w:val="en-US" w:eastAsia="zh-CN"/>
              </w:rPr>
              <w:t>6</w:t>
            </w:r>
            <w:r>
              <w:rPr>
                <w:rFonts w:hint="eastAsia" w:ascii="宋体" w:hAnsi="宋体" w:cs="Courier New"/>
                <w:bCs/>
                <w:color w:val="auto"/>
                <w:szCs w:val="21"/>
                <w:highlight w:val="none"/>
              </w:rPr>
              <w:t>）满足招标文件要求且最低的评标报价</w:t>
            </w:r>
            <w:r>
              <w:rPr>
                <w:rFonts w:hint="eastAsia" w:ascii="宋体" w:hAnsi="宋体" w:cs="Courier New"/>
                <w:bCs/>
                <w:color w:val="auto"/>
                <w:szCs w:val="21"/>
                <w:highlight w:val="none"/>
                <w:lang w:eastAsia="zh-CN"/>
              </w:rPr>
              <w:t>系数</w:t>
            </w:r>
            <w:r>
              <w:rPr>
                <w:rFonts w:hint="eastAsia" w:ascii="宋体" w:hAnsi="宋体" w:cs="Courier New"/>
                <w:bCs/>
                <w:color w:val="auto"/>
                <w:szCs w:val="21"/>
                <w:highlight w:val="none"/>
              </w:rPr>
              <w:t>为评标基准价，其价格分为满分。</w:t>
            </w:r>
          </w:p>
          <w:p w14:paraId="6A2C5DA3">
            <w:pPr>
              <w:spacing w:line="400" w:lineRule="exact"/>
              <w:rPr>
                <w:rFonts w:hint="eastAsia" w:ascii="宋体" w:hAnsi="宋体" w:cs="Courier New"/>
                <w:bCs/>
                <w:color w:val="auto"/>
                <w:szCs w:val="21"/>
                <w:highlight w:val="none"/>
              </w:rPr>
            </w:pPr>
            <w:r>
              <w:rPr>
                <w:rFonts w:hint="eastAsia" w:ascii="宋体" w:hAnsi="宋体" w:cs="Courier New"/>
                <w:bCs/>
                <w:color w:val="auto"/>
                <w:szCs w:val="21"/>
                <w:highlight w:val="none"/>
              </w:rPr>
              <w:t>（</w:t>
            </w:r>
            <w:r>
              <w:rPr>
                <w:rFonts w:hint="eastAsia" w:ascii="宋体" w:hAnsi="宋体" w:cs="Courier New"/>
                <w:bCs/>
                <w:color w:val="auto"/>
                <w:szCs w:val="21"/>
                <w:highlight w:val="none"/>
                <w:lang w:val="en-US" w:eastAsia="zh-CN"/>
              </w:rPr>
              <w:t>7</w:t>
            </w:r>
            <w:r>
              <w:rPr>
                <w:rFonts w:hint="eastAsia" w:ascii="宋体" w:hAnsi="宋体" w:cs="Courier New"/>
                <w:bCs/>
                <w:color w:val="auto"/>
                <w:szCs w:val="21"/>
                <w:highlight w:val="none"/>
              </w:rPr>
              <w:t>）</w:t>
            </w:r>
            <w:r>
              <w:rPr>
                <w:rFonts w:hint="eastAsia" w:ascii="宋体" w:hAnsi="宋体"/>
                <w:bCs/>
                <w:color w:val="auto"/>
                <w:szCs w:val="21"/>
                <w:highlight w:val="none"/>
              </w:rPr>
              <w:t>报价系数分计算公式</w:t>
            </w:r>
            <w:r>
              <w:rPr>
                <w:rFonts w:hint="eastAsia" w:ascii="宋体" w:hAnsi="宋体" w:cs="Courier New"/>
                <w:bCs/>
                <w:color w:val="auto"/>
                <w:szCs w:val="21"/>
                <w:highlight w:val="none"/>
              </w:rPr>
              <w:t xml:space="preserve">：        </w:t>
            </w:r>
          </w:p>
          <w:p w14:paraId="228136E2">
            <w:pPr>
              <w:spacing w:line="400" w:lineRule="exact"/>
              <w:rPr>
                <w:rFonts w:hint="eastAsia" w:ascii="宋体" w:hAnsi="宋体"/>
                <w:bCs/>
                <w:color w:val="auto"/>
                <w:szCs w:val="21"/>
                <w:highlight w:val="none"/>
                <w:lang w:val="en-US" w:eastAsia="zh-CN"/>
              </w:rPr>
            </w:pPr>
            <w:r>
              <w:rPr>
                <w:rFonts w:hint="eastAsia" w:ascii="宋体" w:hAnsi="宋体"/>
                <w:bCs/>
                <w:color w:val="auto"/>
                <w:szCs w:val="21"/>
                <w:highlight w:val="none"/>
                <w:lang w:eastAsia="zh-CN"/>
              </w:rPr>
              <w:t>报价系数分=（评标基准价／某投标人的</w:t>
            </w:r>
            <w:r>
              <w:rPr>
                <w:rFonts w:hint="eastAsia" w:ascii="宋体" w:hAnsi="宋体" w:cs="Courier New"/>
                <w:bCs/>
                <w:color w:val="auto"/>
                <w:szCs w:val="21"/>
                <w:highlight w:val="none"/>
              </w:rPr>
              <w:t>评标报价</w:t>
            </w:r>
            <w:r>
              <w:rPr>
                <w:rFonts w:hint="eastAsia" w:ascii="宋体" w:hAnsi="宋体" w:cs="Courier New"/>
                <w:bCs/>
                <w:color w:val="auto"/>
                <w:szCs w:val="21"/>
                <w:highlight w:val="none"/>
                <w:lang w:eastAsia="zh-CN"/>
              </w:rPr>
              <w:t>系数</w:t>
            </w:r>
            <w:r>
              <w:rPr>
                <w:rFonts w:hint="eastAsia" w:ascii="宋体" w:hAnsi="宋体"/>
                <w:bCs/>
                <w:color w:val="auto"/>
                <w:szCs w:val="21"/>
                <w:highlight w:val="none"/>
                <w:lang w:eastAsia="zh-CN"/>
              </w:rPr>
              <w:t>）×20分</w:t>
            </w:r>
          </w:p>
        </w:tc>
      </w:tr>
      <w:tr w14:paraId="68C4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3F836DA9">
            <w:pPr>
              <w:spacing w:line="40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8768" w:type="dxa"/>
            <w:gridSpan w:val="3"/>
            <w:tcBorders>
              <w:top w:val="single" w:color="auto" w:sz="4" w:space="0"/>
              <w:left w:val="single" w:color="auto" w:sz="4" w:space="0"/>
              <w:bottom w:val="single" w:color="auto" w:sz="4" w:space="0"/>
              <w:right w:val="single" w:color="auto" w:sz="4" w:space="0"/>
            </w:tcBorders>
            <w:noWrap w:val="0"/>
            <w:vAlign w:val="center"/>
          </w:tcPr>
          <w:p w14:paraId="001384D5">
            <w:pPr>
              <w:spacing w:line="440" w:lineRule="exact"/>
              <w:rPr>
                <w:rFonts w:ascii="宋体" w:hAnsi="宋体"/>
                <w:bCs/>
                <w:color w:val="auto"/>
                <w:szCs w:val="21"/>
                <w:highlight w:val="none"/>
                <w:lang w:bidi="zh-CN"/>
              </w:rPr>
            </w:pPr>
            <w:r>
              <w:rPr>
                <w:rFonts w:hint="eastAsia" w:ascii="宋体" w:hAnsi="宋体"/>
                <w:bCs/>
                <w:color w:val="auto"/>
                <w:szCs w:val="21"/>
                <w:highlight w:val="none"/>
                <w:lang w:bidi="zh-CN"/>
              </w:rPr>
              <w:t>技术方案分</w:t>
            </w:r>
          </w:p>
        </w:tc>
      </w:tr>
      <w:tr w14:paraId="67B19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0" w:type="dxa"/>
            <w:vMerge w:val="restart"/>
            <w:tcBorders>
              <w:top w:val="single" w:color="auto" w:sz="4" w:space="0"/>
              <w:left w:val="single" w:color="auto" w:sz="4" w:space="0"/>
              <w:bottom w:val="single" w:color="auto" w:sz="4" w:space="0"/>
              <w:right w:val="single" w:color="auto" w:sz="4" w:space="0"/>
            </w:tcBorders>
            <w:noWrap w:val="0"/>
            <w:vAlign w:val="center"/>
          </w:tcPr>
          <w:p w14:paraId="492AE419">
            <w:pPr>
              <w:spacing w:line="400" w:lineRule="exact"/>
              <w:jc w:val="center"/>
              <w:rPr>
                <w:rFonts w:hint="eastAsia" w:ascii="宋体" w:hAnsi="宋体"/>
                <w:color w:val="auto"/>
                <w:szCs w:val="21"/>
                <w:highlight w:val="none"/>
              </w:rPr>
            </w:pPr>
            <w:r>
              <w:rPr>
                <w:rFonts w:hint="eastAsia" w:ascii="宋体" w:hAnsi="宋体"/>
                <w:color w:val="auto"/>
                <w:szCs w:val="21"/>
                <w:highlight w:val="none"/>
              </w:rPr>
              <w:t>2.1</w:t>
            </w:r>
          </w:p>
          <w:p w14:paraId="6AF4332E">
            <w:pPr>
              <w:spacing w:line="400" w:lineRule="exact"/>
              <w:jc w:val="center"/>
              <w:rPr>
                <w:rFonts w:hint="eastAsia" w:ascii="宋体" w:hAnsi="宋体"/>
                <w:color w:val="auto"/>
                <w:szCs w:val="21"/>
                <w:highlight w:val="none"/>
              </w:rPr>
            </w:pPr>
          </w:p>
        </w:tc>
        <w:tc>
          <w:tcPr>
            <w:tcW w:w="1407" w:type="dxa"/>
            <w:vMerge w:val="restart"/>
            <w:tcBorders>
              <w:top w:val="single" w:color="auto" w:sz="4" w:space="0"/>
              <w:left w:val="single" w:color="auto" w:sz="4" w:space="0"/>
              <w:bottom w:val="single" w:color="auto" w:sz="4" w:space="0"/>
              <w:right w:val="single" w:color="auto" w:sz="4" w:space="0"/>
            </w:tcBorders>
            <w:noWrap w:val="0"/>
            <w:vAlign w:val="center"/>
          </w:tcPr>
          <w:p w14:paraId="2F44FF79">
            <w:pPr>
              <w:spacing w:line="400" w:lineRule="exact"/>
              <w:jc w:val="center"/>
              <w:rPr>
                <w:rFonts w:hint="eastAsia" w:ascii="宋体" w:hAnsi="宋体" w:eastAsia="宋体" w:cs="Times New Roman"/>
                <w:color w:val="auto"/>
                <w:szCs w:val="21"/>
                <w:highlight w:val="none"/>
              </w:rPr>
            </w:pPr>
            <w:r>
              <w:rPr>
                <w:rFonts w:hint="eastAsia" w:ascii="宋体" w:hAnsi="宋体"/>
                <w:b/>
                <w:bCs/>
                <w:color w:val="auto"/>
                <w:szCs w:val="21"/>
                <w:highlight w:val="none"/>
              </w:rPr>
              <w:t>技术服务方案分</w:t>
            </w:r>
            <w:r>
              <w:rPr>
                <w:rFonts w:hint="eastAsia" w:ascii="宋体" w:hAnsi="宋体"/>
                <w:bCs/>
                <w:color w:val="auto"/>
                <w:szCs w:val="21"/>
                <w:highlight w:val="none"/>
              </w:rPr>
              <w:t>（</w:t>
            </w:r>
            <w:r>
              <w:rPr>
                <w:rFonts w:hint="eastAsia" w:ascii="宋体" w:hAnsi="宋体"/>
                <w:color w:val="auto"/>
                <w:szCs w:val="21"/>
                <w:highlight w:val="none"/>
              </w:rPr>
              <w:t>满分</w:t>
            </w:r>
            <w:r>
              <w:rPr>
                <w:rFonts w:hint="eastAsia" w:ascii="宋体" w:hAnsi="宋体"/>
                <w:color w:val="auto"/>
                <w:szCs w:val="21"/>
                <w:highlight w:val="none"/>
                <w:u w:val="single"/>
                <w:lang w:val="en-US" w:eastAsia="zh-CN"/>
              </w:rPr>
              <w:t>70</w:t>
            </w:r>
            <w:r>
              <w:rPr>
                <w:rFonts w:hint="eastAsia" w:ascii="宋体" w:hAnsi="宋体"/>
                <w:bCs/>
                <w:color w:val="auto"/>
                <w:szCs w:val="21"/>
                <w:highlight w:val="none"/>
              </w:rPr>
              <w:t>分）</w:t>
            </w:r>
          </w:p>
        </w:tc>
        <w:tc>
          <w:tcPr>
            <w:tcW w:w="7361" w:type="dxa"/>
            <w:gridSpan w:val="2"/>
            <w:tcBorders>
              <w:top w:val="single" w:color="auto" w:sz="4" w:space="0"/>
              <w:left w:val="single" w:color="auto" w:sz="4" w:space="0"/>
              <w:bottom w:val="single" w:color="auto" w:sz="4" w:space="0"/>
              <w:right w:val="single" w:color="auto" w:sz="4" w:space="0"/>
            </w:tcBorders>
            <w:noWrap w:val="0"/>
            <w:vAlign w:val="center"/>
          </w:tcPr>
          <w:p w14:paraId="2A79BDA5">
            <w:pPr>
              <w:pStyle w:val="231"/>
              <w:numPr>
                <w:ilvl w:val="0"/>
                <w:numId w:val="8"/>
              </w:numPr>
              <w:spacing w:line="360" w:lineRule="auto"/>
              <w:rPr>
                <w:rFonts w:hint="eastAsia" w:hAnsi="宋体"/>
                <w:bCs/>
                <w:color w:val="auto"/>
                <w:sz w:val="21"/>
                <w:highlight w:val="none"/>
                <w:lang w:val="en-US" w:eastAsia="zh-CN"/>
              </w:rPr>
            </w:pPr>
            <w:r>
              <w:rPr>
                <w:rFonts w:hint="eastAsia" w:hAnsi="宋体"/>
                <w:bCs/>
                <w:color w:val="auto"/>
                <w:sz w:val="21"/>
                <w:highlight w:val="none"/>
                <w:lang w:val="en-US" w:eastAsia="zh-CN"/>
              </w:rPr>
              <w:t>项目实施方案（满分20分）</w:t>
            </w:r>
          </w:p>
          <w:p w14:paraId="462FD470">
            <w:pPr>
              <w:pStyle w:val="231"/>
              <w:spacing w:line="360" w:lineRule="auto"/>
              <w:rPr>
                <w:rFonts w:hint="eastAsia" w:ascii="宋体" w:hAnsi="宋体" w:eastAsia="宋体" w:cs="Times New Roman"/>
                <w:bCs/>
                <w:color w:val="auto"/>
                <w:sz w:val="21"/>
                <w:highlight w:val="none"/>
                <w:lang w:val="en-US" w:eastAsia="zh-CN"/>
              </w:rPr>
            </w:pPr>
            <w:r>
              <w:rPr>
                <w:rFonts w:hint="eastAsia" w:ascii="宋体" w:hAnsi="宋体" w:eastAsia="宋体" w:cs="Times New Roman"/>
                <w:bCs/>
                <w:color w:val="auto"/>
                <w:sz w:val="21"/>
                <w:highlight w:val="none"/>
                <w:lang w:val="en-US" w:eastAsia="zh-CN"/>
              </w:rPr>
              <w:t>评委根据投标人提供的项目实施方案（包括</w:t>
            </w:r>
            <w:r>
              <w:rPr>
                <w:rFonts w:hint="eastAsia" w:hAnsi="宋体" w:cs="Times New Roman"/>
                <w:bCs/>
                <w:color w:val="auto"/>
                <w:sz w:val="21"/>
                <w:highlight w:val="none"/>
                <w:lang w:val="en-US" w:eastAsia="zh-CN"/>
              </w:rPr>
              <w:t>1.</w:t>
            </w:r>
            <w:r>
              <w:rPr>
                <w:rFonts w:hint="eastAsia" w:ascii="宋体" w:hAnsi="宋体" w:eastAsia="宋体" w:cs="Times New Roman"/>
                <w:bCs/>
                <w:color w:val="auto"/>
                <w:sz w:val="21"/>
                <w:highlight w:val="none"/>
                <w:lang w:val="en-US" w:eastAsia="zh-CN"/>
              </w:rPr>
              <w:t>施工组织机构</w:t>
            </w:r>
            <w:r>
              <w:rPr>
                <w:rFonts w:hint="eastAsia" w:hAnsi="宋体" w:cs="Times New Roman"/>
                <w:bCs/>
                <w:color w:val="auto"/>
                <w:sz w:val="21"/>
                <w:highlight w:val="none"/>
                <w:lang w:val="en-US" w:eastAsia="zh-CN"/>
              </w:rPr>
              <w:t>；2.</w:t>
            </w:r>
            <w:r>
              <w:rPr>
                <w:rFonts w:hint="eastAsia" w:ascii="宋体" w:hAnsi="宋体" w:eastAsia="宋体" w:cs="Times New Roman"/>
                <w:bCs/>
                <w:color w:val="auto"/>
                <w:sz w:val="21"/>
                <w:highlight w:val="none"/>
                <w:lang w:val="en-US" w:eastAsia="zh-CN"/>
              </w:rPr>
              <w:t>施工机械</w:t>
            </w:r>
            <w:r>
              <w:rPr>
                <w:rFonts w:hint="eastAsia" w:hAnsi="宋体" w:cs="Times New Roman"/>
                <w:bCs/>
                <w:color w:val="auto"/>
                <w:sz w:val="21"/>
                <w:highlight w:val="none"/>
                <w:lang w:val="en-US" w:eastAsia="zh-CN"/>
              </w:rPr>
              <w:t>；3.</w:t>
            </w:r>
            <w:r>
              <w:rPr>
                <w:rFonts w:hint="eastAsia" w:ascii="宋体" w:hAnsi="宋体" w:eastAsia="宋体" w:cs="Times New Roman"/>
                <w:bCs/>
                <w:color w:val="auto"/>
                <w:sz w:val="21"/>
                <w:highlight w:val="none"/>
                <w:lang w:val="en-US" w:eastAsia="zh-CN"/>
              </w:rPr>
              <w:t>施工进度计划及保证工期</w:t>
            </w:r>
            <w:r>
              <w:rPr>
                <w:rFonts w:hint="eastAsia" w:hAnsi="宋体" w:cs="Times New Roman"/>
                <w:bCs/>
                <w:color w:val="auto"/>
                <w:sz w:val="21"/>
                <w:highlight w:val="none"/>
                <w:lang w:val="en-US" w:eastAsia="zh-CN"/>
              </w:rPr>
              <w:t>；4.</w:t>
            </w:r>
            <w:r>
              <w:rPr>
                <w:rFonts w:hint="eastAsia" w:ascii="宋体" w:hAnsi="宋体" w:eastAsia="宋体" w:cs="Times New Roman"/>
                <w:bCs/>
                <w:color w:val="auto"/>
                <w:sz w:val="21"/>
                <w:highlight w:val="none"/>
                <w:lang w:val="en-US" w:eastAsia="zh-CN"/>
              </w:rPr>
              <w:t>质量的技术措施</w:t>
            </w:r>
            <w:r>
              <w:rPr>
                <w:rFonts w:hint="eastAsia" w:hAnsi="宋体" w:cs="Times New Roman"/>
                <w:bCs/>
                <w:color w:val="auto"/>
                <w:sz w:val="21"/>
                <w:highlight w:val="none"/>
                <w:lang w:val="en-US" w:eastAsia="zh-CN"/>
              </w:rPr>
              <w:t>；5.</w:t>
            </w:r>
            <w:r>
              <w:rPr>
                <w:rFonts w:hint="eastAsia" w:ascii="宋体" w:hAnsi="宋体" w:eastAsia="宋体" w:cs="Times New Roman"/>
                <w:bCs/>
                <w:color w:val="auto"/>
                <w:sz w:val="21"/>
                <w:highlight w:val="none"/>
                <w:lang w:val="en-US" w:eastAsia="zh-CN"/>
              </w:rPr>
              <w:t>安全文明施工措施）进行独立评审、独立打分，计分规则如下：</w:t>
            </w:r>
          </w:p>
          <w:p w14:paraId="091423E8">
            <w:pPr>
              <w:pStyle w:val="231"/>
              <w:spacing w:line="360" w:lineRule="auto"/>
              <w:ind w:firstLine="420" w:firstLineChars="200"/>
              <w:rPr>
                <w:rFonts w:hint="default" w:ascii="宋体" w:hAnsi="宋体" w:eastAsia="宋体" w:cs="Times New Roman"/>
                <w:bCs/>
                <w:color w:val="auto"/>
                <w:sz w:val="21"/>
                <w:highlight w:val="none"/>
                <w:lang w:val="en-US" w:eastAsia="zh-CN"/>
              </w:rPr>
            </w:pPr>
            <w:r>
              <w:rPr>
                <w:rFonts w:hint="eastAsia" w:hAnsi="宋体" w:cs="Times New Roman"/>
                <w:bCs/>
                <w:color w:val="auto"/>
                <w:sz w:val="21"/>
                <w:highlight w:val="none"/>
                <w:lang w:val="en-US" w:eastAsia="zh-CN"/>
              </w:rPr>
              <w:t>供应商</w:t>
            </w:r>
            <w:r>
              <w:rPr>
                <w:rFonts w:hint="default" w:ascii="宋体" w:hAnsi="宋体" w:eastAsia="宋体" w:cs="Times New Roman"/>
                <w:bCs/>
                <w:color w:val="auto"/>
                <w:sz w:val="21"/>
                <w:highlight w:val="none"/>
                <w:lang w:val="en-US" w:eastAsia="zh-CN"/>
              </w:rPr>
              <w:t>提供的项目实施方案每包含有以上一项内容的得2分，包含的内容描述层次分明、详细、切合实际的每项再加2分，满分20分。</w:t>
            </w:r>
          </w:p>
        </w:tc>
      </w:tr>
      <w:tr w14:paraId="3C61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14:paraId="6A2C746B">
            <w:pPr>
              <w:spacing w:line="400" w:lineRule="exact"/>
              <w:jc w:val="center"/>
              <w:rPr>
                <w:rFonts w:hint="eastAsia" w:ascii="宋体" w:hAnsi="宋体"/>
                <w:color w:val="auto"/>
                <w:szCs w:val="21"/>
                <w:highlight w:val="none"/>
              </w:rPr>
            </w:pPr>
          </w:p>
        </w:tc>
        <w:tc>
          <w:tcPr>
            <w:tcW w:w="1407" w:type="dxa"/>
            <w:vMerge w:val="continue"/>
            <w:tcBorders>
              <w:top w:val="single" w:color="auto" w:sz="4" w:space="0"/>
              <w:left w:val="single" w:color="auto" w:sz="4" w:space="0"/>
              <w:bottom w:val="single" w:color="auto" w:sz="4" w:space="0"/>
              <w:right w:val="single" w:color="auto" w:sz="4" w:space="0"/>
            </w:tcBorders>
            <w:noWrap w:val="0"/>
            <w:vAlign w:val="center"/>
          </w:tcPr>
          <w:p w14:paraId="21858FC0">
            <w:pPr>
              <w:spacing w:line="400" w:lineRule="exact"/>
              <w:rPr>
                <w:rFonts w:hint="eastAsia" w:ascii="宋体" w:hAnsi="宋体" w:eastAsia="宋体" w:cs="Times New Roman"/>
                <w:color w:val="auto"/>
                <w:szCs w:val="21"/>
                <w:highlight w:val="none"/>
              </w:rPr>
            </w:pPr>
          </w:p>
        </w:tc>
        <w:tc>
          <w:tcPr>
            <w:tcW w:w="7361" w:type="dxa"/>
            <w:gridSpan w:val="2"/>
            <w:tcBorders>
              <w:top w:val="single" w:color="auto" w:sz="4" w:space="0"/>
              <w:left w:val="single" w:color="auto" w:sz="4" w:space="0"/>
              <w:bottom w:val="single" w:color="auto" w:sz="4" w:space="0"/>
              <w:right w:val="single" w:color="auto" w:sz="4" w:space="0"/>
            </w:tcBorders>
            <w:noWrap w:val="0"/>
            <w:vAlign w:val="center"/>
          </w:tcPr>
          <w:p w14:paraId="567B9BE9">
            <w:pPr>
              <w:pStyle w:val="231"/>
              <w:numPr>
                <w:ilvl w:val="0"/>
                <w:numId w:val="8"/>
              </w:numPr>
              <w:spacing w:line="360" w:lineRule="auto"/>
              <w:rPr>
                <w:rFonts w:hint="eastAsia" w:hAnsi="宋体"/>
                <w:bCs/>
                <w:color w:val="auto"/>
                <w:sz w:val="21"/>
                <w:highlight w:val="none"/>
                <w:lang w:val="en-US" w:eastAsia="zh-CN"/>
              </w:rPr>
            </w:pPr>
            <w:r>
              <w:rPr>
                <w:rFonts w:hint="eastAsia" w:hAnsi="宋体"/>
                <w:bCs/>
                <w:color w:val="auto"/>
                <w:sz w:val="21"/>
                <w:highlight w:val="none"/>
                <w:lang w:val="en-US" w:eastAsia="zh-CN"/>
              </w:rPr>
              <w:t>内部管理制度（满分20分）</w:t>
            </w:r>
          </w:p>
          <w:p w14:paraId="6E8FC609">
            <w:pPr>
              <w:pStyle w:val="231"/>
              <w:spacing w:line="360" w:lineRule="auto"/>
              <w:rPr>
                <w:rFonts w:hint="eastAsia" w:ascii="宋体" w:hAnsi="宋体" w:eastAsia="宋体" w:cs="Times New Roman"/>
                <w:bCs/>
                <w:color w:val="auto"/>
                <w:sz w:val="21"/>
                <w:highlight w:val="none"/>
                <w:lang w:val="en-US" w:eastAsia="zh-CN"/>
              </w:rPr>
            </w:pPr>
            <w:r>
              <w:rPr>
                <w:rFonts w:hint="eastAsia" w:ascii="宋体" w:hAnsi="宋体" w:eastAsia="宋体" w:cs="Times New Roman"/>
                <w:bCs/>
                <w:color w:val="auto"/>
                <w:sz w:val="21"/>
                <w:highlight w:val="none"/>
                <w:lang w:val="en-US" w:eastAsia="zh-CN"/>
              </w:rPr>
              <w:t>评委根据投标人提供的内部管理制度（包括</w:t>
            </w:r>
            <w:r>
              <w:rPr>
                <w:rFonts w:hint="eastAsia" w:hAnsi="宋体" w:cs="Times New Roman"/>
                <w:bCs/>
                <w:color w:val="auto"/>
                <w:sz w:val="21"/>
                <w:highlight w:val="none"/>
                <w:lang w:val="en-US" w:eastAsia="zh-CN"/>
              </w:rPr>
              <w:t>1.</w:t>
            </w:r>
            <w:r>
              <w:rPr>
                <w:rFonts w:hint="eastAsia" w:hAnsi="宋体"/>
                <w:bCs/>
                <w:color w:val="auto"/>
                <w:sz w:val="21"/>
                <w:highlight w:val="none"/>
                <w:lang w:val="en-US" w:eastAsia="zh-CN"/>
              </w:rPr>
              <w:t>内部管理构架</w:t>
            </w:r>
            <w:r>
              <w:rPr>
                <w:rFonts w:hint="eastAsia" w:hAnsi="宋体" w:cs="Times New Roman"/>
                <w:bCs/>
                <w:color w:val="auto"/>
                <w:sz w:val="21"/>
                <w:highlight w:val="none"/>
                <w:lang w:val="en-US" w:eastAsia="zh-CN"/>
              </w:rPr>
              <w:t>；2.</w:t>
            </w:r>
            <w:r>
              <w:rPr>
                <w:rFonts w:hint="eastAsia" w:hAnsi="宋体"/>
                <w:bCs/>
                <w:color w:val="auto"/>
                <w:sz w:val="21"/>
                <w:highlight w:val="none"/>
                <w:lang w:val="en-US" w:eastAsia="zh-CN"/>
              </w:rPr>
              <w:t>管理运作机制</w:t>
            </w:r>
            <w:r>
              <w:rPr>
                <w:rFonts w:hint="eastAsia" w:hAnsi="宋体" w:cs="Times New Roman"/>
                <w:bCs/>
                <w:color w:val="auto"/>
                <w:sz w:val="21"/>
                <w:highlight w:val="none"/>
                <w:lang w:val="en-US" w:eastAsia="zh-CN"/>
              </w:rPr>
              <w:t>；3.</w:t>
            </w:r>
            <w:r>
              <w:rPr>
                <w:rFonts w:hint="eastAsia" w:hAnsi="宋体"/>
                <w:bCs/>
                <w:color w:val="auto"/>
                <w:sz w:val="21"/>
                <w:highlight w:val="none"/>
                <w:lang w:val="en-US" w:eastAsia="zh-CN"/>
              </w:rPr>
              <w:t>激励机制</w:t>
            </w:r>
            <w:r>
              <w:rPr>
                <w:rFonts w:hint="eastAsia" w:hAnsi="宋体" w:cs="Times New Roman"/>
                <w:bCs/>
                <w:color w:val="auto"/>
                <w:sz w:val="21"/>
                <w:highlight w:val="none"/>
                <w:lang w:val="en-US" w:eastAsia="zh-CN"/>
              </w:rPr>
              <w:t>；4.</w:t>
            </w:r>
            <w:r>
              <w:rPr>
                <w:rFonts w:hint="eastAsia" w:hAnsi="宋体"/>
                <w:bCs/>
                <w:color w:val="auto"/>
                <w:sz w:val="21"/>
                <w:highlight w:val="none"/>
                <w:lang w:val="en-US" w:eastAsia="zh-CN"/>
              </w:rPr>
              <w:t>自我约束机制</w:t>
            </w:r>
            <w:r>
              <w:rPr>
                <w:rFonts w:hint="eastAsia" w:hAnsi="宋体" w:cs="Times New Roman"/>
                <w:bCs/>
                <w:color w:val="auto"/>
                <w:sz w:val="21"/>
                <w:highlight w:val="none"/>
                <w:lang w:val="en-US" w:eastAsia="zh-CN"/>
              </w:rPr>
              <w:t>；5.</w:t>
            </w:r>
            <w:r>
              <w:rPr>
                <w:rFonts w:hint="eastAsia" w:hAnsi="宋体"/>
                <w:bCs/>
                <w:color w:val="auto"/>
                <w:sz w:val="21"/>
                <w:highlight w:val="none"/>
                <w:lang w:val="en-US" w:eastAsia="zh-CN"/>
              </w:rPr>
              <w:t>信息反馈处理机制进行独立评审</w:t>
            </w:r>
            <w:r>
              <w:rPr>
                <w:rFonts w:hint="eastAsia" w:ascii="宋体" w:hAnsi="宋体" w:eastAsia="宋体" w:cs="Times New Roman"/>
                <w:bCs/>
                <w:color w:val="auto"/>
                <w:sz w:val="21"/>
                <w:highlight w:val="none"/>
                <w:lang w:val="en-US" w:eastAsia="zh-CN"/>
              </w:rPr>
              <w:t>）进行独立评审、独立打分，计分规则如下：</w:t>
            </w:r>
          </w:p>
          <w:p w14:paraId="736F5F5F">
            <w:pPr>
              <w:pStyle w:val="231"/>
              <w:spacing w:line="360" w:lineRule="auto"/>
              <w:ind w:firstLine="420" w:firstLineChars="200"/>
              <w:rPr>
                <w:rFonts w:hint="eastAsia" w:hAnsi="宋体"/>
                <w:bCs/>
                <w:color w:val="auto"/>
                <w:sz w:val="21"/>
                <w:highlight w:val="none"/>
                <w:lang w:val="en-US" w:eastAsia="zh-CN"/>
              </w:rPr>
            </w:pPr>
            <w:r>
              <w:rPr>
                <w:rFonts w:hint="eastAsia" w:hAnsi="宋体" w:cs="Times New Roman"/>
                <w:bCs/>
                <w:color w:val="auto"/>
                <w:sz w:val="21"/>
                <w:highlight w:val="none"/>
                <w:lang w:val="en-US" w:eastAsia="zh-CN"/>
              </w:rPr>
              <w:t>供应商</w:t>
            </w:r>
            <w:r>
              <w:rPr>
                <w:rFonts w:hint="eastAsia" w:hAnsi="宋体"/>
                <w:bCs/>
                <w:color w:val="auto"/>
                <w:sz w:val="21"/>
                <w:highlight w:val="none"/>
                <w:lang w:val="en-US" w:eastAsia="zh-CN"/>
              </w:rPr>
              <w:t>提供的内部管理制度每包含有以上一项内容的得2分，包含的内容描述层次分明、详细、切合实际的每项再加2分，满分20分。</w:t>
            </w:r>
          </w:p>
        </w:tc>
      </w:tr>
      <w:tr w14:paraId="5D882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14:paraId="64807567">
            <w:pPr>
              <w:spacing w:line="400" w:lineRule="exact"/>
              <w:jc w:val="center"/>
              <w:rPr>
                <w:rFonts w:ascii="宋体" w:hAnsi="宋体"/>
                <w:color w:val="auto"/>
                <w:szCs w:val="21"/>
                <w:highlight w:val="none"/>
              </w:rPr>
            </w:pPr>
          </w:p>
        </w:tc>
        <w:tc>
          <w:tcPr>
            <w:tcW w:w="1407" w:type="dxa"/>
            <w:vMerge w:val="continue"/>
            <w:tcBorders>
              <w:top w:val="single" w:color="auto" w:sz="4" w:space="0"/>
              <w:left w:val="single" w:color="auto" w:sz="4" w:space="0"/>
              <w:bottom w:val="single" w:color="auto" w:sz="4" w:space="0"/>
              <w:right w:val="single" w:color="auto" w:sz="4" w:space="0"/>
            </w:tcBorders>
            <w:noWrap w:val="0"/>
            <w:vAlign w:val="center"/>
          </w:tcPr>
          <w:p w14:paraId="1490406D">
            <w:pPr>
              <w:spacing w:line="400" w:lineRule="exact"/>
              <w:rPr>
                <w:rFonts w:hint="eastAsia" w:ascii="宋体" w:hAnsi="宋体" w:eastAsia="宋体" w:cs="Times New Roman"/>
                <w:color w:val="auto"/>
                <w:szCs w:val="21"/>
                <w:highlight w:val="none"/>
              </w:rPr>
            </w:pPr>
          </w:p>
        </w:tc>
        <w:tc>
          <w:tcPr>
            <w:tcW w:w="7361" w:type="dxa"/>
            <w:gridSpan w:val="2"/>
            <w:tcBorders>
              <w:top w:val="single" w:color="auto" w:sz="4" w:space="0"/>
              <w:left w:val="single" w:color="auto" w:sz="4" w:space="0"/>
              <w:bottom w:val="single" w:color="auto" w:sz="4" w:space="0"/>
              <w:right w:val="single" w:color="auto" w:sz="4" w:space="0"/>
            </w:tcBorders>
            <w:noWrap w:val="0"/>
            <w:vAlign w:val="center"/>
          </w:tcPr>
          <w:p w14:paraId="1B362075">
            <w:pPr>
              <w:pStyle w:val="378"/>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bCs/>
                <w:color w:val="auto"/>
                <w:sz w:val="21"/>
                <w:highlight w:val="none"/>
                <w:lang w:val="en-US" w:eastAsia="zh-CN"/>
              </w:rPr>
            </w:pPr>
            <w:r>
              <w:rPr>
                <w:rFonts w:hint="eastAsia" w:ascii="宋体" w:hAnsi="宋体" w:eastAsia="宋体" w:cs="Times New Roman"/>
                <w:bCs/>
                <w:color w:val="auto"/>
                <w:sz w:val="21"/>
                <w:highlight w:val="none"/>
                <w:lang w:val="en-US" w:eastAsia="zh-CN"/>
              </w:rPr>
              <w:t>（3）工作重点及难点分析（包括不限于：设施巡查与隐患识别、维修养护施工质量与安全管控、</w:t>
            </w:r>
            <w:r>
              <w:rPr>
                <w:rFonts w:hint="eastAsia" w:ascii="宋体" w:hAnsi="宋体" w:eastAsia="宋体" w:cs="Times New Roman"/>
                <w:bCs/>
                <w:color w:val="auto"/>
                <w:sz w:val="21"/>
                <w:szCs w:val="21"/>
                <w:highlight w:val="none"/>
                <w:lang w:val="en-US" w:eastAsia="zh-CN" w:bidi="ar-SA"/>
              </w:rPr>
              <w:t>施工影响管控、</w:t>
            </w:r>
            <w:r>
              <w:rPr>
                <w:rFonts w:hint="eastAsia" w:ascii="宋体" w:hAnsi="宋体" w:eastAsia="宋体" w:cs="Times New Roman"/>
                <w:bCs/>
                <w:color w:val="auto"/>
                <w:sz w:val="21"/>
                <w:highlight w:val="none"/>
                <w:lang w:val="en-US" w:eastAsia="zh-CN"/>
              </w:rPr>
              <w:t>养护资源优化配置、协同机制等）(满分10分)</w:t>
            </w:r>
            <w:r>
              <w:rPr>
                <w:rFonts w:hint="eastAsia" w:hAnsi="宋体" w:cs="Times New Roman"/>
                <w:bCs/>
                <w:color w:val="auto"/>
                <w:sz w:val="21"/>
                <w:highlight w:val="none"/>
                <w:lang w:val="en-US" w:eastAsia="zh-CN"/>
              </w:rPr>
              <w:t>，不入档计0分。</w:t>
            </w:r>
          </w:p>
          <w:p w14:paraId="0881EA07">
            <w:pPr>
              <w:pStyle w:val="231"/>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bCs/>
                <w:color w:val="auto"/>
                <w:sz w:val="21"/>
                <w:highlight w:val="none"/>
                <w:lang w:val="en-US" w:eastAsia="zh-CN"/>
              </w:rPr>
            </w:pPr>
            <w:r>
              <w:rPr>
                <w:rFonts w:hint="eastAsia" w:ascii="宋体" w:hAnsi="宋体" w:eastAsia="宋体" w:cs="Times New Roman"/>
                <w:bCs/>
                <w:color w:val="auto"/>
                <w:sz w:val="21"/>
                <w:highlight w:val="none"/>
                <w:lang w:val="en-US" w:eastAsia="zh-CN"/>
              </w:rPr>
              <w:t>一档(3分):投标人对本项目工作重点及难点分析，对工作重点及难点理论把控不到位。</w:t>
            </w:r>
          </w:p>
          <w:p w14:paraId="76D10540">
            <w:pPr>
              <w:pStyle w:val="231"/>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bCs/>
                <w:color w:val="auto"/>
                <w:sz w:val="21"/>
                <w:highlight w:val="none"/>
                <w:lang w:val="en-US" w:eastAsia="zh-CN"/>
              </w:rPr>
            </w:pPr>
            <w:r>
              <w:rPr>
                <w:rFonts w:hint="eastAsia" w:ascii="宋体" w:hAnsi="宋体" w:eastAsia="宋体" w:cs="Times New Roman"/>
                <w:bCs/>
                <w:color w:val="auto"/>
                <w:sz w:val="21"/>
                <w:highlight w:val="none"/>
                <w:lang w:val="en-US" w:eastAsia="zh-CN"/>
              </w:rPr>
              <w:t>二档(</w:t>
            </w:r>
            <w:r>
              <w:rPr>
                <w:rFonts w:hint="eastAsia" w:hAnsi="宋体" w:cs="Times New Roman"/>
                <w:bCs/>
                <w:color w:val="auto"/>
                <w:sz w:val="21"/>
                <w:highlight w:val="none"/>
                <w:lang w:val="en-US" w:eastAsia="zh-CN"/>
              </w:rPr>
              <w:t>5</w:t>
            </w:r>
            <w:r>
              <w:rPr>
                <w:rFonts w:hint="eastAsia" w:ascii="宋体" w:hAnsi="宋体" w:eastAsia="宋体" w:cs="Times New Roman"/>
                <w:bCs/>
                <w:color w:val="auto"/>
                <w:sz w:val="21"/>
                <w:highlight w:val="none"/>
                <w:lang w:val="en-US" w:eastAsia="zh-CN"/>
              </w:rPr>
              <w:t>分):投标人对本项目工作重点及难点分析符合实际，对工作重点及难点把控到位，分析详细合理，无明显错误。</w:t>
            </w:r>
          </w:p>
          <w:p w14:paraId="22846FCF">
            <w:pPr>
              <w:pStyle w:val="231"/>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bCs/>
                <w:color w:val="auto"/>
                <w:sz w:val="21"/>
                <w:highlight w:val="none"/>
                <w:lang w:val="en-US" w:eastAsia="zh-CN"/>
              </w:rPr>
            </w:pPr>
            <w:r>
              <w:rPr>
                <w:rFonts w:hint="eastAsia" w:ascii="宋体" w:hAnsi="宋体" w:eastAsia="宋体" w:cs="Times New Roman"/>
                <w:bCs/>
                <w:color w:val="auto"/>
                <w:sz w:val="21"/>
                <w:highlight w:val="none"/>
                <w:lang w:val="en-US" w:eastAsia="zh-CN"/>
              </w:rPr>
              <w:t>三档(</w:t>
            </w:r>
            <w:r>
              <w:rPr>
                <w:rFonts w:hint="eastAsia" w:hAnsi="宋体" w:cs="Times New Roman"/>
                <w:bCs/>
                <w:color w:val="auto"/>
                <w:sz w:val="21"/>
                <w:highlight w:val="none"/>
                <w:lang w:val="en-US" w:eastAsia="zh-CN"/>
              </w:rPr>
              <w:t>8</w:t>
            </w:r>
            <w:r>
              <w:rPr>
                <w:rFonts w:hint="eastAsia" w:ascii="宋体" w:hAnsi="宋体" w:eastAsia="宋体" w:cs="Times New Roman"/>
                <w:bCs/>
                <w:color w:val="auto"/>
                <w:sz w:val="21"/>
                <w:highlight w:val="none"/>
                <w:lang w:val="en-US" w:eastAsia="zh-CN"/>
              </w:rPr>
              <w:t>分):投标人对本项目工作重点及难点分析深入透彻，贴合实际，内容详细合理，针对项目的重点难点能提出建议或改进措施，应对措施具体可行，针对性强。</w:t>
            </w:r>
          </w:p>
          <w:p w14:paraId="78E4CD44">
            <w:pPr>
              <w:pStyle w:val="231"/>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bCs/>
                <w:color w:val="auto"/>
                <w:sz w:val="21"/>
                <w:highlight w:val="none"/>
                <w:lang w:val="en-US" w:eastAsia="zh-CN"/>
              </w:rPr>
              <w:t>四档(</w:t>
            </w:r>
            <w:r>
              <w:rPr>
                <w:rFonts w:hint="eastAsia" w:hAnsi="宋体" w:cs="Times New Roman"/>
                <w:bCs/>
                <w:color w:val="auto"/>
                <w:sz w:val="21"/>
                <w:highlight w:val="none"/>
                <w:lang w:val="en-US" w:eastAsia="zh-CN"/>
              </w:rPr>
              <w:t>10</w:t>
            </w:r>
            <w:r>
              <w:rPr>
                <w:rFonts w:hint="eastAsia" w:ascii="宋体" w:hAnsi="宋体" w:eastAsia="宋体" w:cs="Times New Roman"/>
                <w:bCs/>
                <w:color w:val="auto"/>
                <w:sz w:val="21"/>
                <w:highlight w:val="none"/>
                <w:lang w:val="en-US" w:eastAsia="zh-CN"/>
              </w:rPr>
              <w:t>分):投标人对本项目工作重点及难点的分析贴合项目实际且精准深入；针对各重点难点提出的解决策略、改进措施，对项目整体推进具有的指导作用。</w:t>
            </w:r>
          </w:p>
        </w:tc>
      </w:tr>
      <w:tr w14:paraId="1791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14:paraId="5C0C6AFC">
            <w:pPr>
              <w:spacing w:line="400" w:lineRule="exact"/>
              <w:jc w:val="center"/>
              <w:rPr>
                <w:rFonts w:hint="eastAsia" w:ascii="宋体" w:hAnsi="宋体"/>
                <w:color w:val="auto"/>
                <w:szCs w:val="21"/>
                <w:highlight w:val="none"/>
              </w:rPr>
            </w:pPr>
          </w:p>
        </w:tc>
        <w:tc>
          <w:tcPr>
            <w:tcW w:w="1407" w:type="dxa"/>
            <w:vMerge w:val="continue"/>
            <w:tcBorders>
              <w:top w:val="single" w:color="auto" w:sz="4" w:space="0"/>
              <w:left w:val="single" w:color="auto" w:sz="4" w:space="0"/>
              <w:bottom w:val="single" w:color="auto" w:sz="4" w:space="0"/>
              <w:right w:val="single" w:color="auto" w:sz="4" w:space="0"/>
            </w:tcBorders>
            <w:noWrap w:val="0"/>
            <w:vAlign w:val="center"/>
          </w:tcPr>
          <w:p w14:paraId="6FFCF14E">
            <w:pPr>
              <w:spacing w:line="400" w:lineRule="exact"/>
              <w:rPr>
                <w:rFonts w:hint="eastAsia" w:ascii="宋体" w:hAnsi="宋体" w:eastAsia="宋体" w:cs="Times New Roman"/>
                <w:color w:val="auto"/>
                <w:szCs w:val="21"/>
                <w:highlight w:val="none"/>
              </w:rPr>
            </w:pPr>
          </w:p>
        </w:tc>
        <w:tc>
          <w:tcPr>
            <w:tcW w:w="7361" w:type="dxa"/>
            <w:gridSpan w:val="2"/>
            <w:tcBorders>
              <w:top w:val="single" w:color="auto" w:sz="4" w:space="0"/>
              <w:left w:val="single" w:color="auto" w:sz="4" w:space="0"/>
              <w:bottom w:val="single" w:color="auto" w:sz="4" w:space="0"/>
              <w:right w:val="single" w:color="auto" w:sz="4" w:space="0"/>
            </w:tcBorders>
            <w:noWrap w:val="0"/>
            <w:vAlign w:val="center"/>
          </w:tcPr>
          <w:p w14:paraId="5478A59A">
            <w:pPr>
              <w:pStyle w:val="378"/>
              <w:spacing w:line="380" w:lineRule="exact"/>
              <w:rPr>
                <w:rFonts w:hint="eastAsia" w:ascii="Times New Roman" w:hAnsi="宋体" w:eastAsia="宋体" w:cs="Times New Roman"/>
                <w:bCs/>
                <w:color w:val="auto"/>
                <w:sz w:val="21"/>
                <w:szCs w:val="24"/>
                <w:highlight w:val="none"/>
                <w:lang w:val="en-US" w:eastAsia="zh-CN" w:bidi="ar-SA"/>
              </w:rPr>
            </w:pPr>
            <w:r>
              <w:rPr>
                <w:rFonts w:hint="eastAsia" w:ascii="Times New Roman" w:hAnsi="宋体" w:eastAsia="宋体" w:cs="Times New Roman"/>
                <w:bCs/>
                <w:color w:val="auto"/>
                <w:sz w:val="21"/>
                <w:szCs w:val="24"/>
                <w:highlight w:val="none"/>
                <w:lang w:val="en-US" w:eastAsia="zh-CN" w:bidi="ar-SA"/>
              </w:rPr>
              <w:t>（</w:t>
            </w:r>
            <w:r>
              <w:rPr>
                <w:rFonts w:hint="eastAsia" w:hAnsi="宋体" w:eastAsia="宋体" w:cs="Times New Roman"/>
                <w:bCs/>
                <w:color w:val="auto"/>
                <w:sz w:val="21"/>
                <w:szCs w:val="24"/>
                <w:highlight w:val="none"/>
                <w:lang w:val="en-US" w:eastAsia="zh-CN" w:bidi="ar-SA"/>
              </w:rPr>
              <w:t>4</w:t>
            </w:r>
            <w:r>
              <w:rPr>
                <w:rFonts w:hint="eastAsia" w:ascii="Times New Roman" w:hAnsi="宋体" w:eastAsia="宋体" w:cs="Times New Roman"/>
                <w:bCs/>
                <w:color w:val="auto"/>
                <w:sz w:val="21"/>
                <w:szCs w:val="24"/>
                <w:highlight w:val="none"/>
                <w:lang w:val="en-US" w:eastAsia="zh-CN" w:bidi="ar-SA"/>
              </w:rPr>
              <w:t>）市政设施巡查、重大活动期间的市政设施应急保障工作措施（满分</w:t>
            </w:r>
            <w:r>
              <w:rPr>
                <w:rFonts w:hint="eastAsia" w:hAnsi="宋体" w:eastAsia="宋体" w:cs="Times New Roman"/>
                <w:bCs/>
                <w:color w:val="auto"/>
                <w:sz w:val="21"/>
                <w:szCs w:val="24"/>
                <w:highlight w:val="none"/>
                <w:lang w:val="en-US" w:eastAsia="zh-CN" w:bidi="ar-SA"/>
              </w:rPr>
              <w:t>10</w:t>
            </w:r>
            <w:r>
              <w:rPr>
                <w:rFonts w:hint="eastAsia" w:ascii="Times New Roman" w:hAnsi="宋体" w:eastAsia="宋体" w:cs="Times New Roman"/>
                <w:bCs/>
                <w:color w:val="auto"/>
                <w:sz w:val="21"/>
                <w:szCs w:val="24"/>
                <w:highlight w:val="none"/>
                <w:lang w:val="en-US" w:eastAsia="zh-CN" w:bidi="ar-SA"/>
              </w:rPr>
              <w:t>分）</w:t>
            </w:r>
            <w:r>
              <w:rPr>
                <w:rFonts w:hint="eastAsia" w:hAnsi="宋体" w:cs="Times New Roman"/>
                <w:bCs/>
                <w:color w:val="auto"/>
                <w:sz w:val="21"/>
                <w:highlight w:val="none"/>
                <w:lang w:val="en-US" w:eastAsia="zh-CN"/>
              </w:rPr>
              <w:t>，不入档计0分。</w:t>
            </w:r>
          </w:p>
          <w:p w14:paraId="0EEF389C">
            <w:pPr>
              <w:pStyle w:val="378"/>
              <w:numPr>
                <w:ilvl w:val="0"/>
                <w:numId w:val="0"/>
              </w:numPr>
              <w:spacing w:line="380" w:lineRule="exact"/>
              <w:rPr>
                <w:rFonts w:hint="eastAsia" w:ascii="Times New Roman" w:hAnsi="宋体" w:eastAsia="宋体" w:cs="Times New Roman"/>
                <w:bCs/>
                <w:color w:val="auto"/>
                <w:sz w:val="21"/>
                <w:szCs w:val="24"/>
                <w:highlight w:val="none"/>
                <w:lang w:val="en-US" w:eastAsia="zh-CN" w:bidi="ar-SA"/>
              </w:rPr>
            </w:pPr>
            <w:r>
              <w:rPr>
                <w:rFonts w:hint="eastAsia" w:ascii="Times New Roman" w:hAnsi="宋体" w:eastAsia="宋体" w:cs="Times New Roman"/>
                <w:bCs/>
                <w:color w:val="auto"/>
                <w:sz w:val="21"/>
                <w:szCs w:val="24"/>
                <w:highlight w:val="none"/>
                <w:lang w:val="en-US" w:eastAsia="zh-CN" w:bidi="ar-SA"/>
              </w:rPr>
              <w:t>一档（3分）：提供有市政设施巡查、重大活动期间的市政设施应急保障工作措施方案的。</w:t>
            </w:r>
          </w:p>
          <w:p w14:paraId="3A7B932C">
            <w:pPr>
              <w:pStyle w:val="378"/>
              <w:numPr>
                <w:ilvl w:val="0"/>
                <w:numId w:val="0"/>
              </w:numPr>
              <w:spacing w:line="380" w:lineRule="exact"/>
              <w:rPr>
                <w:rFonts w:hint="eastAsia" w:ascii="Times New Roman" w:hAnsi="宋体" w:eastAsia="宋体" w:cs="Times New Roman"/>
                <w:bCs/>
                <w:color w:val="auto"/>
                <w:sz w:val="21"/>
                <w:szCs w:val="24"/>
                <w:highlight w:val="none"/>
                <w:lang w:val="en-US" w:eastAsia="zh-CN" w:bidi="ar-SA"/>
              </w:rPr>
            </w:pPr>
            <w:r>
              <w:rPr>
                <w:rFonts w:hint="eastAsia" w:ascii="Times New Roman" w:hAnsi="宋体" w:eastAsia="宋体" w:cs="Times New Roman"/>
                <w:bCs/>
                <w:color w:val="auto"/>
                <w:sz w:val="21"/>
                <w:szCs w:val="24"/>
                <w:highlight w:val="none"/>
                <w:lang w:val="en-US" w:eastAsia="zh-CN" w:bidi="ar-SA"/>
              </w:rPr>
              <w:t>二档（5分）：能结合实际情况作出针对性的市政设施巡查、重大活动期间的市政设施应急保障工作措施的。</w:t>
            </w:r>
          </w:p>
          <w:p w14:paraId="37B049EC">
            <w:pPr>
              <w:pStyle w:val="378"/>
              <w:numPr>
                <w:ilvl w:val="0"/>
                <w:numId w:val="0"/>
              </w:numPr>
              <w:spacing w:line="380" w:lineRule="exact"/>
              <w:rPr>
                <w:rFonts w:hint="eastAsia" w:ascii="Times New Roman" w:hAnsi="宋体" w:eastAsia="宋体" w:cs="Times New Roman"/>
                <w:bCs/>
                <w:color w:val="auto"/>
                <w:sz w:val="21"/>
                <w:szCs w:val="24"/>
                <w:highlight w:val="none"/>
                <w:lang w:val="en-US" w:eastAsia="zh-CN" w:bidi="ar-SA"/>
              </w:rPr>
            </w:pPr>
            <w:r>
              <w:rPr>
                <w:rFonts w:hint="eastAsia" w:ascii="Times New Roman" w:hAnsi="宋体" w:eastAsia="宋体" w:cs="Times New Roman"/>
                <w:bCs/>
                <w:color w:val="auto"/>
                <w:sz w:val="21"/>
                <w:szCs w:val="24"/>
                <w:highlight w:val="none"/>
                <w:lang w:val="en-US" w:eastAsia="zh-CN" w:bidi="ar-SA"/>
              </w:rPr>
              <w:t>三档（8分）：能结合实际情况作出针对性的市政设施巡查、重大活动期间的市政设施应急保障工作措施，措施完整、详尽、合理、切合实际，可行性高。</w:t>
            </w:r>
          </w:p>
          <w:p w14:paraId="12AEE364">
            <w:pPr>
              <w:pStyle w:val="378"/>
              <w:numPr>
                <w:ilvl w:val="0"/>
                <w:numId w:val="0"/>
              </w:numPr>
              <w:spacing w:line="380" w:lineRule="exact"/>
              <w:rPr>
                <w:rFonts w:hint="eastAsia" w:ascii="Times New Roman" w:hAnsi="宋体" w:eastAsia="宋体" w:cs="Times New Roman"/>
                <w:bCs/>
                <w:color w:val="auto"/>
                <w:sz w:val="21"/>
                <w:szCs w:val="24"/>
                <w:highlight w:val="none"/>
                <w:lang w:val="en-US" w:eastAsia="zh-CN" w:bidi="ar-SA"/>
              </w:rPr>
            </w:pPr>
            <w:r>
              <w:rPr>
                <w:rFonts w:hint="eastAsia" w:ascii="Times New Roman" w:hAnsi="宋体" w:eastAsia="宋体" w:cs="Times New Roman"/>
                <w:bCs/>
                <w:color w:val="auto"/>
                <w:sz w:val="21"/>
                <w:szCs w:val="24"/>
                <w:highlight w:val="none"/>
                <w:lang w:val="en-US" w:eastAsia="zh-CN" w:bidi="ar-SA"/>
              </w:rPr>
              <w:t>四档（10分）：在三档基础上，增加措施优化机制，具备全流程闭环管理思路，可行性、可操作性、安全性均达到最优，能有效应对各类复杂情况。</w:t>
            </w:r>
          </w:p>
        </w:tc>
      </w:tr>
      <w:tr w14:paraId="1CB1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14:paraId="150C40F6">
            <w:pPr>
              <w:spacing w:line="400" w:lineRule="exact"/>
              <w:jc w:val="center"/>
              <w:rPr>
                <w:rFonts w:hint="eastAsia" w:ascii="宋体" w:hAnsi="宋体"/>
                <w:color w:val="auto"/>
                <w:szCs w:val="21"/>
                <w:highlight w:val="none"/>
              </w:rPr>
            </w:pPr>
          </w:p>
        </w:tc>
        <w:tc>
          <w:tcPr>
            <w:tcW w:w="1407" w:type="dxa"/>
            <w:vMerge w:val="continue"/>
            <w:tcBorders>
              <w:top w:val="single" w:color="auto" w:sz="4" w:space="0"/>
              <w:left w:val="single" w:color="auto" w:sz="4" w:space="0"/>
              <w:bottom w:val="single" w:color="auto" w:sz="4" w:space="0"/>
              <w:right w:val="single" w:color="auto" w:sz="4" w:space="0"/>
            </w:tcBorders>
            <w:noWrap w:val="0"/>
            <w:vAlign w:val="center"/>
          </w:tcPr>
          <w:p w14:paraId="75DE705E">
            <w:pPr>
              <w:spacing w:line="400" w:lineRule="exact"/>
              <w:rPr>
                <w:rFonts w:hint="eastAsia" w:ascii="宋体" w:hAnsi="宋体" w:eastAsia="宋体" w:cs="Times New Roman"/>
                <w:color w:val="auto"/>
                <w:szCs w:val="21"/>
                <w:highlight w:val="none"/>
              </w:rPr>
            </w:pPr>
          </w:p>
        </w:tc>
        <w:tc>
          <w:tcPr>
            <w:tcW w:w="7361" w:type="dxa"/>
            <w:gridSpan w:val="2"/>
            <w:tcBorders>
              <w:top w:val="single" w:color="auto" w:sz="4" w:space="0"/>
              <w:left w:val="single" w:color="auto" w:sz="4" w:space="0"/>
              <w:bottom w:val="single" w:color="auto" w:sz="4" w:space="0"/>
              <w:right w:val="single" w:color="auto" w:sz="4" w:space="0"/>
            </w:tcBorders>
            <w:noWrap w:val="0"/>
            <w:vAlign w:val="center"/>
          </w:tcPr>
          <w:p w14:paraId="67625F01">
            <w:pPr>
              <w:pStyle w:val="378"/>
              <w:spacing w:line="380" w:lineRule="exact"/>
              <w:rPr>
                <w:rFonts w:hint="default" w:ascii="Times New Roman" w:hAnsi="宋体" w:eastAsia="Times New Roman" w:cs="Times New Roman"/>
                <w:bCs/>
                <w:color w:val="auto"/>
                <w:sz w:val="21"/>
                <w:highlight w:val="none"/>
                <w:lang w:val="en-US" w:eastAsia="zh-CN"/>
              </w:rPr>
            </w:pPr>
            <w:r>
              <w:rPr>
                <w:rFonts w:hint="eastAsia" w:ascii="Times New Roman" w:hAnsi="宋体" w:eastAsia="Times New Roman" w:cs="Times New Roman"/>
                <w:bCs/>
                <w:color w:val="auto"/>
                <w:sz w:val="21"/>
                <w:highlight w:val="none"/>
                <w:lang w:val="en-US" w:eastAsia="zh-CN"/>
              </w:rPr>
              <w:t>（</w:t>
            </w:r>
            <w:r>
              <w:rPr>
                <w:rFonts w:hint="eastAsia" w:hAnsi="宋体" w:cs="Times New Roman"/>
                <w:bCs/>
                <w:color w:val="auto"/>
                <w:sz w:val="21"/>
                <w:highlight w:val="none"/>
                <w:lang w:val="en-US" w:eastAsia="zh-CN"/>
              </w:rPr>
              <w:t>5</w:t>
            </w:r>
            <w:r>
              <w:rPr>
                <w:rFonts w:hint="eastAsia" w:ascii="Times New Roman" w:hAnsi="宋体" w:eastAsia="Times New Roman" w:cs="Times New Roman"/>
                <w:bCs/>
                <w:color w:val="auto"/>
                <w:sz w:val="21"/>
                <w:highlight w:val="none"/>
                <w:lang w:val="en-US" w:eastAsia="zh-CN"/>
              </w:rPr>
              <w:t>）市政设施突发事件的应急处置工作保障措施（满分</w:t>
            </w:r>
            <w:r>
              <w:rPr>
                <w:rFonts w:hint="eastAsia" w:hAnsi="宋体" w:cs="Times New Roman"/>
                <w:bCs/>
                <w:color w:val="auto"/>
                <w:sz w:val="21"/>
                <w:highlight w:val="none"/>
                <w:lang w:val="en-US" w:eastAsia="zh-CN"/>
              </w:rPr>
              <w:t>10</w:t>
            </w:r>
            <w:r>
              <w:rPr>
                <w:rFonts w:hint="eastAsia" w:ascii="Times New Roman" w:hAnsi="宋体" w:eastAsia="Times New Roman" w:cs="Times New Roman"/>
                <w:bCs/>
                <w:color w:val="auto"/>
                <w:sz w:val="21"/>
                <w:highlight w:val="none"/>
                <w:lang w:val="en-US" w:eastAsia="zh-CN"/>
              </w:rPr>
              <w:t>分）</w:t>
            </w:r>
            <w:r>
              <w:rPr>
                <w:rFonts w:hint="eastAsia" w:hAnsi="宋体" w:cs="Times New Roman"/>
                <w:bCs/>
                <w:color w:val="auto"/>
                <w:sz w:val="21"/>
                <w:highlight w:val="none"/>
                <w:lang w:val="en-US" w:eastAsia="zh-CN"/>
              </w:rPr>
              <w:t>，不入档计0分。</w:t>
            </w:r>
          </w:p>
          <w:p w14:paraId="7A1D0CFB">
            <w:pPr>
              <w:pStyle w:val="378"/>
              <w:spacing w:line="380" w:lineRule="exact"/>
              <w:rPr>
                <w:rFonts w:hint="eastAsia" w:hAnsi="宋体"/>
                <w:bCs/>
                <w:color w:val="auto"/>
                <w:sz w:val="21"/>
                <w:highlight w:val="none"/>
                <w:lang w:val="en-US" w:eastAsia="zh-CN"/>
              </w:rPr>
            </w:pPr>
            <w:r>
              <w:rPr>
                <w:rFonts w:hint="eastAsia" w:hAnsi="宋体"/>
                <w:bCs/>
                <w:color w:val="auto"/>
                <w:sz w:val="21"/>
                <w:highlight w:val="none"/>
                <w:lang w:val="en-US" w:eastAsia="zh-CN"/>
              </w:rPr>
              <w:t>一档（3分）：满足采购文件对应急抢险的基础要求，具有基本的应急抢险工作思路，内容表述清晰，可满足项目应急抢险基础设施需求。</w:t>
            </w:r>
          </w:p>
          <w:p w14:paraId="79D0EBEA">
            <w:pPr>
              <w:pStyle w:val="378"/>
              <w:spacing w:line="380" w:lineRule="exact"/>
              <w:rPr>
                <w:rFonts w:hint="eastAsia" w:hAnsi="宋体"/>
                <w:bCs/>
                <w:color w:val="auto"/>
                <w:sz w:val="21"/>
                <w:highlight w:val="none"/>
                <w:lang w:val="en-US" w:eastAsia="zh-CN"/>
              </w:rPr>
            </w:pPr>
            <w:r>
              <w:rPr>
                <w:rFonts w:hint="eastAsia" w:hAnsi="宋体"/>
                <w:bCs/>
                <w:color w:val="auto"/>
                <w:sz w:val="21"/>
                <w:highlight w:val="none"/>
                <w:lang w:val="en-US" w:eastAsia="zh-CN"/>
              </w:rPr>
              <w:t>二档（6分）：在一档全部要求基础上，明确应急抢险工作组织架构，划分岗位基本职责；制定常见险情的基础处置流程；列明应急抢险基础物资、设备清单，明确基本储备地点；建立险情基础上报渠道，明确现场交通疏导要求。</w:t>
            </w:r>
          </w:p>
          <w:p w14:paraId="2D106A9A">
            <w:pPr>
              <w:pStyle w:val="378"/>
              <w:spacing w:line="380" w:lineRule="exact"/>
              <w:rPr>
                <w:rFonts w:hint="eastAsia" w:hAnsi="宋体"/>
                <w:bCs/>
                <w:color w:val="auto"/>
                <w:sz w:val="21"/>
                <w:highlight w:val="none"/>
                <w:lang w:val="en-US" w:eastAsia="zh-CN"/>
              </w:rPr>
            </w:pPr>
            <w:r>
              <w:rPr>
                <w:rFonts w:hint="eastAsia" w:hAnsi="宋体"/>
                <w:bCs/>
                <w:color w:val="auto"/>
                <w:sz w:val="21"/>
                <w:highlight w:val="none"/>
                <w:lang w:val="en-US" w:eastAsia="zh-CN"/>
              </w:rPr>
              <w:t>三档（8分）：在二档全部要求基础上，应急抢险组织架构权责细化，配备专职应急人员，明确人员调配机制；按险情类型制定分级处置流程，明确处置时限；物资设备清单标注规格、数量、更新周期，建立物资设备日常检查、维护制度;制定规范的险情上报分级流程，配套详细的现场安全防护及交通管制措施；明确应急抢险协作机制。</w:t>
            </w:r>
          </w:p>
          <w:p w14:paraId="65EC5568">
            <w:pPr>
              <w:pStyle w:val="378"/>
              <w:spacing w:line="380" w:lineRule="exact"/>
              <w:rPr>
                <w:rFonts w:hint="eastAsia" w:hAnsi="宋体"/>
                <w:bCs/>
                <w:color w:val="auto"/>
                <w:sz w:val="21"/>
                <w:highlight w:val="none"/>
                <w:lang w:val="en-US" w:eastAsia="zh-CN"/>
              </w:rPr>
            </w:pPr>
            <w:r>
              <w:rPr>
                <w:rFonts w:hint="eastAsia" w:hAnsi="宋体"/>
                <w:bCs/>
                <w:color w:val="auto"/>
                <w:sz w:val="21"/>
                <w:highlight w:val="none"/>
                <w:lang w:val="en-US" w:eastAsia="zh-CN"/>
              </w:rPr>
              <w:t>四档（10分）：在三档全部要求基础上，构建分级响应、快速联动的应急抢险指挥体系，针对特、重大险情制定专项指挥预案，权责到岗到人;险情处置流程量化可操作，明确不同等级险情的现场处置标准、技术要求及验收规范，配套抢险作业安全操作细则;物资设备实行动态化管理，明确紧急调拨、补库机制，配备应急抢险专用设备并定期调试;建立多渠道、全时段险情上报及预警机制；制定应急抢险队伍常态化培训及演练计划(明确演练频次、内容、评估标准)，配套演练总结及预案优化机制；建立应急抢险工作全流程记录、复盘制度，明确险情处置后道路恢复质量标准及后续巡查保障措施。</w:t>
            </w:r>
          </w:p>
        </w:tc>
      </w:tr>
      <w:tr w14:paraId="2D9BF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4D98F0AB">
            <w:pPr>
              <w:spacing w:line="40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8768" w:type="dxa"/>
            <w:gridSpan w:val="3"/>
            <w:tcBorders>
              <w:top w:val="single" w:color="auto" w:sz="4" w:space="0"/>
              <w:left w:val="single" w:color="auto" w:sz="4" w:space="0"/>
              <w:bottom w:val="single" w:color="auto" w:sz="4" w:space="0"/>
              <w:right w:val="single" w:color="auto" w:sz="4" w:space="0"/>
            </w:tcBorders>
            <w:noWrap w:val="0"/>
            <w:vAlign w:val="center"/>
          </w:tcPr>
          <w:p w14:paraId="19DFBF1C">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商务部分</w:t>
            </w:r>
          </w:p>
        </w:tc>
      </w:tr>
      <w:tr w14:paraId="3771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520B019E">
            <w:pPr>
              <w:spacing w:line="400" w:lineRule="exact"/>
              <w:jc w:val="center"/>
              <w:rPr>
                <w:rFonts w:hint="eastAsia" w:ascii="宋体" w:hAnsi="宋体"/>
                <w:color w:val="auto"/>
                <w:szCs w:val="21"/>
                <w:highlight w:val="none"/>
              </w:rPr>
            </w:pPr>
            <w:r>
              <w:rPr>
                <w:rFonts w:hint="eastAsia" w:ascii="宋体" w:hAnsi="宋体"/>
                <w:color w:val="auto"/>
                <w:szCs w:val="21"/>
                <w:highlight w:val="none"/>
              </w:rPr>
              <w:t>3.1</w:t>
            </w:r>
          </w:p>
        </w:tc>
        <w:tc>
          <w:tcPr>
            <w:tcW w:w="1407" w:type="dxa"/>
            <w:tcBorders>
              <w:top w:val="single" w:color="auto" w:sz="4" w:space="0"/>
              <w:left w:val="single" w:color="auto" w:sz="4" w:space="0"/>
              <w:bottom w:val="single" w:color="auto" w:sz="4" w:space="0"/>
              <w:right w:val="single" w:color="auto" w:sz="4" w:space="0"/>
            </w:tcBorders>
            <w:noWrap w:val="0"/>
            <w:vAlign w:val="center"/>
          </w:tcPr>
          <w:p w14:paraId="1F44230B">
            <w:pPr>
              <w:spacing w:line="400" w:lineRule="exact"/>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其他技术人员(满分</w:t>
            </w:r>
            <w:r>
              <w:rPr>
                <w:rFonts w:hint="eastAsia" w:ascii="宋体" w:hAnsi="宋体" w:cs="Times New Roman"/>
                <w:color w:val="auto"/>
                <w:szCs w:val="21"/>
                <w:highlight w:val="none"/>
                <w:lang w:val="en-US" w:eastAsia="zh-CN"/>
              </w:rPr>
              <w:t>4</w:t>
            </w:r>
          </w:p>
          <w:p w14:paraId="547441E1">
            <w:pPr>
              <w:spacing w:line="40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分)</w:t>
            </w:r>
          </w:p>
        </w:tc>
        <w:tc>
          <w:tcPr>
            <w:tcW w:w="7361" w:type="dxa"/>
            <w:gridSpan w:val="2"/>
            <w:tcBorders>
              <w:top w:val="single" w:color="auto" w:sz="4" w:space="0"/>
              <w:left w:val="single" w:color="auto" w:sz="4" w:space="0"/>
              <w:bottom w:val="single" w:color="auto" w:sz="4" w:space="0"/>
              <w:right w:val="single" w:color="auto" w:sz="4" w:space="0"/>
            </w:tcBorders>
            <w:noWrap w:val="0"/>
            <w:vAlign w:val="top"/>
          </w:tcPr>
          <w:p w14:paraId="2E88BB56">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投标人拟派</w:t>
            </w:r>
            <w:r>
              <w:rPr>
                <w:rFonts w:hint="eastAsia" w:ascii="宋体" w:hAnsi="宋体" w:eastAsia="宋体" w:cs="Times New Roman"/>
                <w:color w:val="auto"/>
                <w:szCs w:val="21"/>
                <w:highlight w:val="none"/>
                <w:lang w:val="en-US" w:eastAsia="zh-CN"/>
              </w:rPr>
              <w:t>项目管理机构</w:t>
            </w:r>
            <w:r>
              <w:rPr>
                <w:rFonts w:hint="eastAsia" w:ascii="宋体" w:hAnsi="宋体" w:cs="Times New Roman"/>
                <w:color w:val="auto"/>
                <w:szCs w:val="21"/>
                <w:highlight w:val="none"/>
                <w:lang w:val="en-US" w:eastAsia="zh-CN"/>
              </w:rPr>
              <w:t>人员</w:t>
            </w:r>
            <w:r>
              <w:rPr>
                <w:rFonts w:hint="eastAsia" w:ascii="宋体" w:hAnsi="宋体" w:eastAsia="宋体" w:cs="Times New Roman"/>
                <w:color w:val="auto"/>
                <w:szCs w:val="21"/>
                <w:highlight w:val="none"/>
              </w:rPr>
              <w:t>满足采购需求</w:t>
            </w:r>
            <w:r>
              <w:rPr>
                <w:rFonts w:hint="eastAsia" w:ascii="宋体" w:hAnsi="宋体" w:cs="Times New Roman"/>
                <w:color w:val="auto"/>
                <w:szCs w:val="21"/>
                <w:highlight w:val="none"/>
                <w:lang w:eastAsia="zh-CN"/>
              </w:rPr>
              <w:t>各</w:t>
            </w:r>
            <w:r>
              <w:rPr>
                <w:rFonts w:hint="eastAsia" w:ascii="宋体" w:hAnsi="宋体" w:eastAsia="宋体" w:cs="Times New Roman"/>
                <w:color w:val="auto"/>
                <w:szCs w:val="21"/>
                <w:highlight w:val="none"/>
              </w:rPr>
              <w:t>1名的基础上，每增加1名</w:t>
            </w:r>
            <w:r>
              <w:rPr>
                <w:rFonts w:hint="eastAsia" w:ascii="宋体" w:hAnsi="宋体" w:cs="Times New Roman"/>
                <w:color w:val="auto"/>
                <w:szCs w:val="21"/>
                <w:highlight w:val="none"/>
                <w:lang w:eastAsia="zh-CN"/>
              </w:rPr>
              <w:t>人员</w:t>
            </w:r>
            <w:r>
              <w:rPr>
                <w:rFonts w:hint="eastAsia" w:ascii="宋体" w:hAnsi="宋体" w:eastAsia="宋体" w:cs="Times New Roman"/>
                <w:color w:val="auto"/>
                <w:szCs w:val="21"/>
                <w:highlight w:val="none"/>
              </w:rPr>
              <w:t>具有中级或以上</w:t>
            </w:r>
            <w:r>
              <w:rPr>
                <w:rFonts w:hint="eastAsia" w:ascii="宋体" w:hAnsi="宋体" w:cs="Times New Roman"/>
                <w:color w:val="auto"/>
                <w:szCs w:val="21"/>
                <w:highlight w:val="none"/>
                <w:lang w:eastAsia="zh-CN"/>
              </w:rPr>
              <w:t>技术</w:t>
            </w:r>
            <w:r>
              <w:rPr>
                <w:rFonts w:hint="eastAsia" w:ascii="宋体" w:hAnsi="宋体" w:eastAsia="宋体" w:cs="Times New Roman"/>
                <w:color w:val="auto"/>
                <w:szCs w:val="21"/>
                <w:highlight w:val="none"/>
              </w:rPr>
              <w:t>职称的加1分(专业限定为：市政公用工程、市政工程、道路与桥梁工程、给排水工程、</w:t>
            </w:r>
            <w:r>
              <w:rPr>
                <w:rFonts w:hint="eastAsia" w:ascii="宋体" w:hAnsi="宋体" w:cs="Times New Roman"/>
                <w:color w:val="auto"/>
                <w:szCs w:val="21"/>
                <w:highlight w:val="none"/>
                <w:lang w:val="en-US" w:eastAsia="zh-CN"/>
              </w:rPr>
              <w:t>电气</w:t>
            </w:r>
            <w:r>
              <w:rPr>
                <w:rFonts w:hint="eastAsia" w:ascii="宋体" w:hAnsi="宋体" w:eastAsia="宋体" w:cs="Times New Roman"/>
                <w:color w:val="auto"/>
                <w:szCs w:val="21"/>
                <w:highlight w:val="none"/>
              </w:rPr>
              <w:t>工程)</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本项满分</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分。</w:t>
            </w:r>
          </w:p>
        </w:tc>
      </w:tr>
      <w:tr w14:paraId="55073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28E177F6">
            <w:pPr>
              <w:spacing w:line="400" w:lineRule="exact"/>
              <w:jc w:val="center"/>
              <w:rPr>
                <w:rFonts w:hint="eastAsia" w:ascii="宋体" w:hAnsi="宋体"/>
                <w:color w:val="auto"/>
                <w:szCs w:val="21"/>
                <w:highlight w:val="none"/>
              </w:rPr>
            </w:pPr>
          </w:p>
        </w:tc>
        <w:tc>
          <w:tcPr>
            <w:tcW w:w="1407" w:type="dxa"/>
            <w:tcBorders>
              <w:top w:val="single" w:color="auto" w:sz="4" w:space="0"/>
              <w:left w:val="single" w:color="auto" w:sz="4" w:space="0"/>
              <w:bottom w:val="single" w:color="auto" w:sz="4" w:space="0"/>
              <w:right w:val="single" w:color="auto" w:sz="4" w:space="0"/>
            </w:tcBorders>
            <w:noWrap w:val="0"/>
            <w:vAlign w:val="center"/>
          </w:tcPr>
          <w:p w14:paraId="51185AC0">
            <w:pPr>
              <w:spacing w:line="400" w:lineRule="exact"/>
              <w:jc w:val="center"/>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业绩分（满分6分）</w:t>
            </w:r>
          </w:p>
        </w:tc>
        <w:tc>
          <w:tcPr>
            <w:tcW w:w="7361" w:type="dxa"/>
            <w:gridSpan w:val="2"/>
            <w:tcBorders>
              <w:top w:val="single" w:color="auto" w:sz="4" w:space="0"/>
              <w:left w:val="single" w:color="auto" w:sz="4" w:space="0"/>
              <w:bottom w:val="single" w:color="auto" w:sz="4" w:space="0"/>
              <w:right w:val="single" w:color="auto" w:sz="4" w:space="0"/>
            </w:tcBorders>
            <w:noWrap w:val="0"/>
            <w:vAlign w:val="top"/>
          </w:tcPr>
          <w:p w14:paraId="02B8C00E">
            <w:pPr>
              <w:spacing w:line="400" w:lineRule="exac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2023年1月1日至提交投标文件截止时间止，供应商承接过类似市政维修业绩，每提供一个得</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val="en-US" w:eastAsia="zh-CN"/>
              </w:rPr>
              <w:t>分，满分6 分。</w:t>
            </w:r>
            <w:r>
              <w:rPr>
                <w:rFonts w:hint="eastAsia" w:ascii="宋体" w:hAnsi="宋体" w:eastAsia="宋体" w:cs="Times New Roman"/>
                <w:b/>
                <w:bCs/>
                <w:color w:val="auto"/>
                <w:szCs w:val="21"/>
                <w:highlight w:val="none"/>
                <w:lang w:val="en-US" w:eastAsia="zh-CN"/>
              </w:rPr>
              <w:t>【需在投标文件中提供类似项目业绩的有效的合同或者中标（成交）通知书复印件和竣工验收意见书或完工证明复印件或扫描件并加盖投标人公章，未按要求提供的该项不得分。】</w:t>
            </w:r>
          </w:p>
        </w:tc>
      </w:tr>
      <w:tr w14:paraId="7740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508" w:type="dxa"/>
            <w:gridSpan w:val="4"/>
            <w:tcBorders>
              <w:top w:val="single" w:color="auto" w:sz="4" w:space="0"/>
              <w:left w:val="single" w:color="auto" w:sz="4" w:space="0"/>
              <w:bottom w:val="single" w:color="auto" w:sz="4" w:space="0"/>
              <w:right w:val="single" w:color="auto" w:sz="4" w:space="0"/>
            </w:tcBorders>
            <w:noWrap w:val="0"/>
            <w:vAlign w:val="center"/>
          </w:tcPr>
          <w:p w14:paraId="04A867E8">
            <w:pPr>
              <w:spacing w:line="400" w:lineRule="exact"/>
              <w:rPr>
                <w:rFonts w:hint="eastAsia" w:ascii="宋体" w:hAnsi="宋体"/>
                <w:b/>
                <w:bCs/>
                <w:color w:val="auto"/>
                <w:szCs w:val="21"/>
                <w:highlight w:val="none"/>
              </w:rPr>
            </w:pPr>
            <w:r>
              <w:rPr>
                <w:rFonts w:hint="eastAsia" w:ascii="宋体" w:hAnsi="宋体"/>
                <w:b/>
                <w:bCs/>
                <w:color w:val="auto"/>
                <w:szCs w:val="21"/>
                <w:highlight w:val="none"/>
              </w:rPr>
              <w:t>总得分=</w:t>
            </w:r>
            <w:r>
              <w:rPr>
                <w:rFonts w:hint="eastAsia" w:ascii="宋体" w:hAnsi="宋体"/>
                <w:b/>
                <w:bCs/>
                <w:color w:val="auto"/>
                <w:szCs w:val="21"/>
                <w:highlight w:val="none"/>
                <w:lang w:val="en-US" w:eastAsia="zh-CN"/>
              </w:rPr>
              <w:t>1+</w:t>
            </w:r>
            <w:r>
              <w:rPr>
                <w:rFonts w:hint="eastAsia" w:ascii="宋体" w:hAnsi="宋体"/>
                <w:b/>
                <w:bCs/>
                <w:color w:val="auto"/>
                <w:szCs w:val="21"/>
                <w:highlight w:val="none"/>
              </w:rPr>
              <w:t>2+3</w:t>
            </w:r>
          </w:p>
          <w:p w14:paraId="793D7FD2">
            <w:pPr>
              <w:pStyle w:val="222"/>
              <w:rPr>
                <w:color w:val="auto"/>
                <w:highlight w:val="none"/>
              </w:rPr>
            </w:pPr>
            <w:r>
              <w:rPr>
                <w:rFonts w:hint="eastAsia" w:ascii="宋体" w:hAnsi="宋体" w:eastAsia="宋体" w:cs="Times New Roman"/>
                <w:b/>
                <w:bCs/>
                <w:color w:val="auto"/>
                <w:sz w:val="21"/>
                <w:szCs w:val="21"/>
                <w:highlight w:val="none"/>
                <w:lang w:val="en-US" w:eastAsia="zh-CN" w:bidi="ar-SA"/>
              </w:rPr>
              <w:t>备注：本项目为服务类项目，不涉及节能环保政策考核。</w:t>
            </w:r>
          </w:p>
        </w:tc>
      </w:tr>
    </w:tbl>
    <w:p w14:paraId="718ABD53">
      <w:pPr>
        <w:pStyle w:val="231"/>
        <w:spacing w:line="360" w:lineRule="exact"/>
        <w:ind w:firstLine="420"/>
        <w:rPr>
          <w:rFonts w:hint="eastAsia" w:hAnsi="宋体"/>
          <w:bCs/>
          <w:color w:val="auto"/>
          <w:sz w:val="21"/>
          <w:highlight w:val="none"/>
        </w:rPr>
      </w:pPr>
      <w:r>
        <w:rPr>
          <w:rFonts w:hint="eastAsia" w:hAnsi="宋体"/>
          <w:bCs/>
          <w:color w:val="auto"/>
          <w:sz w:val="21"/>
          <w:highlight w:val="none"/>
        </w:rPr>
        <w:t>注：计分方法按四舍五入取至百分位</w:t>
      </w:r>
    </w:p>
    <w:p w14:paraId="1CA287B6">
      <w:pPr>
        <w:pStyle w:val="196"/>
        <w:keepNext w:val="0"/>
        <w:keepLines w:val="0"/>
        <w:spacing w:line="360" w:lineRule="exact"/>
        <w:rPr>
          <w:color w:val="auto"/>
          <w:sz w:val="30"/>
          <w:szCs w:val="30"/>
          <w:highlight w:val="none"/>
        </w:rPr>
      </w:pPr>
      <w:r>
        <w:rPr>
          <w:rFonts w:hint="eastAsia"/>
          <w:color w:val="auto"/>
          <w:sz w:val="30"/>
          <w:szCs w:val="30"/>
          <w:highlight w:val="none"/>
        </w:rPr>
        <w:t>四、中标候选人推荐原则</w:t>
      </w:r>
    </w:p>
    <w:p w14:paraId="0C839BF0">
      <w:pPr>
        <w:pStyle w:val="231"/>
        <w:spacing w:line="360" w:lineRule="auto"/>
        <w:ind w:firstLine="420"/>
        <w:contextualSpacing/>
        <w:rPr>
          <w:rFonts w:hAnsi="宋体"/>
          <w:color w:val="auto"/>
          <w:sz w:val="21"/>
          <w:highlight w:val="none"/>
        </w:rPr>
      </w:pPr>
      <w:r>
        <w:rPr>
          <w:rFonts w:hint="eastAsia" w:hAnsi="宋体"/>
          <w:color w:val="auto"/>
          <w:sz w:val="21"/>
          <w:highlight w:val="none"/>
        </w:rPr>
        <w:t>1</w:t>
      </w:r>
      <w:r>
        <w:rPr>
          <w:rFonts w:hAnsi="宋体"/>
          <w:color w:val="auto"/>
          <w:sz w:val="21"/>
          <w:highlight w:val="none"/>
        </w:rPr>
        <w:t>.</w:t>
      </w:r>
      <w:r>
        <w:rPr>
          <w:rFonts w:hint="eastAsia" w:hAnsi="宋体"/>
          <w:color w:val="auto"/>
          <w:sz w:val="21"/>
          <w:highlight w:val="none"/>
        </w:rPr>
        <w:t>评标委员会根据原始评标记录和评标结果编写评标报告，并通过电子交易平台向采购人、采购代理机构提交。</w:t>
      </w:r>
    </w:p>
    <w:p w14:paraId="707DF2F0">
      <w:pPr>
        <w:pStyle w:val="231"/>
        <w:spacing w:line="360" w:lineRule="auto"/>
        <w:ind w:firstLine="420"/>
        <w:contextualSpacing/>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w:t>
      </w:r>
      <w:r>
        <w:rPr>
          <w:rFonts w:hint="eastAsia" w:hAnsi="宋体"/>
          <w:color w:val="auto"/>
          <w:sz w:val="21"/>
          <w:highlight w:val="none"/>
        </w:rPr>
        <w:t>评标委员会将根据总得分由高到低排列次序并推荐中标候选人。得分相同的，按投标报价由低到高顺序排列。得分相同且投标报价相同的并列。投标文件满足招标文件全部实质性要求，且按照评审因素的量化指标评审得分最高的投标人为排名第一的中标候选人。</w:t>
      </w:r>
    </w:p>
    <w:p w14:paraId="78EE8AB1">
      <w:pPr>
        <w:rPr>
          <w:rFonts w:hint="eastAsia"/>
          <w:color w:val="auto"/>
          <w:highlight w:val="none"/>
        </w:rPr>
      </w:pPr>
    </w:p>
    <w:p w14:paraId="45769273">
      <w:pPr>
        <w:rPr>
          <w:rFonts w:hint="eastAsia"/>
          <w:color w:val="auto"/>
          <w:highlight w:val="none"/>
        </w:rPr>
      </w:pPr>
    </w:p>
    <w:p w14:paraId="58D7201F">
      <w:pPr>
        <w:rPr>
          <w:rFonts w:hint="eastAsia"/>
          <w:color w:val="auto"/>
          <w:highlight w:val="none"/>
        </w:rPr>
      </w:pPr>
    </w:p>
    <w:p w14:paraId="65F93703">
      <w:pPr>
        <w:rPr>
          <w:rFonts w:hint="eastAsia"/>
          <w:color w:val="auto"/>
          <w:highlight w:val="none"/>
        </w:rPr>
      </w:pPr>
    </w:p>
    <w:p w14:paraId="13351FB7">
      <w:pPr>
        <w:rPr>
          <w:rFonts w:hint="eastAsia"/>
          <w:color w:val="auto"/>
          <w:highlight w:val="none"/>
        </w:rPr>
      </w:pPr>
    </w:p>
    <w:p w14:paraId="0C4A4647">
      <w:pPr>
        <w:rPr>
          <w:rFonts w:hint="eastAsia"/>
          <w:color w:val="auto"/>
          <w:highlight w:val="none"/>
        </w:rPr>
      </w:pPr>
    </w:p>
    <w:p w14:paraId="1EBC9D28">
      <w:pPr>
        <w:rPr>
          <w:rFonts w:hint="eastAsia"/>
          <w:color w:val="auto"/>
          <w:highlight w:val="none"/>
        </w:rPr>
      </w:pPr>
    </w:p>
    <w:p w14:paraId="0BD86BB8">
      <w:pPr>
        <w:rPr>
          <w:rFonts w:hint="eastAsia"/>
          <w:color w:val="auto"/>
          <w:highlight w:val="none"/>
        </w:rPr>
      </w:pPr>
    </w:p>
    <w:p w14:paraId="52572AE6">
      <w:pPr>
        <w:rPr>
          <w:rFonts w:hint="eastAsia"/>
          <w:color w:val="auto"/>
          <w:highlight w:val="none"/>
        </w:rPr>
      </w:pPr>
    </w:p>
    <w:p w14:paraId="2D36F06C">
      <w:pPr>
        <w:rPr>
          <w:rFonts w:hint="eastAsia"/>
          <w:color w:val="auto"/>
          <w:highlight w:val="none"/>
        </w:rPr>
      </w:pPr>
    </w:p>
    <w:p w14:paraId="4682DA4B">
      <w:pPr>
        <w:rPr>
          <w:rFonts w:hint="eastAsia"/>
          <w:color w:val="auto"/>
          <w:highlight w:val="none"/>
        </w:rPr>
      </w:pPr>
    </w:p>
    <w:p w14:paraId="3D26A031">
      <w:pPr>
        <w:rPr>
          <w:rFonts w:hint="eastAsia"/>
          <w:color w:val="auto"/>
          <w:highlight w:val="none"/>
        </w:rPr>
      </w:pPr>
    </w:p>
    <w:p w14:paraId="63319030">
      <w:pPr>
        <w:rPr>
          <w:rFonts w:hint="eastAsia"/>
          <w:color w:val="auto"/>
          <w:highlight w:val="none"/>
        </w:rPr>
      </w:pPr>
    </w:p>
    <w:p w14:paraId="0C3D5D6E">
      <w:pPr>
        <w:rPr>
          <w:rFonts w:hint="eastAsia"/>
          <w:color w:val="auto"/>
          <w:highlight w:val="none"/>
        </w:rPr>
      </w:pPr>
    </w:p>
    <w:p w14:paraId="6BA81210">
      <w:pPr>
        <w:rPr>
          <w:rFonts w:hint="eastAsia"/>
          <w:color w:val="auto"/>
          <w:highlight w:val="none"/>
        </w:rPr>
      </w:pPr>
    </w:p>
    <w:p w14:paraId="75F5A2B7">
      <w:pPr>
        <w:rPr>
          <w:rFonts w:hint="eastAsia"/>
          <w:color w:val="auto"/>
          <w:highlight w:val="none"/>
        </w:rPr>
      </w:pPr>
    </w:p>
    <w:p w14:paraId="785084AC">
      <w:pPr>
        <w:rPr>
          <w:rFonts w:hint="eastAsia"/>
          <w:color w:val="auto"/>
          <w:highlight w:val="none"/>
        </w:rPr>
      </w:pPr>
    </w:p>
    <w:p w14:paraId="0CB212FD">
      <w:pPr>
        <w:rPr>
          <w:rFonts w:hint="eastAsia"/>
          <w:color w:val="auto"/>
          <w:highlight w:val="none"/>
        </w:rPr>
      </w:pPr>
    </w:p>
    <w:p w14:paraId="1FE7200D">
      <w:pPr>
        <w:rPr>
          <w:rFonts w:hint="eastAsia"/>
          <w:color w:val="auto"/>
          <w:highlight w:val="none"/>
        </w:rPr>
      </w:pPr>
    </w:p>
    <w:p w14:paraId="04EF89B8">
      <w:pPr>
        <w:rPr>
          <w:rFonts w:hint="eastAsia"/>
          <w:color w:val="auto"/>
          <w:highlight w:val="none"/>
        </w:rPr>
      </w:pPr>
    </w:p>
    <w:p w14:paraId="6523A5FD">
      <w:pPr>
        <w:rPr>
          <w:rFonts w:hint="eastAsia"/>
          <w:color w:val="auto"/>
          <w:highlight w:val="none"/>
        </w:rPr>
      </w:pPr>
    </w:p>
    <w:p w14:paraId="6DA056B1">
      <w:pPr>
        <w:rPr>
          <w:rFonts w:hint="eastAsia"/>
          <w:color w:val="auto"/>
          <w:highlight w:val="none"/>
        </w:rPr>
      </w:pPr>
    </w:p>
    <w:p w14:paraId="70438C92">
      <w:pPr>
        <w:rPr>
          <w:rFonts w:hint="eastAsia"/>
          <w:color w:val="auto"/>
          <w:highlight w:val="none"/>
        </w:rPr>
      </w:pPr>
    </w:p>
    <w:p w14:paraId="0F862896">
      <w:pPr>
        <w:rPr>
          <w:rFonts w:hint="eastAsia"/>
          <w:color w:val="auto"/>
          <w:highlight w:val="none"/>
        </w:rPr>
      </w:pPr>
    </w:p>
    <w:p w14:paraId="3BDC029C">
      <w:pPr>
        <w:rPr>
          <w:rFonts w:hint="eastAsia"/>
          <w:color w:val="auto"/>
          <w:highlight w:val="none"/>
        </w:rPr>
      </w:pPr>
    </w:p>
    <w:p w14:paraId="47EC5B7A">
      <w:pPr>
        <w:rPr>
          <w:rFonts w:hint="eastAsia"/>
          <w:color w:val="auto"/>
          <w:highlight w:val="none"/>
        </w:rPr>
      </w:pPr>
    </w:p>
    <w:p w14:paraId="40228B66">
      <w:pPr>
        <w:rPr>
          <w:rFonts w:hint="eastAsia"/>
          <w:color w:val="auto"/>
          <w:highlight w:val="none"/>
        </w:rPr>
      </w:pPr>
    </w:p>
    <w:p w14:paraId="55C5D636">
      <w:pPr>
        <w:rPr>
          <w:rFonts w:hint="eastAsia"/>
          <w:color w:val="auto"/>
          <w:highlight w:val="none"/>
        </w:rPr>
      </w:pPr>
    </w:p>
    <w:p w14:paraId="0BADD4DB">
      <w:pPr>
        <w:rPr>
          <w:rFonts w:hint="eastAsia"/>
          <w:color w:val="auto"/>
          <w:highlight w:val="none"/>
        </w:rPr>
      </w:pPr>
    </w:p>
    <w:p w14:paraId="25CC59C5">
      <w:pPr>
        <w:rPr>
          <w:rFonts w:hint="eastAsia"/>
          <w:color w:val="auto"/>
          <w:highlight w:val="none"/>
        </w:rPr>
      </w:pPr>
    </w:p>
    <w:p w14:paraId="3F6263CE">
      <w:pPr>
        <w:rPr>
          <w:rFonts w:hint="eastAsia"/>
          <w:color w:val="auto"/>
          <w:highlight w:val="none"/>
        </w:rPr>
      </w:pPr>
    </w:p>
    <w:p w14:paraId="26FBD1BF">
      <w:pPr>
        <w:pStyle w:val="194"/>
        <w:ind w:firstLine="1767"/>
        <w:rPr>
          <w:rFonts w:hint="eastAsia" w:ascii="宋体" w:hAnsi="宋体"/>
          <w:bCs w:val="0"/>
          <w:color w:val="auto"/>
          <w:highlight w:val="none"/>
        </w:rPr>
      </w:pPr>
      <w:r>
        <w:rPr>
          <w:rFonts w:hint="eastAsia"/>
          <w:color w:val="auto"/>
          <w:highlight w:val="none"/>
        </w:rPr>
        <w:t>第五章  拟签订的合同文本</w:t>
      </w:r>
    </w:p>
    <w:p w14:paraId="4491D7BE">
      <w:pPr>
        <w:spacing w:after="120"/>
        <w:jc w:val="center"/>
        <w:rPr>
          <w:rFonts w:hint="eastAsia" w:ascii="宋体" w:hAnsi="宋体" w:cs="宋体"/>
          <w:b/>
          <w:color w:val="auto"/>
          <w:spacing w:val="60"/>
          <w:sz w:val="32"/>
          <w:szCs w:val="32"/>
          <w:highlight w:val="none"/>
        </w:rPr>
      </w:pPr>
      <w:r>
        <w:rPr>
          <w:rFonts w:hint="eastAsia" w:ascii="宋体" w:hAnsi="宋体" w:cs="宋体"/>
          <w:b/>
          <w:color w:val="auto"/>
          <w:spacing w:val="60"/>
          <w:sz w:val="32"/>
          <w:szCs w:val="32"/>
          <w:highlight w:val="none"/>
        </w:rPr>
        <w:t>2026-2028年市管市政设施维修养护服务</w:t>
      </w:r>
    </w:p>
    <w:p w14:paraId="2CD4A659">
      <w:pPr>
        <w:spacing w:after="120"/>
        <w:jc w:val="center"/>
        <w:rPr>
          <w:rFonts w:ascii="宋体" w:hAnsi="宋体" w:cs="宋体"/>
          <w:b/>
          <w:color w:val="auto"/>
          <w:spacing w:val="60"/>
          <w:sz w:val="32"/>
          <w:szCs w:val="32"/>
          <w:highlight w:val="none"/>
        </w:rPr>
      </w:pPr>
      <w:r>
        <w:rPr>
          <w:rFonts w:hint="eastAsia" w:ascii="宋体" w:hAnsi="宋体" w:cs="宋体"/>
          <w:b/>
          <w:color w:val="auto"/>
          <w:spacing w:val="60"/>
          <w:sz w:val="32"/>
          <w:szCs w:val="32"/>
          <w:highlight w:val="none"/>
        </w:rPr>
        <w:t>采购项目合同</w:t>
      </w:r>
    </w:p>
    <w:p w14:paraId="1B253885">
      <w:pPr>
        <w:jc w:val="center"/>
        <w:rPr>
          <w:rFonts w:ascii="宋体" w:hAnsi="宋体" w:cs="宋体"/>
          <w:b/>
          <w:color w:val="auto"/>
          <w:sz w:val="32"/>
          <w:highlight w:val="none"/>
        </w:rPr>
      </w:pPr>
    </w:p>
    <w:p w14:paraId="194CAAC0">
      <w:pPr>
        <w:jc w:val="center"/>
        <w:rPr>
          <w:rFonts w:ascii="宋体" w:hAnsi="宋体" w:cs="宋体"/>
          <w:color w:val="auto"/>
          <w:sz w:val="28"/>
          <w:highlight w:val="none"/>
        </w:rPr>
      </w:pPr>
    </w:p>
    <w:p w14:paraId="6242A6F7">
      <w:pPr>
        <w:ind w:firstLine="1212"/>
        <w:rPr>
          <w:rFonts w:hint="eastAsia" w:ascii="宋体" w:hAnsi="宋体" w:cs="宋体"/>
          <w:color w:val="auto"/>
          <w:sz w:val="32"/>
          <w:highlight w:val="none"/>
        </w:rPr>
      </w:pPr>
      <w:r>
        <w:rPr>
          <w:rFonts w:hint="eastAsia" w:ascii="宋体" w:hAnsi="宋体" w:cs="宋体"/>
          <w:color w:val="auto"/>
          <w:sz w:val="32"/>
          <w:highlight w:val="none"/>
        </w:rPr>
        <w:t xml:space="preserve"> </w:t>
      </w:r>
    </w:p>
    <w:p w14:paraId="6440E1EF">
      <w:pPr>
        <w:ind w:firstLine="1212"/>
        <w:rPr>
          <w:rFonts w:hint="eastAsia" w:ascii="宋体" w:hAnsi="宋体" w:cs="宋体"/>
          <w:color w:val="auto"/>
          <w:sz w:val="32"/>
          <w:highlight w:val="none"/>
        </w:rPr>
      </w:pPr>
    </w:p>
    <w:p w14:paraId="29D98A3C">
      <w:pPr>
        <w:ind w:firstLine="1212"/>
        <w:rPr>
          <w:rFonts w:hint="eastAsia" w:ascii="宋体" w:hAnsi="宋体" w:cs="宋体"/>
          <w:color w:val="auto"/>
          <w:sz w:val="32"/>
          <w:highlight w:val="none"/>
        </w:rPr>
      </w:pPr>
    </w:p>
    <w:p w14:paraId="76BED179">
      <w:pPr>
        <w:ind w:firstLine="1212"/>
        <w:rPr>
          <w:rFonts w:hint="eastAsia" w:ascii="宋体" w:hAnsi="宋体" w:cs="宋体"/>
          <w:color w:val="auto"/>
          <w:sz w:val="32"/>
          <w:highlight w:val="none"/>
        </w:rPr>
      </w:pPr>
    </w:p>
    <w:p w14:paraId="3AAC9321">
      <w:pPr>
        <w:ind w:firstLine="1212"/>
        <w:rPr>
          <w:rFonts w:hint="eastAsia" w:ascii="宋体" w:hAnsi="宋体" w:cs="宋体"/>
          <w:color w:val="auto"/>
          <w:sz w:val="32"/>
          <w:highlight w:val="none"/>
        </w:rPr>
      </w:pPr>
    </w:p>
    <w:p w14:paraId="5B4EBA4F">
      <w:pPr>
        <w:ind w:firstLine="1212"/>
        <w:rPr>
          <w:rFonts w:hint="eastAsia" w:ascii="宋体" w:hAnsi="宋体" w:cs="宋体"/>
          <w:color w:val="auto"/>
          <w:sz w:val="32"/>
          <w:highlight w:val="none"/>
        </w:rPr>
      </w:pPr>
    </w:p>
    <w:p w14:paraId="6F50199C">
      <w:pPr>
        <w:ind w:firstLine="1212"/>
        <w:rPr>
          <w:rFonts w:hint="eastAsia" w:ascii="宋体" w:hAnsi="宋体" w:cs="宋体"/>
          <w:color w:val="auto"/>
          <w:sz w:val="32"/>
          <w:highlight w:val="none"/>
        </w:rPr>
      </w:pPr>
    </w:p>
    <w:p w14:paraId="4637E5D1">
      <w:pPr>
        <w:ind w:firstLine="1212"/>
        <w:rPr>
          <w:rFonts w:hint="eastAsia" w:ascii="宋体" w:hAnsi="宋体" w:cs="宋体"/>
          <w:color w:val="auto"/>
          <w:sz w:val="32"/>
          <w:highlight w:val="none"/>
        </w:rPr>
      </w:pPr>
    </w:p>
    <w:p w14:paraId="3BC432EB">
      <w:pPr>
        <w:ind w:firstLine="1212"/>
        <w:rPr>
          <w:rFonts w:hint="eastAsia" w:ascii="宋体" w:hAnsi="宋体" w:cs="宋体"/>
          <w:color w:val="auto"/>
          <w:sz w:val="32"/>
          <w:highlight w:val="none"/>
        </w:rPr>
      </w:pPr>
    </w:p>
    <w:p w14:paraId="48328878">
      <w:pPr>
        <w:ind w:firstLine="1212"/>
        <w:rPr>
          <w:rFonts w:hint="eastAsia" w:ascii="宋体" w:hAnsi="宋体" w:cs="宋体"/>
          <w:color w:val="auto"/>
          <w:sz w:val="32"/>
          <w:highlight w:val="none"/>
        </w:rPr>
      </w:pPr>
    </w:p>
    <w:p w14:paraId="3A597142">
      <w:pPr>
        <w:ind w:firstLine="1212"/>
        <w:rPr>
          <w:rFonts w:hint="eastAsia" w:ascii="宋体" w:hAnsi="宋体" w:cs="宋体"/>
          <w:color w:val="auto"/>
          <w:sz w:val="32"/>
          <w:highlight w:val="none"/>
        </w:rPr>
      </w:pPr>
    </w:p>
    <w:p w14:paraId="7577029E">
      <w:pPr>
        <w:ind w:firstLine="1212"/>
        <w:rPr>
          <w:rFonts w:ascii="宋体" w:hAnsi="宋体" w:cs="宋体"/>
          <w:color w:val="auto"/>
          <w:sz w:val="32"/>
          <w:highlight w:val="none"/>
        </w:rPr>
      </w:pPr>
    </w:p>
    <w:p w14:paraId="14A8F228">
      <w:pPr>
        <w:ind w:firstLine="1852"/>
        <w:rPr>
          <w:rFonts w:ascii="宋体" w:hAnsi="宋体" w:cs="宋体"/>
          <w:color w:val="auto"/>
          <w:sz w:val="32"/>
          <w:highlight w:val="none"/>
        </w:rPr>
      </w:pPr>
    </w:p>
    <w:p w14:paraId="32889498">
      <w:pPr>
        <w:ind w:firstLine="1852"/>
        <w:rPr>
          <w:rFonts w:ascii="宋体" w:hAnsi="宋体" w:cs="宋体"/>
          <w:color w:val="auto"/>
          <w:sz w:val="32"/>
          <w:highlight w:val="none"/>
        </w:rPr>
      </w:pPr>
    </w:p>
    <w:p w14:paraId="510D1695">
      <w:pPr>
        <w:ind w:firstLine="1852"/>
        <w:rPr>
          <w:rFonts w:ascii="宋体" w:hAnsi="宋体" w:cs="宋体"/>
          <w:color w:val="auto"/>
          <w:sz w:val="32"/>
          <w:highlight w:val="none"/>
        </w:rPr>
      </w:pPr>
    </w:p>
    <w:p w14:paraId="55C6E149">
      <w:pPr>
        <w:ind w:firstLine="1852"/>
        <w:rPr>
          <w:rFonts w:ascii="宋体" w:hAnsi="宋体" w:cs="宋体"/>
          <w:color w:val="auto"/>
          <w:sz w:val="32"/>
          <w:highlight w:val="none"/>
        </w:rPr>
      </w:pPr>
      <w:r>
        <w:rPr>
          <w:rFonts w:hint="eastAsia" w:ascii="宋体" w:hAnsi="宋体" w:cs="宋体"/>
          <w:color w:val="auto"/>
          <w:sz w:val="32"/>
          <w:highlight w:val="none"/>
        </w:rPr>
        <w:t>合同</w:t>
      </w:r>
      <w:r>
        <w:rPr>
          <w:rFonts w:hint="eastAsia" w:ascii="宋体" w:hAnsi="宋体" w:cs="宋体"/>
          <w:color w:val="auto"/>
          <w:spacing w:val="6"/>
          <w:sz w:val="32"/>
          <w:highlight w:val="none"/>
        </w:rPr>
        <w:t>编号</w:t>
      </w:r>
      <w:r>
        <w:rPr>
          <w:rFonts w:hint="eastAsia" w:ascii="宋体" w:hAnsi="宋体" w:cs="宋体"/>
          <w:color w:val="auto"/>
          <w:sz w:val="32"/>
          <w:highlight w:val="none"/>
        </w:rPr>
        <w:t xml:space="preserve">：   </w:t>
      </w:r>
      <w:r>
        <w:rPr>
          <w:rFonts w:hint="eastAsia" w:ascii="宋体" w:hAnsi="宋体" w:cs="宋体"/>
          <w:color w:val="auto"/>
          <w:sz w:val="32"/>
          <w:highlight w:val="none"/>
          <w:u w:val="single"/>
        </w:rPr>
        <w:t xml:space="preserve">                 </w:t>
      </w:r>
    </w:p>
    <w:p w14:paraId="29219443">
      <w:pPr>
        <w:ind w:firstLine="1212"/>
        <w:rPr>
          <w:rFonts w:ascii="宋体" w:hAnsi="宋体" w:cs="宋体"/>
          <w:color w:val="auto"/>
          <w:sz w:val="32"/>
          <w:highlight w:val="none"/>
        </w:rPr>
      </w:pPr>
    </w:p>
    <w:p w14:paraId="7D16ACAB">
      <w:pPr>
        <w:ind w:firstLine="1212"/>
        <w:rPr>
          <w:rFonts w:ascii="宋体" w:hAnsi="宋体" w:cs="宋体"/>
          <w:color w:val="auto"/>
          <w:sz w:val="32"/>
          <w:highlight w:val="none"/>
        </w:rPr>
      </w:pPr>
    </w:p>
    <w:p w14:paraId="215372F0">
      <w:pPr>
        <w:ind w:firstLine="1212"/>
        <w:rPr>
          <w:rFonts w:ascii="宋体" w:hAnsi="宋体" w:cs="宋体"/>
          <w:color w:val="auto"/>
          <w:sz w:val="32"/>
          <w:highlight w:val="none"/>
        </w:rPr>
      </w:pPr>
    </w:p>
    <w:p w14:paraId="6DE937A2">
      <w:pPr>
        <w:ind w:firstLine="1760"/>
        <w:rPr>
          <w:rFonts w:ascii="宋体" w:hAnsi="宋体" w:cs="宋体"/>
          <w:color w:val="auto"/>
          <w:sz w:val="32"/>
          <w:highlight w:val="none"/>
        </w:rPr>
      </w:pPr>
    </w:p>
    <w:p w14:paraId="728745EC">
      <w:pPr>
        <w:ind w:firstLine="1760"/>
        <w:rPr>
          <w:rFonts w:ascii="宋体" w:hAnsi="宋体" w:cs="宋体"/>
          <w:color w:val="auto"/>
          <w:sz w:val="32"/>
          <w:highlight w:val="none"/>
          <w:u w:val="single"/>
        </w:rPr>
      </w:pPr>
      <w:r>
        <w:rPr>
          <w:rFonts w:hint="eastAsia" w:ascii="宋体" w:hAnsi="宋体" w:cs="宋体"/>
          <w:color w:val="auto"/>
          <w:sz w:val="32"/>
          <w:highlight w:val="none"/>
        </w:rPr>
        <w:t>签订合同地点：</w:t>
      </w:r>
      <w:r>
        <w:rPr>
          <w:rFonts w:hint="eastAsia" w:ascii="宋体" w:hAnsi="宋体" w:cs="宋体"/>
          <w:color w:val="auto"/>
          <w:sz w:val="32"/>
          <w:highlight w:val="none"/>
          <w:u w:val="single"/>
        </w:rPr>
        <w:t xml:space="preserve">                 </w:t>
      </w:r>
    </w:p>
    <w:p w14:paraId="2EEAF795">
      <w:pPr>
        <w:ind w:firstLine="1760"/>
        <w:rPr>
          <w:rFonts w:ascii="宋体" w:hAnsi="宋体" w:cs="宋体"/>
          <w:color w:val="auto"/>
          <w:szCs w:val="20"/>
          <w:highlight w:val="none"/>
        </w:rPr>
      </w:pPr>
      <w:r>
        <w:rPr>
          <w:rFonts w:hint="eastAsia" w:ascii="宋体" w:hAnsi="宋体" w:cs="宋体"/>
          <w:color w:val="auto"/>
          <w:sz w:val="32"/>
          <w:highlight w:val="none"/>
        </w:rPr>
        <w:t>签订合同时间</w:t>
      </w:r>
      <w:r>
        <w:rPr>
          <w:rFonts w:hint="eastAsia" w:ascii="宋体" w:hAnsi="宋体" w:cs="宋体"/>
          <w:color w:val="auto"/>
          <w:sz w:val="32"/>
          <w:szCs w:val="20"/>
          <w:highlight w:val="none"/>
        </w:rPr>
        <w:t>：</w:t>
      </w:r>
      <w:r>
        <w:rPr>
          <w:rFonts w:hint="eastAsia" w:ascii="宋体" w:hAnsi="宋体" w:cs="宋体"/>
          <w:color w:val="auto"/>
          <w:sz w:val="32"/>
          <w:szCs w:val="20"/>
          <w:highlight w:val="none"/>
          <w:u w:val="single"/>
        </w:rPr>
        <w:t xml:space="preserve">                 </w:t>
      </w:r>
      <w:r>
        <w:rPr>
          <w:rFonts w:hint="eastAsia" w:ascii="宋体" w:hAnsi="宋体" w:cs="宋体"/>
          <w:color w:val="auto"/>
          <w:sz w:val="32"/>
          <w:szCs w:val="20"/>
          <w:highlight w:val="none"/>
        </w:rPr>
        <w:t xml:space="preserve">  </w:t>
      </w:r>
    </w:p>
    <w:p w14:paraId="3A0089EB">
      <w:pPr>
        <w:rPr>
          <w:rFonts w:ascii="宋体" w:hAnsi="宋体" w:cs="宋体"/>
          <w:color w:val="auto"/>
          <w:highlight w:val="none"/>
        </w:rPr>
      </w:pPr>
    </w:p>
    <w:p w14:paraId="580D04CE">
      <w:pPr>
        <w:rPr>
          <w:rFonts w:ascii="宋体" w:hAnsi="宋体" w:cs="宋体"/>
          <w:color w:val="auto"/>
          <w:highlight w:val="none"/>
        </w:rPr>
      </w:pPr>
    </w:p>
    <w:p w14:paraId="3DE7A422">
      <w:pPr>
        <w:rPr>
          <w:rFonts w:ascii="宋体" w:hAnsi="宋体" w:cs="宋体"/>
          <w:color w:val="auto"/>
          <w:highlight w:val="none"/>
        </w:rPr>
      </w:pPr>
    </w:p>
    <w:p w14:paraId="6C80C9B0">
      <w:pPr>
        <w:rPr>
          <w:rFonts w:ascii="宋体" w:hAnsi="宋体" w:cs="宋体"/>
          <w:color w:val="auto"/>
          <w:highlight w:val="none"/>
        </w:rPr>
      </w:pPr>
    </w:p>
    <w:p w14:paraId="68C56172">
      <w:pPr>
        <w:rPr>
          <w:rFonts w:ascii="宋体" w:hAnsi="宋体" w:cs="宋体"/>
          <w:color w:val="auto"/>
          <w:highlight w:val="none"/>
        </w:rPr>
      </w:pPr>
    </w:p>
    <w:p w14:paraId="34C21F70">
      <w:pPr>
        <w:rPr>
          <w:rFonts w:ascii="宋体" w:hAnsi="宋体" w:cs="宋体"/>
          <w:color w:val="auto"/>
          <w:highlight w:val="none"/>
        </w:rPr>
      </w:pPr>
    </w:p>
    <w:p w14:paraId="39A5AE50">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第一部分   协议书</w:t>
      </w:r>
    </w:p>
    <w:p w14:paraId="2E46481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w:t>
      </w:r>
      <w:r>
        <w:rPr>
          <w:rFonts w:hint="eastAsia" w:ascii="宋体" w:hAnsi="宋体" w:cs="宋体"/>
          <w:color w:val="auto"/>
          <w:szCs w:val="21"/>
          <w:highlight w:val="none"/>
          <w:u w:val="single"/>
        </w:rPr>
        <w:t>                       </w:t>
      </w:r>
    </w:p>
    <w:p w14:paraId="1B087BB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承包人（</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w:t>
      </w:r>
      <w:r>
        <w:rPr>
          <w:rFonts w:hint="eastAsia" w:ascii="宋体" w:hAnsi="宋体" w:cs="宋体"/>
          <w:color w:val="auto"/>
          <w:szCs w:val="21"/>
          <w:highlight w:val="none"/>
          <w:u w:val="single"/>
        </w:rPr>
        <w:t>                      </w:t>
      </w:r>
    </w:p>
    <w:p w14:paraId="3D15138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根据《中华人民共和国民法典》、《中华人民共和国建筑法》及有关法律规定，遵循平等、自愿、公平和诚实信用的原则，双方就2026-2028年市管市政设施维修养护服务采购项目及有关事项协商一致，共同达成如下协议：</w:t>
      </w:r>
    </w:p>
    <w:p w14:paraId="3ABDAA3A">
      <w:pPr>
        <w:spacing w:line="360" w:lineRule="auto"/>
        <w:ind w:firstLine="420"/>
        <w:rPr>
          <w:rFonts w:ascii="宋体" w:hAnsi="宋体" w:cs="宋体"/>
          <w:b/>
          <w:bCs/>
          <w:color w:val="auto"/>
          <w:szCs w:val="21"/>
          <w:highlight w:val="none"/>
        </w:rPr>
      </w:pPr>
      <w:r>
        <w:rPr>
          <w:rFonts w:hint="eastAsia" w:ascii="宋体" w:hAnsi="宋体" w:cs="宋体"/>
          <w:b/>
          <w:bCs/>
          <w:color w:val="auto"/>
          <w:szCs w:val="21"/>
          <w:highlight w:val="none"/>
        </w:rPr>
        <w:t>一、工程概况</w:t>
      </w:r>
    </w:p>
    <w:p w14:paraId="5E36BC8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1.工程名称：</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2AA01A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2.工程地点：</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DCDBBD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3.工程立项批准文号：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CDD511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4.资金来源：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29F427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5.工程内容：</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0B331E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6.工程承包范围：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3AF4BD2">
      <w:pPr>
        <w:spacing w:line="360" w:lineRule="auto"/>
        <w:ind w:firstLine="420"/>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rPr>
        <w:t>二、合同</w:t>
      </w:r>
      <w:r>
        <w:rPr>
          <w:rFonts w:hint="eastAsia" w:ascii="宋体" w:hAnsi="宋体" w:cs="宋体"/>
          <w:b/>
          <w:bCs/>
          <w:color w:val="auto"/>
          <w:szCs w:val="21"/>
          <w:highlight w:val="none"/>
          <w:lang w:val="en-US" w:eastAsia="zh-CN"/>
        </w:rPr>
        <w:t>服务期限</w:t>
      </w:r>
    </w:p>
    <w:p w14:paraId="565EEB6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lang w:val="en-US" w:eastAsia="zh-CN"/>
        </w:rPr>
        <w:t>服务开始</w:t>
      </w:r>
      <w:r>
        <w:rPr>
          <w:rFonts w:hint="eastAsia" w:ascii="宋体" w:hAnsi="宋体" w:cs="宋体"/>
          <w:color w:val="auto"/>
          <w:szCs w:val="21"/>
          <w:highlight w:val="none"/>
        </w:rPr>
        <w:t>日期：</w:t>
      </w:r>
      <w:r>
        <w:rPr>
          <w:rFonts w:hint="eastAsia" w:ascii="宋体" w:hAnsi="宋体" w:cs="宋体"/>
          <w:color w:val="auto"/>
          <w:szCs w:val="21"/>
          <w:highlight w:val="none"/>
          <w:u w:val="single"/>
        </w:rPr>
        <w:t></w:t>
      </w:r>
      <w:r>
        <w:rPr>
          <w:rFonts w:hint="eastAsia" w:ascii="宋体" w:hAnsi="宋体" w:cs="宋体"/>
          <w:color w:val="auto"/>
          <w:szCs w:val="21"/>
          <w:highlight w:val="none"/>
        </w:rPr>
        <w:t>年</w:t>
      </w:r>
      <w:r>
        <w:rPr>
          <w:rFonts w:hint="eastAsia" w:ascii="宋体" w:hAnsi="宋体" w:cs="宋体"/>
          <w:color w:val="auto"/>
          <w:szCs w:val="21"/>
          <w:highlight w:val="none"/>
          <w:u w:val="single"/>
        </w:rPr>
        <w:t></w:t>
      </w:r>
      <w:r>
        <w:rPr>
          <w:rFonts w:hint="eastAsia" w:ascii="宋体" w:hAnsi="宋体" w:cs="宋体"/>
          <w:color w:val="auto"/>
          <w:szCs w:val="21"/>
          <w:highlight w:val="none"/>
        </w:rPr>
        <w:t>月</w:t>
      </w:r>
      <w:r>
        <w:rPr>
          <w:rFonts w:hint="eastAsia" w:ascii="宋体" w:hAnsi="宋体" w:cs="宋体"/>
          <w:color w:val="auto"/>
          <w:szCs w:val="21"/>
          <w:highlight w:val="none"/>
          <w:u w:val="single"/>
        </w:rPr>
        <w:t></w:t>
      </w:r>
      <w:r>
        <w:rPr>
          <w:rFonts w:hint="eastAsia" w:ascii="宋体" w:hAnsi="宋体" w:cs="宋体"/>
          <w:color w:val="auto"/>
          <w:szCs w:val="21"/>
          <w:highlight w:val="none"/>
        </w:rPr>
        <w:t>日。</w:t>
      </w:r>
    </w:p>
    <w:p w14:paraId="2C89EDC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lang w:val="en-US" w:eastAsia="zh-CN"/>
        </w:rPr>
        <w:t>服务终止</w:t>
      </w:r>
      <w:r>
        <w:rPr>
          <w:rFonts w:hint="eastAsia" w:ascii="宋体" w:hAnsi="宋体" w:cs="宋体"/>
          <w:color w:val="auto"/>
          <w:szCs w:val="21"/>
          <w:highlight w:val="none"/>
        </w:rPr>
        <w:t>日期：</w:t>
      </w:r>
      <w:r>
        <w:rPr>
          <w:rFonts w:hint="eastAsia" w:ascii="宋体" w:hAnsi="宋体" w:cs="宋体"/>
          <w:color w:val="auto"/>
          <w:szCs w:val="21"/>
          <w:highlight w:val="none"/>
          <w:u w:val="single"/>
        </w:rPr>
        <w:t></w:t>
      </w:r>
      <w:r>
        <w:rPr>
          <w:rFonts w:hint="eastAsia" w:ascii="宋体" w:hAnsi="宋体" w:cs="宋体"/>
          <w:color w:val="auto"/>
          <w:szCs w:val="21"/>
          <w:highlight w:val="none"/>
        </w:rPr>
        <w:t>年</w:t>
      </w:r>
      <w:r>
        <w:rPr>
          <w:rFonts w:hint="eastAsia" w:ascii="宋体" w:hAnsi="宋体" w:cs="宋体"/>
          <w:color w:val="auto"/>
          <w:szCs w:val="21"/>
          <w:highlight w:val="none"/>
          <w:u w:val="single"/>
        </w:rPr>
        <w:t></w:t>
      </w:r>
      <w:r>
        <w:rPr>
          <w:rFonts w:hint="eastAsia" w:ascii="宋体" w:hAnsi="宋体" w:cs="宋体"/>
          <w:color w:val="auto"/>
          <w:szCs w:val="21"/>
          <w:highlight w:val="none"/>
        </w:rPr>
        <w:t>月</w:t>
      </w:r>
      <w:r>
        <w:rPr>
          <w:rFonts w:hint="eastAsia" w:ascii="宋体" w:hAnsi="宋体" w:cs="宋体"/>
          <w:color w:val="auto"/>
          <w:szCs w:val="21"/>
          <w:highlight w:val="none"/>
          <w:u w:val="single"/>
        </w:rPr>
        <w:t></w:t>
      </w:r>
      <w:r>
        <w:rPr>
          <w:rFonts w:hint="eastAsia" w:ascii="宋体" w:hAnsi="宋体" w:cs="宋体"/>
          <w:color w:val="auto"/>
          <w:szCs w:val="21"/>
          <w:highlight w:val="none"/>
        </w:rPr>
        <w:t>日。</w:t>
      </w:r>
    </w:p>
    <w:p w14:paraId="59A9E1D0">
      <w:pPr>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总日历天数：</w:t>
      </w:r>
      <w:r>
        <w:rPr>
          <w:rFonts w:hint="eastAsia" w:ascii="宋体" w:hAnsi="宋体" w:cs="宋体"/>
          <w:color w:val="auto"/>
          <w:szCs w:val="21"/>
          <w:highlight w:val="none"/>
          <w:u w:val="single"/>
        </w:rPr>
        <w:t></w:t>
      </w:r>
      <w:r>
        <w:rPr>
          <w:rFonts w:hint="eastAsia" w:ascii="宋体" w:hAnsi="宋体" w:cs="宋体"/>
          <w:color w:val="auto"/>
          <w:szCs w:val="21"/>
          <w:highlight w:val="none"/>
        </w:rPr>
        <w:t>天。总日历天数与根据前述</w:t>
      </w:r>
      <w:r>
        <w:rPr>
          <w:rFonts w:hint="eastAsia" w:ascii="宋体" w:hAnsi="宋体" w:cs="宋体"/>
          <w:color w:val="auto"/>
          <w:szCs w:val="21"/>
          <w:highlight w:val="none"/>
          <w:lang w:val="en-US" w:eastAsia="zh-CN"/>
        </w:rPr>
        <w:t>服务开始</w:t>
      </w:r>
      <w:r>
        <w:rPr>
          <w:rFonts w:hint="eastAsia" w:ascii="宋体" w:hAnsi="宋体" w:cs="宋体"/>
          <w:color w:val="auto"/>
          <w:szCs w:val="21"/>
          <w:highlight w:val="none"/>
        </w:rPr>
        <w:t>日期计算的工期天数不一致的，以工期总日历天数为准</w:t>
      </w:r>
      <w:r>
        <w:rPr>
          <w:rFonts w:hint="eastAsia" w:ascii="宋体" w:hAnsi="宋体" w:cs="宋体"/>
          <w:color w:val="auto"/>
          <w:szCs w:val="21"/>
          <w:highlight w:val="none"/>
          <w:lang w:eastAsia="zh-CN"/>
        </w:rPr>
        <w:t>，自合同签订之日起3年。</w:t>
      </w:r>
    </w:p>
    <w:p w14:paraId="503E2D17">
      <w:pPr>
        <w:spacing w:line="360" w:lineRule="auto"/>
        <w:ind w:firstLine="420"/>
        <w:rPr>
          <w:rFonts w:ascii="宋体" w:hAnsi="宋体" w:cs="宋体"/>
          <w:b/>
          <w:bCs/>
          <w:color w:val="auto"/>
          <w:szCs w:val="21"/>
          <w:highlight w:val="none"/>
        </w:rPr>
      </w:pPr>
      <w:r>
        <w:rPr>
          <w:rFonts w:hint="eastAsia" w:ascii="宋体" w:hAnsi="宋体" w:cs="宋体"/>
          <w:b/>
          <w:bCs/>
          <w:color w:val="auto"/>
          <w:szCs w:val="21"/>
          <w:highlight w:val="none"/>
        </w:rPr>
        <w:t>三、质量标准</w:t>
      </w:r>
    </w:p>
    <w:p w14:paraId="6CAC837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工程质量符合</w:t>
      </w:r>
      <w:r>
        <w:rPr>
          <w:rFonts w:hint="eastAsia" w:ascii="宋体" w:hAnsi="宋体" w:cs="宋体"/>
          <w:color w:val="auto"/>
          <w:szCs w:val="21"/>
          <w:highlight w:val="none"/>
          <w:u w:val="single"/>
        </w:rPr>
        <w:t></w:t>
      </w:r>
      <w:r>
        <w:rPr>
          <w:rFonts w:hint="eastAsia" w:ascii="宋体" w:hAnsi="宋体" w:cs="宋体"/>
          <w:color w:val="auto"/>
          <w:szCs w:val="21"/>
          <w:highlight w:val="none"/>
        </w:rPr>
        <w:t>标准。</w:t>
      </w:r>
    </w:p>
    <w:p w14:paraId="27A822FE">
      <w:pPr>
        <w:spacing w:line="360" w:lineRule="auto"/>
        <w:ind w:firstLine="422"/>
        <w:rPr>
          <w:rFonts w:ascii="宋体" w:hAnsi="宋体" w:cs="宋体"/>
          <w:color w:val="auto"/>
          <w:szCs w:val="21"/>
          <w:highlight w:val="none"/>
          <w:u w:val="single"/>
        </w:rPr>
      </w:pPr>
      <w:r>
        <w:rPr>
          <w:rFonts w:hint="eastAsia" w:ascii="宋体" w:hAnsi="宋体" w:cs="宋体"/>
          <w:b/>
          <w:color w:val="auto"/>
          <w:szCs w:val="21"/>
          <w:highlight w:val="none"/>
        </w:rPr>
        <w:t>四、结算价款</w:t>
      </w:r>
      <w:r>
        <w:rPr>
          <w:rFonts w:hint="eastAsia" w:ascii="宋体" w:hAnsi="宋体" w:cs="宋体"/>
          <w:color w:val="auto"/>
          <w:szCs w:val="21"/>
          <w:highlight w:val="none"/>
        </w:rPr>
        <w:t>：（1）</w:t>
      </w:r>
      <w:r>
        <w:rPr>
          <w:rFonts w:hint="eastAsia" w:ascii="宋体" w:hAnsi="宋体" w:cs="宋体"/>
          <w:color w:val="auto"/>
          <w:szCs w:val="21"/>
          <w:highlight w:val="none"/>
          <w:u w:val="single"/>
        </w:rPr>
        <w:t>市管市政设施维修养护服务费用为</w:t>
      </w:r>
      <w:r>
        <w:rPr>
          <w:rFonts w:hint="eastAsia" w:ascii="宋体" w:hAnsi="宋体" w:cs="宋体"/>
          <w:b/>
          <w:bCs/>
          <w:color w:val="auto"/>
          <w:szCs w:val="21"/>
          <w:highlight w:val="none"/>
          <w:u w:val="single"/>
          <w:lang w:val="en-US" w:eastAsia="zh-CN"/>
        </w:rPr>
        <w:t>2520万元</w:t>
      </w:r>
      <w:r>
        <w:rPr>
          <w:rFonts w:hint="eastAsia" w:ascii="宋体" w:hAnsi="宋体" w:cs="宋体"/>
          <w:color w:val="auto"/>
          <w:szCs w:val="21"/>
          <w:highlight w:val="none"/>
          <w:u w:val="single"/>
        </w:rPr>
        <w:t>，内容包括：</w:t>
      </w:r>
      <w:r>
        <w:rPr>
          <w:rFonts w:hint="eastAsia" w:ascii="宋体" w:hAnsi="宋体"/>
          <w:color w:val="auto"/>
          <w:szCs w:val="21"/>
          <w:highlight w:val="none"/>
        </w:rPr>
        <w:t>市管市政设施维修养护服务工作内容包括对</w:t>
      </w:r>
      <w:r>
        <w:rPr>
          <w:rFonts w:hint="eastAsia" w:ascii="宋体" w:hAnsi="宋体"/>
          <w:color w:val="auto"/>
          <w:szCs w:val="21"/>
          <w:highlight w:val="none"/>
          <w:lang w:eastAsia="zh-CN"/>
        </w:rPr>
        <w:t>文昌大道以南（含）、北部湾大道以西（含）、伏波大道以东（不含）、西湾环海大道以东（含）、西湾跨海大桥以北（含）</w:t>
      </w:r>
      <w:r>
        <w:rPr>
          <w:rFonts w:hint="eastAsia" w:ascii="宋体" w:hAnsi="宋体" w:cs="宋体"/>
          <w:color w:val="auto"/>
          <w:szCs w:val="21"/>
          <w:highlight w:val="none"/>
          <w:u w:val="single"/>
        </w:rPr>
        <w:t>的市管道路的路面、排水、桥梁的日常维修养护工作，防汛排涝、路面塌陷等市政设施突发事件的应急处置工作，市政设施巡查、重大活动期间的市政设施应急保障工作</w:t>
      </w:r>
      <w:r>
        <w:rPr>
          <w:rFonts w:ascii="宋体" w:hAnsi="宋体" w:cs="宋体"/>
          <w:color w:val="auto"/>
          <w:szCs w:val="21"/>
          <w:highlight w:val="none"/>
          <w:u w:val="single"/>
        </w:rPr>
        <w:t>等</w:t>
      </w:r>
      <w:r>
        <w:rPr>
          <w:rFonts w:hint="eastAsia" w:ascii="宋体" w:hAnsi="宋体" w:cs="宋体"/>
          <w:color w:val="auto"/>
          <w:szCs w:val="21"/>
          <w:highlight w:val="none"/>
          <w:u w:val="single"/>
        </w:rPr>
        <w:t>以及</w:t>
      </w:r>
      <w:r>
        <w:rPr>
          <w:rFonts w:hint="eastAsia" w:ascii="宋体" w:hAnsi="宋体" w:cs="宋体"/>
          <w:bCs/>
          <w:color w:val="auto"/>
          <w:szCs w:val="21"/>
          <w:highlight w:val="none"/>
          <w:u w:val="single"/>
        </w:rPr>
        <w:t>新接收的纳入市本级管理范围的</w:t>
      </w:r>
      <w:r>
        <w:rPr>
          <w:rFonts w:hint="eastAsia" w:ascii="宋体" w:hAnsi="宋体" w:cs="宋体"/>
          <w:color w:val="auto"/>
          <w:szCs w:val="21"/>
          <w:highlight w:val="none"/>
          <w:u w:val="single"/>
        </w:rPr>
        <w:t>市政</w:t>
      </w:r>
      <w:r>
        <w:rPr>
          <w:rFonts w:hint="eastAsia" w:ascii="宋体" w:hAnsi="宋体" w:cs="宋体"/>
          <w:bCs/>
          <w:color w:val="auto"/>
          <w:szCs w:val="21"/>
          <w:highlight w:val="none"/>
          <w:u w:val="single"/>
        </w:rPr>
        <w:t>设施</w:t>
      </w:r>
      <w:r>
        <w:rPr>
          <w:rFonts w:hint="eastAsia" w:ascii="宋体" w:hAnsi="宋体" w:cs="宋体"/>
          <w:color w:val="auto"/>
          <w:szCs w:val="21"/>
          <w:highlight w:val="none"/>
          <w:u w:val="single"/>
        </w:rPr>
        <w:t>维修养护，工程量按实际完成的工程计量，结算价按</w:t>
      </w:r>
      <w:r>
        <w:rPr>
          <w:rFonts w:hint="eastAsia" w:ascii="宋体" w:hAnsi="宋体"/>
          <w:color w:val="auto"/>
          <w:szCs w:val="21"/>
          <w:highlight w:val="none"/>
          <w:u w:val="single"/>
        </w:rPr>
        <w:t>委托第三方审核机构或报送市财政投资评审中心</w:t>
      </w:r>
      <w:r>
        <w:rPr>
          <w:rFonts w:hint="eastAsia" w:ascii="宋体" w:hAnsi="宋体" w:cs="宋体"/>
          <w:color w:val="auto"/>
          <w:szCs w:val="21"/>
          <w:highlight w:val="none"/>
          <w:u w:val="single"/>
        </w:rPr>
        <w:t>审定的价格乘以中标系数后作为合同结算价款，中标系数=      %。（2）若设施量增加或减少时，中标系数将不作调整，承包人自行考虑在报价内。</w:t>
      </w:r>
    </w:p>
    <w:p w14:paraId="220E4741">
      <w:pPr>
        <w:spacing w:line="360" w:lineRule="auto"/>
        <w:ind w:firstLine="413"/>
        <w:jc w:val="left"/>
        <w:rPr>
          <w:rFonts w:ascii="宋体" w:hAnsi="宋体" w:cs="宋体"/>
          <w:color w:val="auto"/>
          <w:szCs w:val="21"/>
          <w:highlight w:val="none"/>
          <w:u w:val="single"/>
        </w:rPr>
      </w:pPr>
      <w:r>
        <w:rPr>
          <w:rFonts w:hint="eastAsia" w:ascii="宋体" w:hAnsi="宋体" w:cs="宋体"/>
          <w:b/>
          <w:color w:val="auto"/>
          <w:szCs w:val="21"/>
          <w:highlight w:val="none"/>
        </w:rPr>
        <w:t>五、工程量的确定：</w:t>
      </w:r>
      <w:r>
        <w:rPr>
          <w:rFonts w:hint="eastAsia" w:ascii="宋体" w:hAnsi="宋体" w:cs="宋体"/>
          <w:color w:val="auto"/>
          <w:szCs w:val="21"/>
          <w:highlight w:val="none"/>
          <w:u w:val="single"/>
        </w:rPr>
        <w:t>以发包人每月签发的维修计划、监控中心网格化城市信息管理系统登记案件、临时派发的任务为依据，由发包人现场代表进行现场收方计量，承包人根据现场收方确定的工程量编制工程结算资料。</w:t>
      </w:r>
    </w:p>
    <w:p w14:paraId="34E0C26B">
      <w:pPr>
        <w:spacing w:line="360" w:lineRule="auto"/>
        <w:ind w:firstLine="422"/>
        <w:rPr>
          <w:rFonts w:hint="eastAsia" w:ascii="宋体" w:hAnsi="宋体" w:eastAsia="宋体" w:cs="宋体"/>
          <w:color w:val="auto"/>
          <w:szCs w:val="21"/>
          <w:highlight w:val="none"/>
          <w:u w:val="single"/>
          <w:lang w:val="en-US" w:eastAsia="zh-CN"/>
        </w:rPr>
      </w:pPr>
      <w:r>
        <w:rPr>
          <w:rFonts w:hint="eastAsia" w:ascii="宋体" w:hAnsi="宋体" w:cs="宋体"/>
          <w:b/>
          <w:color w:val="auto"/>
          <w:szCs w:val="21"/>
          <w:highlight w:val="none"/>
        </w:rPr>
        <w:t>六、预付款：</w:t>
      </w:r>
      <w:r>
        <w:rPr>
          <w:rFonts w:hint="eastAsia" w:ascii="宋体" w:hAnsi="宋体" w:cs="宋体"/>
          <w:b w:val="0"/>
          <w:bCs/>
          <w:color w:val="auto"/>
          <w:szCs w:val="21"/>
          <w:highlight w:val="none"/>
        </w:rPr>
        <w:t>无</w:t>
      </w:r>
      <w:r>
        <w:rPr>
          <w:rFonts w:hint="eastAsia" w:ascii="宋体" w:hAnsi="宋体" w:cs="宋体"/>
          <w:color w:val="auto"/>
          <w:szCs w:val="21"/>
          <w:highlight w:val="none"/>
        </w:rPr>
        <w:t>。</w:t>
      </w:r>
    </w:p>
    <w:p w14:paraId="12BA4768">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七、承包人向发包人提交已完工程量报告的时间：</w:t>
      </w:r>
    </w:p>
    <w:p w14:paraId="6D502D81">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每2个月为一个计量周期，承包人于第3个月15日前提交上个月维护任务完整的工程结算报告（含已完工程量报告）及相关结算资料4套（若有特殊情况，须经发包人认可适当延长竣工资料递交时间，至多不能超过30日历天），发包人接到后</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天内核实工程结算报告（含已完工程量报告）及相关结算资料，并在核实前1天通知承包人，承包人应提供条件并派人参加核实，承包人收到通知后不参加核实，以发包人核实的工程结算报告（含已完工程量报告）及相关结算资料作为工程价款支付的依据。发包人不按约定时间通知承包人，致使承包人未能参加核实，核实结果无效。</w:t>
      </w:r>
    </w:p>
    <w:p w14:paraId="404A4D79">
      <w:pPr>
        <w:spacing w:line="360" w:lineRule="auto"/>
        <w:rPr>
          <w:rFonts w:hint="default" w:ascii="宋体" w:hAnsi="宋体" w:eastAsia="宋体" w:cs="宋体"/>
          <w:b/>
          <w:color w:val="auto"/>
          <w:szCs w:val="21"/>
          <w:highlight w:val="none"/>
          <w:lang w:val="en-US" w:eastAsia="zh-CN"/>
        </w:rPr>
      </w:pPr>
      <w:r>
        <w:rPr>
          <w:rFonts w:hint="eastAsia" w:ascii="宋体" w:hAnsi="宋体" w:cs="宋体"/>
          <w:color w:val="auto"/>
          <w:szCs w:val="21"/>
          <w:highlight w:val="none"/>
        </w:rPr>
        <w:t xml:space="preserve">   </w:t>
      </w:r>
      <w:r>
        <w:rPr>
          <w:rFonts w:hint="eastAsia" w:ascii="宋体" w:hAnsi="宋体" w:cs="宋体"/>
          <w:b/>
          <w:color w:val="auto"/>
          <w:szCs w:val="21"/>
          <w:highlight w:val="none"/>
        </w:rPr>
        <w:t xml:space="preserve"> 八、工程款（进度款）支付</w:t>
      </w:r>
    </w:p>
    <w:p w14:paraId="759F19E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双方约定的工程款（进度款）支付的方式和时间：</w:t>
      </w:r>
      <w:r>
        <w:rPr>
          <w:rFonts w:hint="eastAsia" w:ascii="宋体" w:hAnsi="宋体" w:cs="宋体"/>
          <w:color w:val="auto"/>
          <w:szCs w:val="21"/>
          <w:highlight w:val="none"/>
          <w:u w:val="single"/>
        </w:rPr>
        <w:t>每2个月支付1次，根据《防城港市市本级市政设施日常维修养护管理考核办法（试行）》运用考核结果和</w:t>
      </w:r>
      <w:r>
        <w:rPr>
          <w:rFonts w:hint="eastAsia" w:ascii="宋体" w:hAnsi="宋体"/>
          <w:color w:val="auto"/>
          <w:szCs w:val="21"/>
          <w:highlight w:val="none"/>
        </w:rPr>
        <w:t>委托第三方审核机构或报送市财政投资评审中心审定</w:t>
      </w:r>
      <w:r>
        <w:rPr>
          <w:rFonts w:hint="eastAsia" w:ascii="宋体" w:hAnsi="宋体" w:cs="宋体"/>
          <w:color w:val="auto"/>
          <w:szCs w:val="21"/>
          <w:highlight w:val="none"/>
          <w:u w:val="single"/>
        </w:rPr>
        <w:t>价款进行综合计算后，得出每期服务费。在防城港市财政局下达该工程资金使用计划后10</w:t>
      </w:r>
      <w:r>
        <w:rPr>
          <w:rFonts w:hint="eastAsia" w:ascii="宋体" w:hAnsi="宋体" w:cs="宋体"/>
          <w:color w:val="auto"/>
          <w:szCs w:val="21"/>
          <w:highlight w:val="none"/>
          <w:u w:val="single"/>
          <w:lang w:eastAsia="zh-CN"/>
        </w:rPr>
        <w:t>个</w:t>
      </w:r>
      <w:r>
        <w:rPr>
          <w:rFonts w:hint="eastAsia" w:ascii="宋体" w:hAnsi="宋体" w:cs="宋体"/>
          <w:color w:val="auto"/>
          <w:szCs w:val="21"/>
          <w:highlight w:val="none"/>
          <w:u w:val="single"/>
        </w:rPr>
        <w:t>工作日内支付。</w:t>
      </w:r>
    </w:p>
    <w:p w14:paraId="15319E66">
      <w:pPr>
        <w:spacing w:line="360" w:lineRule="auto"/>
        <w:ind w:firstLine="420"/>
        <w:rPr>
          <w:rFonts w:ascii="宋体" w:hAnsi="宋体" w:cs="宋体"/>
          <w:color w:val="auto"/>
          <w:szCs w:val="21"/>
          <w:highlight w:val="none"/>
          <w:u w:val="single"/>
        </w:rPr>
      </w:pPr>
      <w:r>
        <w:rPr>
          <w:rFonts w:hint="eastAsia" w:ascii="宋体" w:hAnsi="宋体" w:cs="宋体"/>
          <w:b/>
          <w:bCs w:val="0"/>
          <w:color w:val="auto"/>
          <w:szCs w:val="21"/>
          <w:highlight w:val="none"/>
          <w:lang w:eastAsia="zh-CN"/>
        </w:rPr>
        <w:t>九</w:t>
      </w:r>
      <w:r>
        <w:rPr>
          <w:rFonts w:hint="eastAsia" w:ascii="宋体" w:hAnsi="宋体" w:cs="宋体"/>
          <w:b/>
          <w:bCs w:val="0"/>
          <w:color w:val="auto"/>
          <w:szCs w:val="21"/>
          <w:highlight w:val="none"/>
        </w:rPr>
        <w:t>、</w:t>
      </w:r>
      <w:r>
        <w:rPr>
          <w:rFonts w:hint="eastAsia" w:ascii="宋体" w:hAnsi="宋体" w:cs="宋体"/>
          <w:color w:val="auto"/>
          <w:szCs w:val="21"/>
          <w:highlight w:val="none"/>
        </w:rPr>
        <w:t>承包人提供竣工资料的约定：</w:t>
      </w:r>
      <w:r>
        <w:rPr>
          <w:rFonts w:hint="eastAsia" w:ascii="宋体" w:hAnsi="宋体" w:cs="宋体"/>
          <w:color w:val="auto"/>
          <w:szCs w:val="21"/>
          <w:highlight w:val="none"/>
          <w:u w:val="single"/>
        </w:rPr>
        <w:t>如承包人未能按规定时间递交竣工结算报告及完整的结算资料的，不得向发包人要求结算工程余款，且延误时间超过30日历天的，造成损失由承包人承担，如因此造成发包人损失的，应按实承担赔偿责任。</w:t>
      </w:r>
    </w:p>
    <w:p w14:paraId="4F016686">
      <w:pPr>
        <w:spacing w:line="360" w:lineRule="auto"/>
        <w:ind w:firstLine="480"/>
        <w:rPr>
          <w:rFonts w:ascii="宋体" w:hAnsi="宋体" w:cs="宋体"/>
          <w:color w:val="auto"/>
          <w:szCs w:val="21"/>
          <w:highlight w:val="none"/>
          <w:u w:val="single"/>
        </w:rPr>
      </w:pPr>
      <w:r>
        <w:rPr>
          <w:rFonts w:hint="eastAsia" w:ascii="宋体" w:hAnsi="宋体" w:cs="宋体"/>
          <w:b/>
          <w:bCs w:val="0"/>
          <w:color w:val="auto"/>
          <w:szCs w:val="21"/>
          <w:highlight w:val="none"/>
          <w:lang w:eastAsia="zh-CN"/>
        </w:rPr>
        <w:t>十</w:t>
      </w:r>
      <w:r>
        <w:rPr>
          <w:rFonts w:hint="eastAsia" w:ascii="宋体" w:hAnsi="宋体" w:cs="宋体"/>
          <w:b/>
          <w:bCs w:val="0"/>
          <w:color w:val="auto"/>
          <w:szCs w:val="21"/>
          <w:highlight w:val="none"/>
        </w:rPr>
        <w:t>、</w:t>
      </w:r>
      <w:r>
        <w:rPr>
          <w:rFonts w:hint="eastAsia" w:ascii="宋体" w:hAnsi="宋体" w:cs="宋体"/>
          <w:color w:val="auto"/>
          <w:szCs w:val="21"/>
          <w:highlight w:val="none"/>
        </w:rPr>
        <w:t>按国家规定的工程保修期限，约定本项目的保修期限：</w:t>
      </w:r>
      <w:r>
        <w:rPr>
          <w:rFonts w:hint="eastAsia" w:ascii="宋体" w:hAnsi="宋体" w:cs="宋体"/>
          <w:color w:val="auto"/>
          <w:szCs w:val="21"/>
          <w:highlight w:val="none"/>
          <w:u w:val="single"/>
        </w:rPr>
        <w:t>沥青坑槽修补（面积≤5㎡）保修期6个月，沥青摊铺、人行道维修及其它维修项目保修期1年。</w:t>
      </w:r>
    </w:p>
    <w:p w14:paraId="3DB92D72">
      <w:pPr>
        <w:spacing w:line="360" w:lineRule="auto"/>
        <w:ind w:firstLine="420"/>
        <w:rPr>
          <w:rFonts w:ascii="宋体" w:hAnsi="宋体" w:cs="宋体"/>
          <w:b/>
          <w:bCs w:val="0"/>
          <w:color w:val="auto"/>
          <w:szCs w:val="21"/>
          <w:highlight w:val="none"/>
        </w:rPr>
      </w:pPr>
      <w:r>
        <w:rPr>
          <w:rFonts w:hint="eastAsia" w:ascii="宋体" w:hAnsi="宋体" w:cs="宋体"/>
          <w:b/>
          <w:bCs w:val="0"/>
          <w:color w:val="auto"/>
          <w:szCs w:val="21"/>
          <w:highlight w:val="none"/>
        </w:rPr>
        <w:t>十</w:t>
      </w:r>
      <w:r>
        <w:rPr>
          <w:rFonts w:hint="eastAsia" w:ascii="宋体" w:hAnsi="宋体" w:cs="宋体"/>
          <w:b/>
          <w:bCs w:val="0"/>
          <w:color w:val="auto"/>
          <w:szCs w:val="21"/>
          <w:highlight w:val="none"/>
          <w:lang w:eastAsia="zh-CN"/>
        </w:rPr>
        <w:t>一</w:t>
      </w:r>
      <w:r>
        <w:rPr>
          <w:rFonts w:hint="eastAsia" w:ascii="宋体" w:hAnsi="宋体" w:cs="宋体"/>
          <w:b/>
          <w:bCs w:val="0"/>
          <w:color w:val="auto"/>
          <w:szCs w:val="21"/>
          <w:highlight w:val="none"/>
        </w:rPr>
        <w:t>、本合同中关于承包人违约的具体责任如下：</w:t>
      </w:r>
    </w:p>
    <w:p w14:paraId="34DEACF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承包人违约应承担的违约责任</w:t>
      </w:r>
      <w:r>
        <w:rPr>
          <w:rFonts w:hint="eastAsia" w:ascii="宋体" w:hAnsi="宋体" w:cs="宋体"/>
          <w:b/>
          <w:bCs/>
          <w:color w:val="auto"/>
          <w:szCs w:val="21"/>
          <w:highlight w:val="none"/>
        </w:rPr>
        <w:t>：</w:t>
      </w:r>
      <w:r>
        <w:rPr>
          <w:rFonts w:hint="eastAsia" w:ascii="宋体" w:hAnsi="宋体" w:cs="宋体"/>
          <w:color w:val="auto"/>
          <w:szCs w:val="21"/>
          <w:highlight w:val="none"/>
          <w:u w:val="single"/>
        </w:rPr>
        <w:t>承包人不能按合同约定的时间完成相应养护任务，应承担违约责任，向发包人支付赔偿费。延误工期违约金500元/天，延误合同工期赔偿限额为工程结算价的1%。承包人工期提前不予奖励。</w:t>
      </w:r>
    </w:p>
    <w:p w14:paraId="1B69F888">
      <w:pPr>
        <w:spacing w:line="360" w:lineRule="auto"/>
        <w:ind w:firstLine="420"/>
        <w:rPr>
          <w:rFonts w:ascii="宋体" w:hAnsi="宋体" w:cs="宋体"/>
          <w:color w:val="auto"/>
          <w:szCs w:val="21"/>
          <w:highlight w:val="none"/>
          <w:u w:val="single"/>
        </w:rPr>
      </w:pPr>
      <w:r>
        <w:rPr>
          <w:rFonts w:hint="eastAsia" w:ascii="宋体" w:hAnsi="宋体" w:cs="宋体"/>
          <w:color w:val="auto"/>
          <w:szCs w:val="21"/>
          <w:highlight w:val="none"/>
        </w:rPr>
        <w:t>承包人违约应承担的违约责任：</w:t>
      </w:r>
      <w:r>
        <w:rPr>
          <w:rFonts w:hint="eastAsia" w:ascii="宋体" w:hAnsi="宋体" w:cs="宋体"/>
          <w:color w:val="auto"/>
          <w:szCs w:val="21"/>
          <w:highlight w:val="none"/>
          <w:u w:val="single"/>
        </w:rPr>
        <w:t>未达到《城镇道路养护技术规范》标准，则质量保证金（即工程结算价的3%）不予返还。不合格工程仍须将工程返工至合格标准。工程符合质量要求不予奖励。</w:t>
      </w:r>
    </w:p>
    <w:p w14:paraId="3FD1D4D0">
      <w:pPr>
        <w:spacing w:line="360" w:lineRule="auto"/>
        <w:ind w:firstLine="420"/>
        <w:rPr>
          <w:rFonts w:ascii="宋体" w:hAnsi="宋体" w:cs="宋体"/>
          <w:color w:val="auto"/>
          <w:szCs w:val="21"/>
          <w:highlight w:val="none"/>
          <w:u w:val="single"/>
        </w:rPr>
      </w:pPr>
      <w:r>
        <w:rPr>
          <w:rFonts w:hint="eastAsia" w:ascii="宋体" w:hAnsi="宋体" w:cs="宋体"/>
          <w:color w:val="auto"/>
          <w:szCs w:val="21"/>
          <w:highlight w:val="none"/>
          <w:u w:val="single"/>
        </w:rPr>
        <w:t>承包人将其承包的全部工程转包给他人或者肢解以后以分包的名义分别转包给他人，</w:t>
      </w:r>
      <w:r>
        <w:rPr>
          <w:rFonts w:hint="eastAsia" w:ascii="宋体" w:hAnsi="宋体" w:cs="宋体"/>
          <w:color w:val="auto"/>
          <w:szCs w:val="21"/>
          <w:highlight w:val="none"/>
          <w:u w:val="single"/>
          <w:lang w:val="en-US" w:eastAsia="zh-CN"/>
        </w:rPr>
        <w:t>承包人应向发包人支付合同价款3%的违约金，同时</w:t>
      </w:r>
      <w:r>
        <w:rPr>
          <w:rFonts w:hint="eastAsia" w:ascii="宋体" w:hAnsi="宋体" w:cs="宋体"/>
          <w:color w:val="auto"/>
          <w:szCs w:val="21"/>
          <w:highlight w:val="none"/>
          <w:u w:val="single"/>
        </w:rPr>
        <w:t>发包人有权解除合同。</w:t>
      </w:r>
    </w:p>
    <w:p w14:paraId="5D010C61">
      <w:pPr>
        <w:spacing w:line="360" w:lineRule="auto"/>
        <w:rPr>
          <w:rFonts w:ascii="宋体" w:hAnsi="宋体" w:cs="宋体"/>
          <w:b/>
          <w:bCs/>
          <w:color w:val="auto"/>
          <w:szCs w:val="21"/>
          <w:highlight w:val="none"/>
        </w:rPr>
      </w:pPr>
      <w:r>
        <w:rPr>
          <w:rFonts w:hint="eastAsia" w:ascii="宋体" w:hAnsi="宋体" w:cs="宋体"/>
          <w:color w:val="auto"/>
          <w:szCs w:val="21"/>
          <w:highlight w:val="none"/>
        </w:rPr>
        <w:t xml:space="preserve">    </w:t>
      </w:r>
      <w:r>
        <w:rPr>
          <w:rFonts w:hint="eastAsia" w:ascii="宋体" w:hAnsi="宋体" w:cs="宋体"/>
          <w:b/>
          <w:bCs/>
          <w:color w:val="auto"/>
          <w:szCs w:val="21"/>
          <w:highlight w:val="none"/>
        </w:rPr>
        <w:t xml:space="preserve"> 十</w:t>
      </w:r>
      <w:r>
        <w:rPr>
          <w:rFonts w:hint="eastAsia" w:ascii="宋体" w:hAnsi="宋体" w:cs="宋体"/>
          <w:b/>
          <w:bCs/>
          <w:color w:val="auto"/>
          <w:szCs w:val="21"/>
          <w:highlight w:val="none"/>
          <w:lang w:eastAsia="zh-CN"/>
        </w:rPr>
        <w:t>二</w:t>
      </w:r>
      <w:r>
        <w:rPr>
          <w:rFonts w:hint="eastAsia" w:ascii="宋体" w:hAnsi="宋体" w:cs="宋体"/>
          <w:b/>
          <w:bCs/>
          <w:color w:val="auto"/>
          <w:szCs w:val="21"/>
          <w:highlight w:val="none"/>
        </w:rPr>
        <w:t>、本工程双方约定投保内容如下：</w:t>
      </w:r>
    </w:p>
    <w:p w14:paraId="359985CA">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承包人投保内容：</w:t>
      </w:r>
      <w:r>
        <w:rPr>
          <w:rFonts w:hint="eastAsia" w:ascii="宋体" w:hAnsi="宋体" w:cs="宋体"/>
          <w:color w:val="auto"/>
          <w:szCs w:val="21"/>
          <w:highlight w:val="none"/>
          <w:u w:val="single"/>
        </w:rPr>
        <w:t>建筑工程施工人员人身意外伤害保险。</w:t>
      </w:r>
    </w:p>
    <w:p w14:paraId="1EB676A3">
      <w:pPr>
        <w:spacing w:line="360" w:lineRule="auto"/>
        <w:ind w:firstLine="480"/>
        <w:rPr>
          <w:rFonts w:hint="eastAsia" w:ascii="宋体" w:hAnsi="宋体" w:eastAsia="宋体" w:cs="宋体"/>
          <w:color w:val="auto"/>
          <w:szCs w:val="21"/>
          <w:highlight w:val="none"/>
          <w:lang w:eastAsia="zh-CN"/>
        </w:rPr>
      </w:pPr>
      <w:r>
        <w:rPr>
          <w:rFonts w:hint="eastAsia" w:ascii="宋体" w:hAnsi="宋体" w:cs="宋体"/>
          <w:b/>
          <w:color w:val="auto"/>
          <w:szCs w:val="21"/>
          <w:highlight w:val="none"/>
        </w:rPr>
        <w:t>十</w:t>
      </w:r>
      <w:r>
        <w:rPr>
          <w:rFonts w:hint="eastAsia" w:ascii="宋体" w:hAnsi="宋体" w:cs="宋体"/>
          <w:b/>
          <w:color w:val="auto"/>
          <w:szCs w:val="21"/>
          <w:highlight w:val="none"/>
          <w:lang w:eastAsia="zh-CN"/>
        </w:rPr>
        <w:t>三</w:t>
      </w:r>
      <w:r>
        <w:rPr>
          <w:rFonts w:hint="eastAsia" w:ascii="宋体" w:hAnsi="宋体" w:cs="宋体"/>
          <w:b/>
          <w:color w:val="auto"/>
          <w:szCs w:val="21"/>
          <w:highlight w:val="none"/>
        </w:rPr>
        <w:t>、履约保证金：</w:t>
      </w:r>
      <w:r>
        <w:rPr>
          <w:rFonts w:hint="eastAsia" w:ascii="宋体" w:hAnsi="宋体" w:cs="宋体"/>
          <w:b/>
          <w:color w:val="auto"/>
          <w:szCs w:val="21"/>
          <w:highlight w:val="none"/>
          <w:lang w:eastAsia="zh-CN"/>
        </w:rPr>
        <w:t>无。</w:t>
      </w:r>
    </w:p>
    <w:p w14:paraId="6DF99880">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十</w:t>
      </w:r>
      <w:r>
        <w:rPr>
          <w:rFonts w:hint="eastAsia" w:ascii="宋体" w:hAnsi="宋体" w:cs="宋体"/>
          <w:b/>
          <w:color w:val="auto"/>
          <w:szCs w:val="21"/>
          <w:highlight w:val="none"/>
          <w:lang w:eastAsia="zh-CN"/>
        </w:rPr>
        <w:t>四</w:t>
      </w:r>
      <w:r>
        <w:rPr>
          <w:rFonts w:hint="eastAsia" w:ascii="宋体" w:hAnsi="宋体" w:cs="宋体"/>
          <w:b/>
          <w:color w:val="auto"/>
          <w:szCs w:val="21"/>
          <w:highlight w:val="none"/>
        </w:rPr>
        <w:t>、合同补充内容</w:t>
      </w:r>
    </w:p>
    <w:p w14:paraId="71092AC6">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（一）防城港市财政局关于工程项目预（结）算评审费用有关规定</w:t>
      </w:r>
    </w:p>
    <w:p w14:paraId="1FA5FD45">
      <w:pPr>
        <w:spacing w:line="360" w:lineRule="auto"/>
        <w:ind w:firstLine="42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根据防城港市财政局《关于工程项目预（结）算评审费用有关规定的通知》（防财办〔2015〕27号） “建设单位要在与设计单位和预（结）算编制中介机构的合同中约定，由于对方失误造成审减幅度大于8%的，上款由单位承担的审减评审费由对方承担”的规定，工程结算评审时，承包人提供的送审结算若因审减幅度大于8%的，</w:t>
      </w:r>
      <w:r>
        <w:rPr>
          <w:rFonts w:hint="eastAsia" w:ascii="宋体" w:hAnsi="宋体" w:cs="宋体"/>
          <w:color w:val="auto"/>
          <w:szCs w:val="21"/>
          <w:highlight w:val="none"/>
          <w:lang w:eastAsia="zh-CN"/>
        </w:rPr>
        <w:t>第三方审核机构或</w:t>
      </w:r>
      <w:r>
        <w:rPr>
          <w:rFonts w:hint="eastAsia" w:ascii="宋体" w:hAnsi="宋体" w:cs="宋体"/>
          <w:color w:val="auto"/>
          <w:szCs w:val="21"/>
          <w:highlight w:val="none"/>
        </w:rPr>
        <w:t>市财政局提出要支付审减评审费用的，由承包人负责支付</w:t>
      </w:r>
      <w:r>
        <w:rPr>
          <w:rFonts w:hint="eastAsia" w:ascii="宋体" w:hAnsi="宋体" w:cs="宋体"/>
          <w:color w:val="auto"/>
          <w:szCs w:val="21"/>
          <w:highlight w:val="none"/>
          <w:lang w:eastAsia="zh-CN"/>
        </w:rPr>
        <w:t>，</w:t>
      </w:r>
      <w:r>
        <w:rPr>
          <w:rFonts w:hint="eastAsia" w:ascii="宋体" w:hAnsi="宋体" w:cs="宋体"/>
          <w:b/>
          <w:bCs/>
          <w:color w:val="auto"/>
          <w:szCs w:val="21"/>
          <w:highlight w:val="none"/>
          <w:lang w:eastAsia="zh-CN"/>
        </w:rPr>
        <w:t>同时由于</w:t>
      </w:r>
      <w:r>
        <w:rPr>
          <w:rFonts w:hint="eastAsia" w:ascii="宋体" w:hAnsi="宋体" w:cs="宋体"/>
          <w:b/>
          <w:bCs/>
          <w:color w:val="auto"/>
          <w:szCs w:val="21"/>
          <w:highlight w:val="none"/>
        </w:rPr>
        <w:t>承包人提供的送审结算审减幅度大于8%的</w:t>
      </w:r>
      <w:r>
        <w:rPr>
          <w:rFonts w:hint="eastAsia" w:ascii="宋体" w:hAnsi="宋体" w:cs="宋体"/>
          <w:b/>
          <w:bCs/>
          <w:color w:val="auto"/>
          <w:szCs w:val="21"/>
          <w:highlight w:val="none"/>
          <w:lang w:eastAsia="zh-CN"/>
        </w:rPr>
        <w:t>部分工程量</w:t>
      </w:r>
      <w:r>
        <w:rPr>
          <w:rFonts w:hint="eastAsia" w:ascii="宋体" w:hAnsi="宋体" w:cs="宋体"/>
          <w:b/>
          <w:bCs/>
          <w:color w:val="auto"/>
          <w:szCs w:val="21"/>
          <w:highlight w:val="none"/>
          <w:lang w:val="en-US" w:eastAsia="zh-CN"/>
        </w:rPr>
        <w:t>*0.2的费用在下个</w:t>
      </w:r>
      <w:r>
        <w:rPr>
          <w:rFonts w:hint="eastAsia" w:ascii="宋体" w:hAnsi="宋体" w:cs="宋体"/>
          <w:color w:val="auto"/>
          <w:szCs w:val="21"/>
          <w:highlight w:val="none"/>
          <w:u w:val="single"/>
        </w:rPr>
        <w:t>周期</w:t>
      </w:r>
      <w:r>
        <w:rPr>
          <w:rFonts w:hint="eastAsia" w:ascii="宋体" w:hAnsi="宋体" w:cs="宋体"/>
          <w:b/>
          <w:bCs/>
          <w:color w:val="auto"/>
          <w:szCs w:val="21"/>
          <w:highlight w:val="none"/>
          <w:lang w:val="en-US" w:eastAsia="zh-CN"/>
        </w:rPr>
        <w:t>结算中作为罚款扣除</w:t>
      </w:r>
      <w:r>
        <w:rPr>
          <w:rFonts w:hint="eastAsia" w:ascii="宋体" w:hAnsi="宋体" w:cs="宋体"/>
          <w:b/>
          <w:bCs/>
          <w:color w:val="auto"/>
          <w:szCs w:val="21"/>
          <w:highlight w:val="none"/>
          <w:lang w:eastAsia="zh-CN"/>
        </w:rPr>
        <w:t>。</w:t>
      </w:r>
    </w:p>
    <w:p w14:paraId="33C682BF">
      <w:pPr>
        <w:numPr>
          <w:ilvl w:val="0"/>
          <w:numId w:val="9"/>
        </w:numPr>
        <w:spacing w:line="360" w:lineRule="auto"/>
        <w:ind w:firstLine="422"/>
        <w:rPr>
          <w:rFonts w:ascii="宋体" w:hAnsi="宋体" w:cs="宋体"/>
          <w:b/>
          <w:color w:val="auto"/>
          <w:szCs w:val="21"/>
          <w:highlight w:val="none"/>
        </w:rPr>
      </w:pPr>
      <w:r>
        <w:rPr>
          <w:rFonts w:hint="eastAsia" w:ascii="宋体" w:hAnsi="宋体" w:cs="宋体"/>
          <w:b/>
          <w:bCs/>
          <w:color w:val="auto"/>
          <w:szCs w:val="21"/>
          <w:highlight w:val="none"/>
        </w:rPr>
        <w:t>在合同期</w:t>
      </w:r>
      <w:r>
        <w:rPr>
          <w:rFonts w:hint="eastAsia" w:ascii="宋体" w:hAnsi="宋体" w:cs="宋体"/>
          <w:b/>
          <w:color w:val="auto"/>
          <w:szCs w:val="21"/>
          <w:highlight w:val="none"/>
        </w:rPr>
        <w:t>内，发包人新增接管路段的</w:t>
      </w:r>
      <w:r>
        <w:rPr>
          <w:rFonts w:hint="eastAsia" w:ascii="宋体" w:hAnsi="宋体" w:cs="宋体"/>
          <w:b/>
          <w:color w:val="auto"/>
          <w:szCs w:val="21"/>
          <w:highlight w:val="none"/>
          <w:lang w:val="en-US" w:eastAsia="zh-CN"/>
        </w:rPr>
        <w:t>巡查、</w:t>
      </w:r>
      <w:r>
        <w:rPr>
          <w:rFonts w:hint="eastAsia" w:ascii="宋体" w:hAnsi="宋体" w:cs="宋体"/>
          <w:b/>
          <w:color w:val="auto"/>
          <w:szCs w:val="21"/>
          <w:highlight w:val="none"/>
        </w:rPr>
        <w:t>维护工作由承包人负责接收落实，维修标准</w:t>
      </w:r>
      <w:r>
        <w:rPr>
          <w:rFonts w:hint="eastAsia" w:ascii="宋体" w:hAnsi="宋体" w:cs="宋体"/>
          <w:b/>
          <w:color w:val="auto"/>
          <w:szCs w:val="21"/>
          <w:highlight w:val="none"/>
          <w:lang w:val="en-US" w:eastAsia="zh-CN"/>
        </w:rPr>
        <w:t>按</w:t>
      </w:r>
      <w:r>
        <w:rPr>
          <w:rFonts w:hint="eastAsia" w:ascii="宋体" w:hAnsi="宋体" w:cs="宋体"/>
          <w:b/>
          <w:color w:val="auto"/>
          <w:szCs w:val="21"/>
          <w:highlight w:val="none"/>
        </w:rPr>
        <w:t>照本合同，由此产生的维修费用按中标浮动率浮动后予以结算。</w:t>
      </w:r>
    </w:p>
    <w:p w14:paraId="6B56254D">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（三）在合同期内，本合同以外的市政维修项目，发包人可按照相关规定另行发包，承包人需无条件接受。</w:t>
      </w:r>
    </w:p>
    <w:p w14:paraId="5C344114">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（四）为做好井盖损坏抢修、防汛防台等应急处置响应工作，要求承包人落实24小时值班制。应急人员、车辆，能迅速响应发包人要求以确保城区道路的安全畅通，符合以下时限要求：</w:t>
      </w:r>
    </w:p>
    <w:p w14:paraId="59D2D457">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（1）承包人应在接到应急处置任务的30分钟内（节假日为1小时）到达现场，并做相应处置；</w:t>
      </w:r>
    </w:p>
    <w:p w14:paraId="55CED05E">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2）承包人在接到应急处置任务的1小时内（节假日为2小时）仍没有到达现场处置的，在2小时内（节假日为3小时）完成应急处置任务，按未及时响应应急处置工作进行5000元/次处罚，在承包人最近一次提交的工程结算价款中扣除。</w:t>
      </w:r>
    </w:p>
    <w:p w14:paraId="111B2F10">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（3）承包人在接到应急处理任务的</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小时内（节假日为</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小时）仍没有到达现场处置的，按未响应应急处置工作进行10000元/次处罚，在承包人最近一次提交的工程结算价款中扣除。</w:t>
      </w:r>
    </w:p>
    <w:p w14:paraId="056A926A">
      <w:pPr>
        <w:spacing w:line="360" w:lineRule="auto"/>
        <w:ind w:firstLine="480"/>
        <w:rPr>
          <w:rFonts w:ascii="宋体" w:hAnsi="宋体" w:cs="宋体"/>
          <w:b/>
          <w:color w:val="auto"/>
          <w:szCs w:val="21"/>
          <w:highlight w:val="none"/>
        </w:rPr>
      </w:pPr>
      <w:r>
        <w:rPr>
          <w:rFonts w:hint="eastAsia" w:ascii="宋体" w:hAnsi="宋体" w:cs="宋体"/>
          <w:b/>
          <w:color w:val="auto"/>
          <w:szCs w:val="21"/>
          <w:highlight w:val="none"/>
        </w:rPr>
        <w:t>十</w:t>
      </w:r>
      <w:r>
        <w:rPr>
          <w:rFonts w:hint="eastAsia" w:ascii="宋体" w:hAnsi="宋体" w:cs="宋体"/>
          <w:b/>
          <w:color w:val="auto"/>
          <w:szCs w:val="21"/>
          <w:highlight w:val="none"/>
          <w:lang w:eastAsia="zh-CN"/>
        </w:rPr>
        <w:t>五</w:t>
      </w:r>
      <w:r>
        <w:rPr>
          <w:rFonts w:hint="eastAsia" w:ascii="宋体" w:hAnsi="宋体" w:cs="宋体"/>
          <w:b/>
          <w:color w:val="auto"/>
          <w:szCs w:val="21"/>
          <w:highlight w:val="none"/>
        </w:rPr>
        <w:t>、合同期内承包人的附属工作内容：</w:t>
      </w:r>
    </w:p>
    <w:p w14:paraId="05B01B1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道路、排水、桥梁及其附属设施的日常维修保养，具体包括如下：</w:t>
      </w:r>
    </w:p>
    <w:p w14:paraId="0FF00C0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1、维修养护施工单位要认真编制年度维护预算、年度计划、月度维护计划（每</w:t>
      </w:r>
      <w:r>
        <w:rPr>
          <w:rFonts w:hint="eastAsia" w:ascii="宋体" w:hAnsi="宋体" w:cs="宋体"/>
          <w:color w:val="auto"/>
          <w:szCs w:val="21"/>
          <w:highlight w:val="none"/>
          <w:lang w:eastAsia="zh-CN"/>
        </w:rPr>
        <w:t>个周期（两个月一个周期）</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日前上报下</w:t>
      </w:r>
      <w:r>
        <w:rPr>
          <w:rFonts w:hint="eastAsia" w:ascii="宋体" w:hAnsi="宋体" w:cs="宋体"/>
          <w:color w:val="auto"/>
          <w:szCs w:val="21"/>
          <w:highlight w:val="none"/>
          <w:lang w:eastAsia="zh-CN"/>
        </w:rPr>
        <w:t>个周期</w:t>
      </w:r>
      <w:r>
        <w:rPr>
          <w:rFonts w:hint="eastAsia" w:ascii="宋体" w:hAnsi="宋体" w:cs="宋体"/>
          <w:color w:val="auto"/>
          <w:szCs w:val="21"/>
          <w:highlight w:val="none"/>
        </w:rPr>
        <w:t>维护计划）、计划外审批表。对于涉及交通改道、基础保养等特殊要求的维修项目，维修养护施工单位须做好专项方案和维修计划，报</w:t>
      </w:r>
      <w:r>
        <w:rPr>
          <w:rFonts w:hint="eastAsia" w:ascii="宋体" w:hAnsi="宋体" w:cs="宋体"/>
          <w:color w:val="auto"/>
          <w:szCs w:val="21"/>
          <w:highlight w:val="none"/>
          <w:lang w:val="en-US" w:eastAsia="zh-CN"/>
        </w:rPr>
        <w:t>发包人</w:t>
      </w:r>
      <w:r>
        <w:rPr>
          <w:rFonts w:hint="eastAsia" w:ascii="宋体" w:hAnsi="宋体" w:cs="宋体"/>
          <w:color w:val="auto"/>
          <w:szCs w:val="21"/>
          <w:highlight w:val="none"/>
        </w:rPr>
        <w:t>书面同意后才能组织实施，原则上不得随意变更。</w:t>
      </w:r>
    </w:p>
    <w:p w14:paraId="7B52689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对交通影响较大的养护维修工程，需按发包人要求做好专项方案和计划作业书，报发包人审批，并报市公安交通管理部门批准。因工程需要，需建设临时道路疏解交通，其建设标准应满足交通通行需求及有关规范规定或设计标准。</w:t>
      </w:r>
    </w:p>
    <w:p w14:paraId="4E23692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3、维修养护施工单位要根据管理设施量合理安排巡查人员，安排好线路和时间，使管理的设施始终置于巡查人员控制之下。</w:t>
      </w:r>
      <w:r>
        <w:rPr>
          <w:rFonts w:hint="eastAsia" w:ascii="宋体" w:hAnsi="宋体" w:eastAsia="宋体" w:cs="宋体"/>
          <w:color w:val="auto"/>
          <w:szCs w:val="21"/>
          <w:highlight w:val="none"/>
          <w:lang w:eastAsia="zh-CN"/>
        </w:rPr>
        <w:t>北部湾大道、田口街、西湾环海大道、</w:t>
      </w:r>
      <w:r>
        <w:rPr>
          <w:rFonts w:hint="eastAsia" w:ascii="宋体" w:hAnsi="宋体" w:cs="宋体"/>
          <w:color w:val="auto"/>
          <w:szCs w:val="21"/>
          <w:highlight w:val="none"/>
        </w:rPr>
        <w:t>迎宾路、西湾大道、和谐路、马正开路、金花茶大道、</w:t>
      </w:r>
      <w:r>
        <w:rPr>
          <w:rFonts w:hint="eastAsia" w:ascii="宋体" w:hAnsi="宋体" w:cs="宋体"/>
          <w:color w:val="auto"/>
          <w:szCs w:val="21"/>
          <w:highlight w:val="none"/>
          <w:lang w:eastAsia="zh-CN"/>
        </w:rPr>
        <w:t>冲孔路、灵秀路、</w:t>
      </w:r>
      <w:r>
        <w:rPr>
          <w:rFonts w:hint="eastAsia" w:ascii="宋体" w:hAnsi="宋体" w:cs="宋体"/>
          <w:color w:val="auto"/>
          <w:szCs w:val="21"/>
          <w:highlight w:val="none"/>
        </w:rPr>
        <w:t>江山大道等重点路段的巡查人员每天必须巡查一次，其它路段可三天巡查一次，桥梁的巡查周期不得低于《城市桥梁养护规范》规定的标准。要按规定制定以每条路、每座桥为单位的专业“巡查记录本”，巡查人员要将每次巡查情况进行记录（包括巡查内容、巡查范围、巡查时间、巡查周期、巡查发现的问题及追踪解决的程序等），需采集维修前、中、后的市政设施图片，要求做到内容真实无误，记录详细。同时，维修养护施工单位要将巡查周报（以发包人认可的格式为准）定期报送给</w:t>
      </w:r>
      <w:r>
        <w:rPr>
          <w:rFonts w:hint="eastAsia" w:ascii="宋体" w:hAnsi="宋体" w:cs="宋体"/>
          <w:color w:val="auto"/>
          <w:szCs w:val="21"/>
          <w:highlight w:val="none"/>
          <w:lang w:eastAsia="zh-CN"/>
        </w:rPr>
        <w:t>防城港市住房和城乡建设局</w:t>
      </w:r>
      <w:r>
        <w:rPr>
          <w:rFonts w:hint="eastAsia" w:ascii="宋体" w:hAnsi="宋体" w:cs="宋体"/>
          <w:color w:val="auto"/>
          <w:szCs w:val="21"/>
          <w:highlight w:val="none"/>
        </w:rPr>
        <w:t>。</w:t>
      </w:r>
    </w:p>
    <w:p w14:paraId="1C05D70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维修养护施工单位要认真做好工程档案，对年度维护预算、年度计划、月度维护计划、计划外审批表、应急事件处理情况、一路一档、一桥一档、月维修总结、巡查记录、各类投诉处理情况、重大活动配合情况、数字化城管系统派遣问题处理情况、相关督察发现问题及处理情况、领导批示完成情况等，要详细记录并存档。</w:t>
      </w:r>
    </w:p>
    <w:p w14:paraId="7CEB5CC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5、做好监控中心案件、</w:t>
      </w:r>
      <w:r>
        <w:rPr>
          <w:rFonts w:hint="eastAsia" w:ascii="宋体" w:hAnsi="宋体" w:cs="宋体"/>
          <w:color w:val="auto"/>
          <w:szCs w:val="21"/>
          <w:highlight w:val="none"/>
          <w:lang w:val="en-US" w:eastAsia="zh-CN"/>
        </w:rPr>
        <w:t>12345平台投诉、</w:t>
      </w:r>
      <w:r>
        <w:rPr>
          <w:rFonts w:hint="eastAsia" w:ascii="宋体" w:hAnsi="宋体" w:cs="宋体"/>
          <w:color w:val="auto"/>
          <w:szCs w:val="21"/>
          <w:highlight w:val="none"/>
        </w:rPr>
        <w:t>市民信访案件中的设施维修、应急响应等现场处理工作。</w:t>
      </w:r>
    </w:p>
    <w:p w14:paraId="766A17C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6、根据发包人要求按时上报每月计划和月度工程量报表。配合发包人现场负责人员进行设施完好检查、考核和日常安全、质量检查与考核。</w:t>
      </w:r>
    </w:p>
    <w:p w14:paraId="2C1A0419">
      <w:pPr>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7、养护维修工程施工现场必须符合《道路交通标志和标线》（GB5768-</w:t>
      </w:r>
      <w:r>
        <w:rPr>
          <w:rFonts w:hint="eastAsia" w:ascii="宋体" w:hAnsi="宋体" w:cs="宋体"/>
          <w:color w:val="auto"/>
          <w:szCs w:val="21"/>
          <w:highlight w:val="none"/>
          <w:lang w:val="en-US" w:eastAsia="zh-CN"/>
        </w:rPr>
        <w:t>2025</w:t>
      </w:r>
      <w:r>
        <w:rPr>
          <w:rFonts w:hint="eastAsia" w:ascii="宋体" w:hAnsi="宋体" w:cs="宋体"/>
          <w:color w:val="auto"/>
          <w:szCs w:val="21"/>
          <w:highlight w:val="none"/>
        </w:rPr>
        <w:t>）、《公路养护安全作业规程》（JTG H30-20</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）、《公路养护技术规范》（JTG H10-2009）、《公路工程施工安全技术规程》（JTG F90-2015）、《中华人民共和国公路法》（</w:t>
      </w:r>
      <w:r>
        <w:rPr>
          <w:rFonts w:hint="eastAsia" w:ascii="宋体" w:hAnsi="宋体" w:cs="宋体"/>
          <w:color w:val="auto"/>
          <w:szCs w:val="21"/>
          <w:highlight w:val="none"/>
          <w:lang w:val="en-US" w:eastAsia="zh-CN"/>
        </w:rPr>
        <w:t>2017</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日中华人民共和国主席令第</w:t>
      </w:r>
      <w:r>
        <w:rPr>
          <w:rFonts w:hint="eastAsia" w:ascii="宋体" w:hAnsi="宋体" w:cs="宋体"/>
          <w:color w:val="auto"/>
          <w:szCs w:val="21"/>
          <w:highlight w:val="none"/>
          <w:lang w:eastAsia="zh-CN"/>
        </w:rPr>
        <w:t>八十一</w:t>
      </w:r>
      <w:r>
        <w:rPr>
          <w:rFonts w:hint="eastAsia" w:ascii="宋体" w:hAnsi="宋体" w:cs="宋体"/>
          <w:color w:val="auto"/>
          <w:szCs w:val="21"/>
          <w:highlight w:val="none"/>
        </w:rPr>
        <w:t>号）、《中华人民共和国</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"http://www.dffy.com/faguixiazai/xzf/200311/20031110203052.htm" \t "_blank"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道路交通安全法</w:t>
      </w:r>
      <w:r>
        <w:rPr>
          <w:rFonts w:hint="eastAsia" w:ascii="宋体" w:hAnsi="宋体" w:cs="宋体"/>
          <w:color w:val="auto"/>
          <w:szCs w:val="21"/>
          <w:highlight w:val="none"/>
        </w:rPr>
        <w:fldChar w:fldCharType="end"/>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日中华人民共和国主席令第</w:t>
      </w:r>
      <w:r>
        <w:rPr>
          <w:rFonts w:hint="eastAsia" w:ascii="宋体" w:hAnsi="宋体" w:cs="宋体"/>
          <w:color w:val="auto"/>
          <w:szCs w:val="21"/>
          <w:highlight w:val="none"/>
          <w:lang w:eastAsia="zh-CN"/>
        </w:rPr>
        <w:t>八十一</w:t>
      </w:r>
      <w:r>
        <w:rPr>
          <w:rFonts w:hint="eastAsia" w:ascii="宋体" w:hAnsi="宋体" w:cs="宋体"/>
          <w:color w:val="auto"/>
          <w:szCs w:val="21"/>
          <w:highlight w:val="none"/>
        </w:rPr>
        <w:t>号）、《广西壮族自治区道路交通安全条例》等有关规定。</w:t>
      </w:r>
    </w:p>
    <w:p w14:paraId="50834FC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8、按管理部门和发包人要求配置应急车辆，及时清除管辖范围内故障，保持道路畅通。</w:t>
      </w:r>
    </w:p>
    <w:p w14:paraId="5855FE09">
      <w:pPr>
        <w:spacing w:line="360" w:lineRule="auto"/>
        <w:rPr>
          <w:rFonts w:ascii="宋体" w:hAnsi="宋体" w:cs="宋体"/>
          <w:color w:val="auto"/>
          <w:sz w:val="22"/>
          <w:szCs w:val="22"/>
          <w:highlight w:val="none"/>
        </w:rPr>
      </w:pPr>
      <w:r>
        <w:rPr>
          <w:rFonts w:hint="eastAsia" w:ascii="宋体" w:hAnsi="宋体" w:cs="宋体"/>
          <w:color w:val="auto"/>
          <w:szCs w:val="21"/>
          <w:highlight w:val="none"/>
        </w:rPr>
        <w:t>9、针对突发事件及灾害性天气，及时启动应急预案，确保道路畅通，要成立不少于1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人的应急抢险队伍，按照发包人的要求，做好防汛、防台等应急抢险工作。</w:t>
      </w:r>
      <w:r>
        <w:rPr>
          <w:rFonts w:hint="eastAsia" w:ascii="宋体" w:hAnsi="宋体" w:cs="宋体"/>
          <w:color w:val="auto"/>
          <w:sz w:val="22"/>
          <w:szCs w:val="22"/>
          <w:highlight w:val="none"/>
        </w:rPr>
        <w:t>《建筑施工场界噪声限值》（GB 12523</w:t>
      </w:r>
      <w:r>
        <w:rPr>
          <w:rFonts w:hint="eastAsia" w:ascii="宋体" w:hAnsi="宋体" w:cs="宋体"/>
          <w:color w:val="auto"/>
          <w:sz w:val="22"/>
          <w:szCs w:val="22"/>
          <w:highlight w:val="none"/>
          <w:lang w:val="en-US" w:eastAsia="zh-CN"/>
        </w:rPr>
        <w:t>-2011</w:t>
      </w:r>
      <w:r>
        <w:rPr>
          <w:rFonts w:hint="eastAsia" w:ascii="宋体" w:hAnsi="宋体" w:cs="宋体"/>
          <w:color w:val="auto"/>
          <w:sz w:val="22"/>
          <w:szCs w:val="22"/>
          <w:highlight w:val="none"/>
        </w:rPr>
        <w:t>）</w:t>
      </w:r>
    </w:p>
    <w:p w14:paraId="2E7E5201">
      <w:pPr>
        <w:spacing w:line="340" w:lineRule="exact"/>
        <w:ind w:firstLine="422"/>
        <w:rPr>
          <w:rFonts w:ascii="宋体" w:hAnsi="宋体" w:cs="宋体"/>
          <w:b/>
          <w:color w:val="auto"/>
          <w:szCs w:val="21"/>
          <w:highlight w:val="none"/>
        </w:rPr>
      </w:pPr>
      <w:r>
        <w:rPr>
          <w:rFonts w:hint="eastAsia" w:ascii="宋体" w:hAnsi="宋体" w:cs="宋体"/>
          <w:b/>
          <w:color w:val="auto"/>
          <w:szCs w:val="21"/>
          <w:highlight w:val="none"/>
        </w:rPr>
        <w:t>十</w:t>
      </w:r>
      <w:r>
        <w:rPr>
          <w:rFonts w:hint="eastAsia" w:ascii="宋体" w:hAnsi="宋体" w:cs="宋体"/>
          <w:b/>
          <w:color w:val="auto"/>
          <w:szCs w:val="21"/>
          <w:highlight w:val="none"/>
          <w:lang w:eastAsia="zh-CN"/>
        </w:rPr>
        <w:t>六</w:t>
      </w:r>
      <w:r>
        <w:rPr>
          <w:rFonts w:hint="eastAsia" w:ascii="宋体" w:hAnsi="宋体" w:cs="宋体"/>
          <w:b/>
          <w:color w:val="auto"/>
          <w:szCs w:val="21"/>
          <w:highlight w:val="none"/>
        </w:rPr>
        <w:t>、质量要求和考核标准</w:t>
      </w:r>
    </w:p>
    <w:p w14:paraId="097D5A40">
      <w:pPr>
        <w:spacing w:line="360" w:lineRule="auto"/>
        <w:ind w:firstLine="420"/>
        <w:jc w:val="left"/>
        <w:rPr>
          <w:rFonts w:ascii="宋体" w:hAnsi="宋体" w:cs="宋体"/>
          <w:b/>
          <w:bCs/>
          <w:color w:val="auto"/>
          <w:szCs w:val="21"/>
          <w:highlight w:val="none"/>
        </w:rPr>
      </w:pPr>
      <w:r>
        <w:rPr>
          <w:rFonts w:hint="eastAsia" w:ascii="宋体" w:hAnsi="宋体" w:cs="宋体"/>
          <w:b/>
          <w:bCs/>
          <w:color w:val="auto"/>
          <w:szCs w:val="21"/>
          <w:highlight w:val="none"/>
          <w:lang w:eastAsia="zh-CN"/>
        </w:rPr>
        <w:t>（一）</w:t>
      </w:r>
      <w:r>
        <w:rPr>
          <w:rFonts w:hint="eastAsia" w:ascii="宋体" w:hAnsi="宋体" w:cs="宋体"/>
          <w:b/>
          <w:bCs/>
          <w:color w:val="auto"/>
          <w:szCs w:val="21"/>
          <w:highlight w:val="none"/>
        </w:rPr>
        <w:t xml:space="preserve">道路的质量要求和考核标准 </w:t>
      </w:r>
    </w:p>
    <w:p w14:paraId="55B462B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1、养护维修应严格按照《城镇道路养护技术规范》及其它现行的国家施工验收规范和质量评定标准进行施工。</w:t>
      </w:r>
    </w:p>
    <w:p w14:paraId="1A5F324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2、若养护项目质量不符国家、地方相关检验标准的，发包人可要求承包人无偿返工。</w:t>
      </w:r>
    </w:p>
    <w:p w14:paraId="52A5302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3、对于承包人多次整改仍达不到相关检验标准的，发包人不结算该部分工程量。</w:t>
      </w:r>
    </w:p>
    <w:p w14:paraId="3752A4D7">
      <w:pPr>
        <w:spacing w:line="360" w:lineRule="auto"/>
        <w:ind w:firstLine="420"/>
        <w:rPr>
          <w:rFonts w:ascii="宋体" w:hAnsi="宋体" w:cs="宋体"/>
          <w:b/>
          <w:bCs/>
          <w:color w:val="auto"/>
          <w:szCs w:val="21"/>
          <w:highlight w:val="none"/>
        </w:rPr>
      </w:pPr>
      <w:r>
        <w:rPr>
          <w:rFonts w:hint="eastAsia" w:ascii="宋体" w:hAnsi="宋体" w:cs="宋体"/>
          <w:b/>
          <w:bCs/>
          <w:color w:val="auto"/>
          <w:szCs w:val="21"/>
          <w:highlight w:val="none"/>
        </w:rPr>
        <w:t>（二）检查考核办法</w:t>
      </w:r>
    </w:p>
    <w:p w14:paraId="324BDA0C">
      <w:pPr>
        <w:spacing w:line="360" w:lineRule="auto"/>
        <w:ind w:firstLine="420"/>
        <w:rPr>
          <w:rFonts w:ascii="宋体" w:hAnsi="宋体" w:cs="宋体"/>
          <w:color w:val="auto"/>
          <w:sz w:val="32"/>
          <w:szCs w:val="32"/>
          <w:highlight w:val="none"/>
        </w:rPr>
      </w:pPr>
      <w:r>
        <w:rPr>
          <w:rFonts w:hint="eastAsia" w:ascii="宋体" w:hAnsi="宋体" w:cs="宋体"/>
          <w:color w:val="auto"/>
          <w:szCs w:val="21"/>
          <w:highlight w:val="none"/>
        </w:rPr>
        <w:t>按《防城港市市本级市政设施日常维修养护管理考核办法》（试行）执行</w:t>
      </w:r>
    </w:p>
    <w:p w14:paraId="0A631B30">
      <w:pPr>
        <w:spacing w:line="360" w:lineRule="auto"/>
        <w:ind w:firstLine="420"/>
        <w:rPr>
          <w:rFonts w:ascii="宋体" w:hAnsi="宋体" w:cs="宋体"/>
          <w:b/>
          <w:bCs/>
          <w:color w:val="auto"/>
          <w:szCs w:val="21"/>
          <w:highlight w:val="none"/>
        </w:rPr>
      </w:pPr>
      <w:r>
        <w:rPr>
          <w:rFonts w:hint="eastAsia" w:ascii="宋体" w:hAnsi="宋体" w:cs="宋体"/>
          <w:b/>
          <w:bCs/>
          <w:color w:val="auto"/>
          <w:szCs w:val="21"/>
          <w:highlight w:val="none"/>
        </w:rPr>
        <w:t>（三）考核经济处罚：</w:t>
      </w:r>
    </w:p>
    <w:p w14:paraId="3D415A0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由</w:t>
      </w:r>
      <w:r>
        <w:rPr>
          <w:rFonts w:hint="eastAsia" w:ascii="宋体" w:hAnsi="宋体" w:cs="宋体"/>
          <w:color w:val="auto"/>
          <w:szCs w:val="21"/>
          <w:highlight w:val="none"/>
          <w:lang w:val="en-US" w:eastAsia="zh-CN"/>
        </w:rPr>
        <w:t>发包人</w:t>
      </w:r>
      <w:r>
        <w:rPr>
          <w:rFonts w:hint="eastAsia" w:ascii="宋体" w:hAnsi="宋体" w:cs="宋体"/>
          <w:color w:val="auto"/>
          <w:szCs w:val="21"/>
          <w:highlight w:val="none"/>
        </w:rPr>
        <w:t>不定期对施工企业维护情况进行现场随机抽查，发现施工企业违规行为当场进行通报，对存在问题提出整改要求，并作出经济处罚。经济处罚金额在月度维护经费核拨中扣除，由发包人书面告知施工企业处罚原因（附相关照片或其他依据）。经济处罚并不能免除施工企业在月度、年合同期满考核中扣分的责任。施工企业违规行为包括但不限于以下内容：</w:t>
      </w:r>
    </w:p>
    <w:p w14:paraId="0DFC4DF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凡维护区域内所辖市政道路存在沉陷、空洞或大于100mm的错台以及井盖、雨水口篦子丢失等影响道路安全运营情况时，在发现问题后施工企业没有第一时间安排人员维修并设置警示保护措施的，统一按照巡查及维修不到位处理，每发现一起处罚1000元。</w:t>
      </w:r>
    </w:p>
    <w:p w14:paraId="5FD25E5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2、对于日常维护施工单位未按合同要求落实巡查人员、车辆或应当安排巡查但无故未巡查的，每次处罚200元；每天巡查必须发现一个以上问题，未发现问题的，每次扣200元。</w:t>
      </w:r>
    </w:p>
    <w:p w14:paraId="21167D5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3、施工企业拒绝接受发包人的工作任务或应急抢险中不能一小时或其投标承诺的到达现场时间（以最短者为准）到达事故现场的，每次处罚5000 元。</w:t>
      </w:r>
    </w:p>
    <w:p w14:paraId="0ADA794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4、施工企业在施工任务中没有按规定穿着反光衣的，每人每次罚款200 元。</w:t>
      </w:r>
    </w:p>
    <w:p w14:paraId="61FD9CC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每2个月为一个周期，承包人于第3个月15日前提交上个月维护任务完整的工程结算报告及相关结算资料4套。施工企业未按规定时间递交相关工程资料的，每延误一天扣罚200元，延误时间不允许超过30日历天，延误时间超过30日历天的该结算报告不予认可。</w:t>
      </w:r>
    </w:p>
    <w:p w14:paraId="02FFED5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6、在工程量审查、签证过程中，若发现施工企业上报工程量超过实际工程量时（测量允许误差±3%），除扣减相应虚报工程量部分，每次处罚1000元。</w:t>
      </w:r>
    </w:p>
    <w:p w14:paraId="35E8155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7、合同、相关法律法规约定的情形</w:t>
      </w:r>
    </w:p>
    <w:p w14:paraId="4550DCD5">
      <w:pPr>
        <w:spacing w:line="360" w:lineRule="auto"/>
        <w:ind w:firstLine="420"/>
        <w:rPr>
          <w:rFonts w:ascii="宋体" w:hAnsi="宋体" w:cs="宋体"/>
          <w:color w:val="auto"/>
          <w:szCs w:val="21"/>
          <w:highlight w:val="none"/>
        </w:rPr>
      </w:pPr>
      <w:r>
        <w:rPr>
          <w:rFonts w:hint="eastAsia" w:ascii="宋体" w:hAnsi="宋体" w:cs="宋体"/>
          <w:b/>
          <w:bCs/>
          <w:color w:val="auto"/>
          <w:szCs w:val="21"/>
          <w:highlight w:val="none"/>
        </w:rPr>
        <w:t>十</w:t>
      </w:r>
      <w:r>
        <w:rPr>
          <w:rFonts w:hint="eastAsia" w:ascii="宋体" w:hAnsi="宋体" w:cs="宋体"/>
          <w:b/>
          <w:bCs/>
          <w:color w:val="auto"/>
          <w:szCs w:val="21"/>
          <w:highlight w:val="none"/>
          <w:lang w:eastAsia="zh-CN"/>
        </w:rPr>
        <w:t>七</w:t>
      </w:r>
      <w:r>
        <w:rPr>
          <w:rFonts w:hint="eastAsia" w:ascii="宋体" w:hAnsi="宋体" w:cs="宋体"/>
          <w:b/>
          <w:bCs/>
          <w:color w:val="auto"/>
          <w:szCs w:val="21"/>
          <w:highlight w:val="none"/>
        </w:rPr>
        <w:t>、</w:t>
      </w:r>
      <w:r>
        <w:rPr>
          <w:rFonts w:hint="eastAsia" w:ascii="宋体" w:hAnsi="宋体" w:cs="宋体"/>
          <w:color w:val="auto"/>
          <w:szCs w:val="21"/>
          <w:highlight w:val="none"/>
        </w:rPr>
        <w:t>防城港市市本级市政设施日常维修养护管理考核办法（试行）作为本合同的附件，与主合同具有同等法律效力。</w:t>
      </w:r>
    </w:p>
    <w:p w14:paraId="03B69478">
      <w:pPr>
        <w:spacing w:line="360" w:lineRule="auto"/>
        <w:ind w:firstLine="420"/>
        <w:rPr>
          <w:rFonts w:ascii="宋体" w:hAnsi="宋体" w:cs="宋体"/>
          <w:b/>
          <w:bCs/>
          <w:color w:val="auto"/>
          <w:szCs w:val="21"/>
          <w:highlight w:val="none"/>
        </w:rPr>
      </w:pPr>
      <w:r>
        <w:rPr>
          <w:rFonts w:hint="eastAsia" w:ascii="宋体" w:hAnsi="宋体" w:cs="宋体"/>
          <w:b/>
          <w:bCs/>
          <w:color w:val="auto"/>
          <w:szCs w:val="21"/>
          <w:highlight w:val="none"/>
        </w:rPr>
        <w:t>十</w:t>
      </w:r>
      <w:r>
        <w:rPr>
          <w:rFonts w:hint="eastAsia" w:ascii="宋体" w:hAnsi="宋体" w:cs="宋体"/>
          <w:b/>
          <w:bCs/>
          <w:color w:val="auto"/>
          <w:szCs w:val="21"/>
          <w:highlight w:val="none"/>
          <w:lang w:eastAsia="zh-CN"/>
        </w:rPr>
        <w:t>八</w:t>
      </w:r>
      <w:r>
        <w:rPr>
          <w:rFonts w:hint="eastAsia" w:ascii="宋体" w:hAnsi="宋体" w:cs="宋体"/>
          <w:b/>
          <w:bCs/>
          <w:color w:val="auto"/>
          <w:szCs w:val="21"/>
          <w:highlight w:val="none"/>
        </w:rPr>
        <w:t>、项目经理</w:t>
      </w:r>
    </w:p>
    <w:p w14:paraId="0CCCB1A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承包人项目经理：</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4813898A">
      <w:pPr>
        <w:spacing w:line="360" w:lineRule="auto"/>
        <w:ind w:firstLine="420"/>
        <w:rPr>
          <w:rFonts w:ascii="宋体" w:hAnsi="宋体" w:cs="宋体"/>
          <w:b/>
          <w:bCs/>
          <w:color w:val="auto"/>
          <w:szCs w:val="21"/>
          <w:highlight w:val="none"/>
        </w:rPr>
      </w:pPr>
      <w:r>
        <w:rPr>
          <w:rFonts w:hint="eastAsia" w:ascii="宋体" w:hAnsi="宋体" w:cs="宋体"/>
          <w:b/>
          <w:bCs/>
          <w:color w:val="auto"/>
          <w:szCs w:val="21"/>
          <w:highlight w:val="none"/>
        </w:rPr>
        <w:t>十</w:t>
      </w:r>
      <w:r>
        <w:rPr>
          <w:rFonts w:hint="eastAsia" w:ascii="宋体" w:hAnsi="宋体" w:cs="宋体"/>
          <w:b/>
          <w:bCs/>
          <w:color w:val="auto"/>
          <w:szCs w:val="21"/>
          <w:highlight w:val="none"/>
          <w:lang w:eastAsia="zh-CN"/>
        </w:rPr>
        <w:t>九</w:t>
      </w:r>
      <w:r>
        <w:rPr>
          <w:rFonts w:hint="eastAsia" w:ascii="宋体" w:hAnsi="宋体" w:cs="宋体"/>
          <w:b/>
          <w:bCs/>
          <w:color w:val="auto"/>
          <w:szCs w:val="21"/>
          <w:highlight w:val="none"/>
        </w:rPr>
        <w:t>、合同文件构成</w:t>
      </w:r>
    </w:p>
    <w:p w14:paraId="10C1A74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本协议书与下列文件一起构成合同文件：</w:t>
      </w:r>
    </w:p>
    <w:p w14:paraId="109DD65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1、中标通知书复印件</w:t>
      </w:r>
    </w:p>
    <w:p w14:paraId="10A1734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2、本合同专用条款</w:t>
      </w:r>
    </w:p>
    <w:p w14:paraId="06F874A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3、本合同通用条款</w:t>
      </w:r>
    </w:p>
    <w:p w14:paraId="08D8015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第三方审核机构或</w:t>
      </w:r>
      <w:r>
        <w:rPr>
          <w:rFonts w:hint="eastAsia" w:ascii="宋体" w:hAnsi="宋体" w:cs="宋体"/>
          <w:color w:val="auto"/>
          <w:highlight w:val="none"/>
        </w:rPr>
        <w:t>防城港市财政局投资评审中心审核后的评审报告（含预算书）</w:t>
      </w:r>
    </w:p>
    <w:p w14:paraId="4885DC9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5、其他相关资料</w:t>
      </w:r>
    </w:p>
    <w:p w14:paraId="649F04B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w:t>
      </w:r>
    </w:p>
    <w:p w14:paraId="2B74441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365B42C4">
      <w:pPr>
        <w:spacing w:line="360" w:lineRule="auto"/>
        <w:ind w:firstLine="420"/>
        <w:rPr>
          <w:rFonts w:ascii="宋体" w:hAnsi="宋体" w:cs="宋体"/>
          <w:b/>
          <w:bCs/>
          <w:color w:val="auto"/>
          <w:szCs w:val="21"/>
          <w:highlight w:val="none"/>
        </w:rPr>
      </w:pPr>
      <w:r>
        <w:rPr>
          <w:rFonts w:hint="eastAsia" w:ascii="宋体" w:hAnsi="宋体" w:cs="宋体"/>
          <w:b/>
          <w:bCs/>
          <w:color w:val="auto"/>
          <w:szCs w:val="21"/>
          <w:highlight w:val="none"/>
          <w:lang w:eastAsia="zh-CN"/>
        </w:rPr>
        <w:t>二</w:t>
      </w:r>
      <w:r>
        <w:rPr>
          <w:rFonts w:hint="eastAsia" w:ascii="宋体" w:hAnsi="宋体" w:cs="宋体"/>
          <w:b/>
          <w:bCs/>
          <w:color w:val="auto"/>
          <w:szCs w:val="21"/>
          <w:highlight w:val="none"/>
        </w:rPr>
        <w:t>十、承诺</w:t>
      </w:r>
    </w:p>
    <w:p w14:paraId="18C5296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承包人承诺按照法律规定及合同约定组织完成工程施工，确保工程质量和安全，不进行转包、分包及其他违法行为，并在缺陷责任期及保修期内承担相应的工程维修责任。</w:t>
      </w:r>
    </w:p>
    <w:p w14:paraId="68D5F046">
      <w:pPr>
        <w:spacing w:line="360" w:lineRule="auto"/>
        <w:ind w:firstLine="420"/>
        <w:rPr>
          <w:rFonts w:ascii="宋体" w:hAnsi="宋体" w:cs="宋体"/>
          <w:b/>
          <w:bCs/>
          <w:color w:val="auto"/>
          <w:szCs w:val="21"/>
          <w:highlight w:val="none"/>
        </w:rPr>
      </w:pPr>
      <w:r>
        <w:rPr>
          <w:rFonts w:hint="eastAsia" w:ascii="宋体" w:hAnsi="宋体" w:cs="宋体"/>
          <w:b/>
          <w:bCs/>
          <w:color w:val="auto"/>
          <w:szCs w:val="21"/>
          <w:highlight w:val="none"/>
        </w:rPr>
        <w:t>二十</w:t>
      </w:r>
      <w:r>
        <w:rPr>
          <w:rFonts w:hint="eastAsia" w:ascii="宋体" w:hAnsi="宋体" w:cs="宋体"/>
          <w:b/>
          <w:bCs/>
          <w:color w:val="auto"/>
          <w:szCs w:val="21"/>
          <w:highlight w:val="none"/>
          <w:lang w:eastAsia="zh-CN"/>
        </w:rPr>
        <w:t>一</w:t>
      </w:r>
      <w:r>
        <w:rPr>
          <w:rFonts w:hint="eastAsia" w:ascii="宋体" w:hAnsi="宋体" w:cs="宋体"/>
          <w:b/>
          <w:bCs/>
          <w:color w:val="auto"/>
          <w:szCs w:val="21"/>
          <w:highlight w:val="none"/>
        </w:rPr>
        <w:t>、词语含义</w:t>
      </w:r>
    </w:p>
    <w:p w14:paraId="155CAE6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本协议书中词语含义与第二部分通用合同条款中赋予的含义相同。</w:t>
      </w:r>
    </w:p>
    <w:p w14:paraId="4CEE9604">
      <w:pPr>
        <w:spacing w:line="360" w:lineRule="auto"/>
        <w:ind w:firstLine="420"/>
        <w:rPr>
          <w:rFonts w:ascii="宋体" w:hAnsi="宋体" w:cs="宋体"/>
          <w:b/>
          <w:bCs/>
          <w:color w:val="auto"/>
          <w:szCs w:val="21"/>
          <w:highlight w:val="none"/>
        </w:rPr>
      </w:pPr>
      <w:r>
        <w:rPr>
          <w:rFonts w:hint="eastAsia" w:ascii="宋体" w:hAnsi="宋体" w:cs="宋体"/>
          <w:b/>
          <w:bCs/>
          <w:color w:val="auto"/>
          <w:szCs w:val="21"/>
          <w:highlight w:val="none"/>
        </w:rPr>
        <w:t>二十</w:t>
      </w:r>
      <w:r>
        <w:rPr>
          <w:rFonts w:hint="eastAsia" w:ascii="宋体" w:hAnsi="宋体" w:cs="宋体"/>
          <w:b/>
          <w:bCs/>
          <w:color w:val="auto"/>
          <w:szCs w:val="21"/>
          <w:highlight w:val="none"/>
          <w:lang w:eastAsia="zh-CN"/>
        </w:rPr>
        <w:t>二</w:t>
      </w:r>
      <w:r>
        <w:rPr>
          <w:rFonts w:hint="eastAsia" w:ascii="宋体" w:hAnsi="宋体" w:cs="宋体"/>
          <w:b/>
          <w:bCs/>
          <w:color w:val="auto"/>
          <w:szCs w:val="21"/>
          <w:highlight w:val="none"/>
        </w:rPr>
        <w:t>、签订时间</w:t>
      </w:r>
    </w:p>
    <w:p w14:paraId="4D981FB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本合同于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日签订。</w:t>
      </w:r>
    </w:p>
    <w:p w14:paraId="0B1D7E64">
      <w:pPr>
        <w:spacing w:line="360" w:lineRule="auto"/>
        <w:ind w:firstLine="420"/>
        <w:rPr>
          <w:rFonts w:ascii="宋体" w:hAnsi="宋体" w:cs="宋体"/>
          <w:b/>
          <w:bCs/>
          <w:color w:val="auto"/>
          <w:szCs w:val="21"/>
          <w:highlight w:val="none"/>
        </w:rPr>
      </w:pPr>
      <w:r>
        <w:rPr>
          <w:rFonts w:hint="eastAsia" w:ascii="宋体" w:hAnsi="宋体" w:cs="宋体"/>
          <w:b/>
          <w:bCs/>
          <w:color w:val="auto"/>
          <w:szCs w:val="21"/>
          <w:highlight w:val="none"/>
        </w:rPr>
        <w:t>二十</w:t>
      </w:r>
      <w:r>
        <w:rPr>
          <w:rFonts w:hint="eastAsia" w:ascii="宋体" w:hAnsi="宋体" w:cs="宋体"/>
          <w:b/>
          <w:bCs/>
          <w:color w:val="auto"/>
          <w:szCs w:val="21"/>
          <w:highlight w:val="none"/>
          <w:lang w:eastAsia="zh-CN"/>
        </w:rPr>
        <w:t>三</w:t>
      </w:r>
      <w:r>
        <w:rPr>
          <w:rFonts w:hint="eastAsia" w:ascii="宋体" w:hAnsi="宋体" w:cs="宋体"/>
          <w:b/>
          <w:bCs/>
          <w:color w:val="auto"/>
          <w:szCs w:val="21"/>
          <w:highlight w:val="none"/>
        </w:rPr>
        <w:t>、签订地点</w:t>
      </w:r>
    </w:p>
    <w:p w14:paraId="4C4F388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本合同在</w:t>
      </w:r>
      <w:r>
        <w:rPr>
          <w:rFonts w:hint="eastAsia" w:ascii="宋体" w:hAnsi="宋体" w:cs="宋体"/>
          <w:color w:val="auto"/>
          <w:szCs w:val="21"/>
          <w:highlight w:val="none"/>
          <w:u w:val="single"/>
        </w:rPr>
        <w:t xml:space="preserve">防城港市                               </w:t>
      </w:r>
      <w:r>
        <w:rPr>
          <w:rFonts w:hint="eastAsia" w:ascii="宋体" w:hAnsi="宋体" w:cs="宋体"/>
          <w:color w:val="auto"/>
          <w:szCs w:val="21"/>
          <w:highlight w:val="none"/>
        </w:rPr>
        <w:t>签订。</w:t>
      </w:r>
    </w:p>
    <w:p w14:paraId="091085FC">
      <w:pPr>
        <w:spacing w:line="360" w:lineRule="auto"/>
        <w:ind w:firstLine="420"/>
        <w:rPr>
          <w:rFonts w:ascii="宋体" w:hAnsi="宋体" w:cs="宋体"/>
          <w:b/>
          <w:bCs/>
          <w:color w:val="auto"/>
          <w:szCs w:val="21"/>
          <w:highlight w:val="none"/>
        </w:rPr>
      </w:pPr>
      <w:r>
        <w:rPr>
          <w:rFonts w:hint="eastAsia" w:ascii="宋体" w:hAnsi="宋体" w:cs="宋体"/>
          <w:b/>
          <w:bCs/>
          <w:color w:val="auto"/>
          <w:szCs w:val="21"/>
          <w:highlight w:val="none"/>
        </w:rPr>
        <w:t>二十</w:t>
      </w:r>
      <w:r>
        <w:rPr>
          <w:rFonts w:hint="eastAsia" w:ascii="宋体" w:hAnsi="宋体" w:cs="宋体"/>
          <w:b/>
          <w:bCs/>
          <w:color w:val="auto"/>
          <w:szCs w:val="21"/>
          <w:highlight w:val="none"/>
          <w:lang w:eastAsia="zh-CN"/>
        </w:rPr>
        <w:t>四</w:t>
      </w:r>
      <w:r>
        <w:rPr>
          <w:rFonts w:hint="eastAsia" w:ascii="宋体" w:hAnsi="宋体" w:cs="宋体"/>
          <w:b/>
          <w:bCs/>
          <w:color w:val="auto"/>
          <w:szCs w:val="21"/>
          <w:highlight w:val="none"/>
        </w:rPr>
        <w:t>、补充协议</w:t>
      </w:r>
    </w:p>
    <w:p w14:paraId="270B294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合同未尽事宜，合同当事人另行签订补充协议，补充协议是合同的组成部分。</w:t>
      </w:r>
    </w:p>
    <w:p w14:paraId="2E8404BD">
      <w:pPr>
        <w:spacing w:line="360" w:lineRule="auto"/>
        <w:ind w:firstLine="420"/>
        <w:rPr>
          <w:rFonts w:ascii="宋体" w:hAnsi="宋体" w:cs="宋体"/>
          <w:b/>
          <w:bCs/>
          <w:color w:val="auto"/>
          <w:szCs w:val="21"/>
          <w:highlight w:val="none"/>
        </w:rPr>
      </w:pPr>
      <w:r>
        <w:rPr>
          <w:rFonts w:hint="eastAsia" w:ascii="宋体" w:hAnsi="宋体" w:cs="宋体"/>
          <w:b/>
          <w:bCs/>
          <w:color w:val="auto"/>
          <w:szCs w:val="21"/>
          <w:highlight w:val="none"/>
        </w:rPr>
        <w:t>二十</w:t>
      </w:r>
      <w:r>
        <w:rPr>
          <w:rFonts w:hint="eastAsia" w:ascii="宋体" w:hAnsi="宋体" w:cs="宋体"/>
          <w:b/>
          <w:bCs/>
          <w:color w:val="auto"/>
          <w:szCs w:val="21"/>
          <w:highlight w:val="none"/>
          <w:lang w:eastAsia="zh-CN"/>
        </w:rPr>
        <w:t>五</w:t>
      </w:r>
      <w:r>
        <w:rPr>
          <w:rFonts w:hint="eastAsia" w:ascii="宋体" w:hAnsi="宋体" w:cs="宋体"/>
          <w:b/>
          <w:bCs/>
          <w:color w:val="auto"/>
          <w:szCs w:val="21"/>
          <w:highlight w:val="none"/>
        </w:rPr>
        <w:t>、合同生效</w:t>
      </w:r>
    </w:p>
    <w:p w14:paraId="0EA394F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本合同自</w:t>
      </w:r>
      <w:r>
        <w:rPr>
          <w:rFonts w:hint="eastAsia" w:ascii="宋体" w:hAnsi="宋体" w:cs="宋体"/>
          <w:color w:val="auto"/>
          <w:szCs w:val="21"/>
          <w:highlight w:val="none"/>
          <w:u w:val="single"/>
        </w:rPr>
        <w:t>双方法定代表人或其授权代理人签字或盖章并加盖单位公章后</w:t>
      </w:r>
      <w:r>
        <w:rPr>
          <w:rFonts w:hint="eastAsia" w:ascii="宋体" w:hAnsi="宋体" w:cs="宋体"/>
          <w:color w:val="auto"/>
          <w:szCs w:val="21"/>
          <w:highlight w:val="none"/>
        </w:rPr>
        <w:t>生效。</w:t>
      </w:r>
    </w:p>
    <w:p w14:paraId="00E01F22">
      <w:pPr>
        <w:spacing w:line="360" w:lineRule="auto"/>
        <w:ind w:firstLine="420"/>
        <w:rPr>
          <w:rFonts w:ascii="宋体" w:hAnsi="宋体" w:cs="宋体"/>
          <w:b/>
          <w:bCs/>
          <w:color w:val="auto"/>
          <w:szCs w:val="21"/>
          <w:highlight w:val="none"/>
        </w:rPr>
      </w:pPr>
      <w:r>
        <w:rPr>
          <w:rFonts w:hint="eastAsia" w:ascii="宋体" w:hAnsi="宋体" w:cs="宋体"/>
          <w:b/>
          <w:bCs/>
          <w:color w:val="auto"/>
          <w:szCs w:val="21"/>
          <w:highlight w:val="none"/>
        </w:rPr>
        <w:t>二十</w:t>
      </w:r>
      <w:r>
        <w:rPr>
          <w:rFonts w:hint="eastAsia" w:ascii="宋体" w:hAnsi="宋体" w:cs="宋体"/>
          <w:b/>
          <w:bCs/>
          <w:color w:val="auto"/>
          <w:szCs w:val="21"/>
          <w:highlight w:val="none"/>
          <w:lang w:eastAsia="zh-CN"/>
        </w:rPr>
        <w:t>六</w:t>
      </w:r>
      <w:r>
        <w:rPr>
          <w:rFonts w:hint="eastAsia" w:ascii="宋体" w:hAnsi="宋体" w:cs="宋体"/>
          <w:b/>
          <w:bCs/>
          <w:color w:val="auto"/>
          <w:szCs w:val="21"/>
          <w:highlight w:val="none"/>
        </w:rPr>
        <w:t>、合同份数</w:t>
      </w:r>
    </w:p>
    <w:p w14:paraId="6B83F64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本合同一式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份，均具有同等法律效力，发包人执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份，承包人执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份，采购代理机构执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w:t>
      </w:r>
    </w:p>
    <w:p w14:paraId="44E1BAEA">
      <w:pPr>
        <w:spacing w:line="360" w:lineRule="auto"/>
        <w:ind w:firstLine="42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附件：防城港市市本级市政设施日常维修养护管理考核办法（试行）</w:t>
      </w:r>
    </w:p>
    <w:p w14:paraId="224FCEB4">
      <w:pPr>
        <w:spacing w:line="360" w:lineRule="auto"/>
        <w:ind w:firstLine="420"/>
        <w:rPr>
          <w:rFonts w:ascii="宋体" w:hAnsi="宋体" w:cs="宋体"/>
          <w:color w:val="auto"/>
          <w:szCs w:val="21"/>
          <w:highlight w:val="none"/>
        </w:rPr>
      </w:pPr>
    </w:p>
    <w:p w14:paraId="562D296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发包人：  (公章)                            承包人：  (公章)</w:t>
      </w:r>
    </w:p>
    <w:p w14:paraId="2EECF21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                                 </w:t>
      </w:r>
    </w:p>
    <w:p w14:paraId="6D8D51C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法定代表人或其委托代理人：（签字）           法定代表人或其委托代理人：（签字）</w:t>
      </w:r>
    </w:p>
    <w:p w14:paraId="3D776F6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组织机构代码：                        组织机构代码：           </w:t>
      </w:r>
    </w:p>
    <w:p w14:paraId="529DB9A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地  址：                      地  址：        </w:t>
      </w:r>
    </w:p>
    <w:p w14:paraId="145AFBA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邮政编码：                      邮政编码：   </w:t>
      </w:r>
    </w:p>
    <w:p w14:paraId="602E0A9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法定代表人：                            法定代表人：             </w:t>
      </w:r>
    </w:p>
    <w:p w14:paraId="73A9BB6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 xml:space="preserve">委托代理人：                          </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 xml:space="preserve">委托代理人：             </w:t>
      </w:r>
    </w:p>
    <w:p w14:paraId="00D9F23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电  话：                    电  话：     </w:t>
      </w:r>
    </w:p>
    <w:p w14:paraId="658E757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传  真：                    传  真：     </w:t>
      </w:r>
    </w:p>
    <w:p w14:paraId="5809355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电子信箱：                                  电子信箱：   </w:t>
      </w:r>
    </w:p>
    <w:p w14:paraId="4832CD4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开户银行：                    开户银行：   </w:t>
      </w:r>
    </w:p>
    <w:p w14:paraId="32C5C7B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账  号：                         账  号：     </w:t>
      </w:r>
    </w:p>
    <w:p w14:paraId="019657A9">
      <w:pPr>
        <w:spacing w:line="360" w:lineRule="auto"/>
        <w:jc w:val="center"/>
        <w:rPr>
          <w:rFonts w:hint="eastAsia" w:ascii="宋体" w:hAnsi="宋体" w:cs="宋体"/>
          <w:b/>
          <w:bCs/>
          <w:color w:val="auto"/>
          <w:sz w:val="32"/>
          <w:szCs w:val="32"/>
          <w:highlight w:val="none"/>
        </w:rPr>
      </w:pPr>
    </w:p>
    <w:p w14:paraId="1C472B3B">
      <w:pPr>
        <w:spacing w:line="360" w:lineRule="auto"/>
        <w:jc w:val="center"/>
        <w:rPr>
          <w:rFonts w:hint="eastAsia" w:ascii="宋体" w:hAnsi="宋体" w:cs="宋体"/>
          <w:b/>
          <w:bCs/>
          <w:color w:val="auto"/>
          <w:sz w:val="32"/>
          <w:szCs w:val="32"/>
          <w:highlight w:val="none"/>
        </w:rPr>
      </w:pPr>
    </w:p>
    <w:p w14:paraId="455E8B00">
      <w:pPr>
        <w:spacing w:line="360" w:lineRule="auto"/>
        <w:jc w:val="center"/>
        <w:rPr>
          <w:rFonts w:hint="eastAsia" w:ascii="宋体" w:hAnsi="宋体" w:cs="宋体"/>
          <w:b/>
          <w:bCs/>
          <w:color w:val="auto"/>
          <w:sz w:val="32"/>
          <w:szCs w:val="32"/>
          <w:highlight w:val="none"/>
        </w:rPr>
      </w:pPr>
    </w:p>
    <w:p w14:paraId="20E997C2">
      <w:pPr>
        <w:spacing w:line="360" w:lineRule="auto"/>
        <w:jc w:val="center"/>
        <w:rPr>
          <w:rFonts w:hint="eastAsia" w:ascii="宋体" w:hAnsi="宋体" w:cs="宋体"/>
          <w:b/>
          <w:bCs/>
          <w:color w:val="auto"/>
          <w:sz w:val="32"/>
          <w:szCs w:val="32"/>
          <w:highlight w:val="none"/>
        </w:rPr>
      </w:pPr>
    </w:p>
    <w:p w14:paraId="2B8E7CE0">
      <w:pPr>
        <w:spacing w:line="360" w:lineRule="auto"/>
        <w:jc w:val="center"/>
        <w:rPr>
          <w:rFonts w:hint="eastAsia" w:ascii="宋体" w:hAnsi="宋体" w:cs="宋体"/>
          <w:b/>
          <w:bCs/>
          <w:color w:val="auto"/>
          <w:sz w:val="32"/>
          <w:szCs w:val="32"/>
          <w:highlight w:val="none"/>
        </w:rPr>
      </w:pPr>
    </w:p>
    <w:p w14:paraId="48A5BC82">
      <w:pPr>
        <w:spacing w:line="360" w:lineRule="auto"/>
        <w:jc w:val="center"/>
        <w:rPr>
          <w:rFonts w:hint="eastAsia" w:ascii="宋体" w:hAnsi="宋体" w:cs="宋体"/>
          <w:b/>
          <w:bCs/>
          <w:color w:val="auto"/>
          <w:sz w:val="32"/>
          <w:szCs w:val="32"/>
          <w:highlight w:val="none"/>
        </w:rPr>
      </w:pPr>
    </w:p>
    <w:p w14:paraId="50BCBD9C">
      <w:pPr>
        <w:spacing w:line="360" w:lineRule="auto"/>
        <w:jc w:val="center"/>
        <w:rPr>
          <w:rFonts w:hint="eastAsia" w:ascii="宋体" w:hAnsi="宋体" w:cs="宋体"/>
          <w:b/>
          <w:bCs/>
          <w:color w:val="auto"/>
          <w:sz w:val="32"/>
          <w:szCs w:val="32"/>
          <w:highlight w:val="none"/>
        </w:rPr>
      </w:pPr>
    </w:p>
    <w:p w14:paraId="27E3FB9D">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第二部分  通用条款</w:t>
      </w:r>
    </w:p>
    <w:p w14:paraId="32FF9B4C">
      <w:pPr>
        <w:spacing w:line="360" w:lineRule="auto"/>
        <w:rPr>
          <w:rFonts w:ascii="宋体" w:hAnsi="宋体" w:cs="宋体"/>
          <w:color w:val="auto"/>
          <w:sz w:val="24"/>
          <w:highlight w:val="none"/>
        </w:rPr>
      </w:pPr>
    </w:p>
    <w:p w14:paraId="44BFB985">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采用国家工商行政管理总局和住房和城乡建设部制定的《建设工程施工合同》(GF-2017-0201)的通用条款。</w:t>
      </w:r>
    </w:p>
    <w:p w14:paraId="6F018EA8">
      <w:pPr>
        <w:spacing w:line="360" w:lineRule="auto"/>
        <w:ind w:firstLine="480"/>
        <w:rPr>
          <w:rFonts w:hint="eastAsia" w:ascii="宋体" w:hAnsi="宋体" w:cs="宋体"/>
          <w:color w:val="auto"/>
          <w:sz w:val="24"/>
          <w:highlight w:val="none"/>
        </w:rPr>
      </w:pPr>
    </w:p>
    <w:p w14:paraId="0E9878DE">
      <w:pPr>
        <w:spacing w:line="360" w:lineRule="auto"/>
        <w:ind w:firstLine="480"/>
        <w:rPr>
          <w:rFonts w:hint="eastAsia" w:ascii="宋体" w:hAnsi="宋体" w:cs="宋体"/>
          <w:color w:val="auto"/>
          <w:sz w:val="24"/>
          <w:highlight w:val="none"/>
        </w:rPr>
      </w:pPr>
    </w:p>
    <w:p w14:paraId="3206E879">
      <w:pPr>
        <w:spacing w:line="360" w:lineRule="auto"/>
        <w:ind w:firstLine="480"/>
        <w:rPr>
          <w:rFonts w:hint="eastAsia" w:ascii="宋体" w:hAnsi="宋体" w:cs="宋体"/>
          <w:color w:val="auto"/>
          <w:sz w:val="24"/>
          <w:highlight w:val="none"/>
        </w:rPr>
      </w:pPr>
    </w:p>
    <w:p w14:paraId="515F96F6">
      <w:pPr>
        <w:spacing w:line="360" w:lineRule="auto"/>
        <w:ind w:firstLine="480"/>
        <w:rPr>
          <w:rFonts w:hint="eastAsia" w:ascii="宋体" w:hAnsi="宋体" w:cs="宋体"/>
          <w:color w:val="auto"/>
          <w:sz w:val="24"/>
          <w:highlight w:val="none"/>
        </w:rPr>
      </w:pPr>
    </w:p>
    <w:p w14:paraId="45FF2C26">
      <w:pPr>
        <w:spacing w:line="360" w:lineRule="auto"/>
        <w:ind w:firstLine="480"/>
        <w:rPr>
          <w:rFonts w:hint="eastAsia" w:ascii="宋体" w:hAnsi="宋体" w:cs="宋体"/>
          <w:color w:val="auto"/>
          <w:sz w:val="24"/>
          <w:highlight w:val="none"/>
        </w:rPr>
      </w:pPr>
    </w:p>
    <w:p w14:paraId="01D8E410">
      <w:pPr>
        <w:spacing w:line="360" w:lineRule="auto"/>
        <w:ind w:firstLine="480"/>
        <w:rPr>
          <w:rFonts w:hint="eastAsia" w:ascii="宋体" w:hAnsi="宋体" w:cs="宋体"/>
          <w:color w:val="auto"/>
          <w:sz w:val="24"/>
          <w:highlight w:val="none"/>
        </w:rPr>
      </w:pPr>
    </w:p>
    <w:p w14:paraId="32E75012">
      <w:pPr>
        <w:spacing w:line="360" w:lineRule="auto"/>
        <w:ind w:firstLine="480"/>
        <w:rPr>
          <w:rFonts w:hint="eastAsia" w:ascii="宋体" w:hAnsi="宋体" w:cs="宋体"/>
          <w:color w:val="auto"/>
          <w:sz w:val="24"/>
          <w:highlight w:val="none"/>
        </w:rPr>
      </w:pPr>
    </w:p>
    <w:p w14:paraId="191432F9">
      <w:pPr>
        <w:spacing w:line="360" w:lineRule="auto"/>
        <w:ind w:firstLine="480"/>
        <w:rPr>
          <w:rFonts w:hint="eastAsia" w:ascii="宋体" w:hAnsi="宋体" w:cs="宋体"/>
          <w:color w:val="auto"/>
          <w:sz w:val="24"/>
          <w:highlight w:val="none"/>
        </w:rPr>
      </w:pPr>
    </w:p>
    <w:p w14:paraId="0582B35C">
      <w:pPr>
        <w:spacing w:line="360" w:lineRule="auto"/>
        <w:ind w:firstLine="480"/>
        <w:rPr>
          <w:rFonts w:hint="eastAsia" w:ascii="宋体" w:hAnsi="宋体" w:cs="宋体"/>
          <w:color w:val="auto"/>
          <w:sz w:val="24"/>
          <w:highlight w:val="none"/>
        </w:rPr>
      </w:pPr>
    </w:p>
    <w:p w14:paraId="69A67A06">
      <w:pPr>
        <w:spacing w:line="360" w:lineRule="auto"/>
        <w:ind w:firstLine="480"/>
        <w:rPr>
          <w:rFonts w:hint="eastAsia" w:ascii="宋体" w:hAnsi="宋体" w:cs="宋体"/>
          <w:color w:val="auto"/>
          <w:sz w:val="24"/>
          <w:highlight w:val="none"/>
        </w:rPr>
      </w:pPr>
    </w:p>
    <w:p w14:paraId="0B0A03C0">
      <w:pPr>
        <w:spacing w:line="360" w:lineRule="auto"/>
        <w:ind w:firstLine="480"/>
        <w:rPr>
          <w:rFonts w:hint="eastAsia" w:ascii="宋体" w:hAnsi="宋体" w:cs="宋体"/>
          <w:color w:val="auto"/>
          <w:sz w:val="24"/>
          <w:highlight w:val="none"/>
        </w:rPr>
      </w:pPr>
    </w:p>
    <w:p w14:paraId="1B8A542A">
      <w:pPr>
        <w:spacing w:line="360" w:lineRule="auto"/>
        <w:ind w:firstLine="480"/>
        <w:rPr>
          <w:rFonts w:hint="eastAsia" w:ascii="宋体" w:hAnsi="宋体" w:cs="宋体"/>
          <w:color w:val="auto"/>
          <w:sz w:val="24"/>
          <w:highlight w:val="none"/>
        </w:rPr>
      </w:pPr>
    </w:p>
    <w:p w14:paraId="3C7EB9A3">
      <w:pPr>
        <w:spacing w:line="360" w:lineRule="auto"/>
        <w:ind w:firstLine="480"/>
        <w:rPr>
          <w:rFonts w:hint="eastAsia" w:ascii="宋体" w:hAnsi="宋体" w:cs="宋体"/>
          <w:color w:val="auto"/>
          <w:sz w:val="24"/>
          <w:highlight w:val="none"/>
        </w:rPr>
      </w:pPr>
    </w:p>
    <w:p w14:paraId="469E3260">
      <w:pPr>
        <w:spacing w:line="360" w:lineRule="auto"/>
        <w:ind w:firstLine="480"/>
        <w:rPr>
          <w:rFonts w:hint="eastAsia" w:ascii="宋体" w:hAnsi="宋体" w:cs="宋体"/>
          <w:color w:val="auto"/>
          <w:sz w:val="24"/>
          <w:highlight w:val="none"/>
        </w:rPr>
      </w:pPr>
    </w:p>
    <w:p w14:paraId="05020838">
      <w:pPr>
        <w:spacing w:line="360" w:lineRule="auto"/>
        <w:ind w:firstLine="480"/>
        <w:rPr>
          <w:rFonts w:hint="eastAsia" w:ascii="宋体" w:hAnsi="宋体" w:cs="宋体"/>
          <w:color w:val="auto"/>
          <w:sz w:val="24"/>
          <w:highlight w:val="none"/>
        </w:rPr>
      </w:pPr>
    </w:p>
    <w:p w14:paraId="4B76C694">
      <w:pPr>
        <w:spacing w:line="360" w:lineRule="auto"/>
        <w:ind w:firstLine="480"/>
        <w:rPr>
          <w:rFonts w:hint="eastAsia" w:ascii="宋体" w:hAnsi="宋体" w:cs="宋体"/>
          <w:color w:val="auto"/>
          <w:sz w:val="24"/>
          <w:highlight w:val="none"/>
        </w:rPr>
      </w:pPr>
    </w:p>
    <w:p w14:paraId="24AD0CF2">
      <w:pPr>
        <w:spacing w:line="360" w:lineRule="auto"/>
        <w:ind w:firstLine="480"/>
        <w:rPr>
          <w:rFonts w:hint="eastAsia" w:ascii="宋体" w:hAnsi="宋体" w:cs="宋体"/>
          <w:color w:val="auto"/>
          <w:sz w:val="24"/>
          <w:highlight w:val="none"/>
        </w:rPr>
      </w:pPr>
    </w:p>
    <w:p w14:paraId="7F541C8F">
      <w:pPr>
        <w:spacing w:line="360" w:lineRule="auto"/>
        <w:rPr>
          <w:rFonts w:hint="eastAsia" w:ascii="宋体" w:hAnsi="宋体" w:cs="宋体"/>
          <w:color w:val="auto"/>
          <w:sz w:val="24"/>
          <w:highlight w:val="none"/>
        </w:rPr>
      </w:pPr>
    </w:p>
    <w:p w14:paraId="320FE990">
      <w:pPr>
        <w:spacing w:line="360" w:lineRule="auto"/>
        <w:rPr>
          <w:rFonts w:hint="eastAsia" w:ascii="宋体" w:hAnsi="宋体" w:cs="宋体"/>
          <w:color w:val="auto"/>
          <w:sz w:val="24"/>
          <w:highlight w:val="none"/>
        </w:rPr>
      </w:pPr>
    </w:p>
    <w:p w14:paraId="28CD2F3E">
      <w:pPr>
        <w:spacing w:line="360" w:lineRule="auto"/>
        <w:rPr>
          <w:rFonts w:hint="eastAsia" w:ascii="宋体" w:hAnsi="宋体" w:cs="宋体"/>
          <w:color w:val="auto"/>
          <w:sz w:val="24"/>
          <w:highlight w:val="none"/>
        </w:rPr>
      </w:pPr>
    </w:p>
    <w:p w14:paraId="7E371757">
      <w:pPr>
        <w:spacing w:line="360" w:lineRule="auto"/>
        <w:rPr>
          <w:rFonts w:hint="eastAsia" w:ascii="宋体" w:hAnsi="宋体" w:cs="宋体"/>
          <w:color w:val="auto"/>
          <w:sz w:val="24"/>
          <w:highlight w:val="none"/>
        </w:rPr>
      </w:pPr>
    </w:p>
    <w:p w14:paraId="60C725BC">
      <w:pPr>
        <w:spacing w:line="360" w:lineRule="auto"/>
        <w:rPr>
          <w:rFonts w:hint="eastAsia" w:ascii="宋体" w:hAnsi="宋体" w:cs="宋体"/>
          <w:color w:val="auto"/>
          <w:sz w:val="24"/>
          <w:highlight w:val="none"/>
        </w:rPr>
      </w:pPr>
    </w:p>
    <w:p w14:paraId="7D816128">
      <w:pPr>
        <w:spacing w:line="360" w:lineRule="auto"/>
        <w:rPr>
          <w:rFonts w:hint="eastAsia" w:ascii="宋体" w:hAnsi="宋体" w:cs="宋体"/>
          <w:color w:val="auto"/>
          <w:sz w:val="24"/>
          <w:highlight w:val="none"/>
        </w:rPr>
      </w:pPr>
    </w:p>
    <w:p w14:paraId="0108EF56">
      <w:pPr>
        <w:spacing w:line="360" w:lineRule="auto"/>
        <w:rPr>
          <w:rFonts w:hint="eastAsia" w:ascii="宋体" w:hAnsi="宋体" w:cs="宋体"/>
          <w:color w:val="auto"/>
          <w:sz w:val="24"/>
          <w:highlight w:val="none"/>
        </w:rPr>
      </w:pPr>
    </w:p>
    <w:p w14:paraId="70AFC7B2">
      <w:pPr>
        <w:spacing w:line="360" w:lineRule="auto"/>
        <w:ind w:firstLine="480"/>
        <w:rPr>
          <w:rFonts w:hint="eastAsia" w:ascii="宋体" w:hAnsi="宋体" w:cs="宋体"/>
          <w:color w:val="auto"/>
          <w:sz w:val="24"/>
          <w:highlight w:val="none"/>
        </w:rPr>
      </w:pPr>
    </w:p>
    <w:p w14:paraId="4CA96FD8">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第三部分  专用条款</w:t>
      </w:r>
    </w:p>
    <w:p w14:paraId="36D49653">
      <w:pPr>
        <w:spacing w:after="120" w:line="360" w:lineRule="auto"/>
        <w:rPr>
          <w:rFonts w:ascii="宋体" w:hAnsi="宋体" w:cs="宋体"/>
          <w:color w:val="auto"/>
          <w:szCs w:val="21"/>
          <w:highlight w:val="none"/>
        </w:rPr>
      </w:pPr>
      <w:r>
        <w:rPr>
          <w:rFonts w:hint="eastAsia" w:ascii="宋体" w:hAnsi="宋体" w:cs="宋体"/>
          <w:color w:val="auto"/>
          <w:szCs w:val="21"/>
          <w:highlight w:val="none"/>
        </w:rPr>
        <w:t>1. 一般约定</w:t>
      </w:r>
    </w:p>
    <w:p w14:paraId="222DBE9D">
      <w:pPr>
        <w:spacing w:after="120" w:line="360" w:lineRule="auto"/>
        <w:rPr>
          <w:rFonts w:ascii="宋体" w:hAnsi="宋体" w:cs="宋体"/>
          <w:color w:val="auto"/>
          <w:szCs w:val="21"/>
          <w:highlight w:val="none"/>
        </w:rPr>
      </w:pPr>
      <w:r>
        <w:rPr>
          <w:rFonts w:hint="eastAsia" w:ascii="宋体" w:hAnsi="宋体" w:cs="宋体"/>
          <w:color w:val="auto"/>
          <w:szCs w:val="21"/>
          <w:highlight w:val="none"/>
        </w:rPr>
        <w:t>1.1 词语定义</w:t>
      </w:r>
    </w:p>
    <w:p w14:paraId="103EE749">
      <w:pPr>
        <w:spacing w:line="360" w:lineRule="auto"/>
        <w:rPr>
          <w:rFonts w:ascii="宋体" w:hAnsi="宋体" w:cs="宋体"/>
          <w:color w:val="auto"/>
          <w:szCs w:val="21"/>
          <w:highlight w:val="none"/>
        </w:rPr>
      </w:pPr>
      <w:r>
        <w:rPr>
          <w:rFonts w:hint="eastAsia" w:ascii="宋体" w:hAnsi="宋体" w:cs="宋体"/>
          <w:color w:val="auto"/>
          <w:szCs w:val="21"/>
          <w:highlight w:val="none"/>
        </w:rPr>
        <w:t>1.1.1合同</w:t>
      </w:r>
    </w:p>
    <w:p w14:paraId="2678D298">
      <w:pPr>
        <w:spacing w:line="360" w:lineRule="auto"/>
        <w:rPr>
          <w:rFonts w:ascii="宋体" w:hAnsi="宋体" w:cs="宋体"/>
          <w:color w:val="auto"/>
          <w:szCs w:val="21"/>
          <w:highlight w:val="none"/>
        </w:rPr>
      </w:pPr>
      <w:r>
        <w:rPr>
          <w:rFonts w:hint="eastAsia" w:ascii="宋体" w:hAnsi="宋体" w:cs="宋体"/>
          <w:color w:val="auto"/>
          <w:szCs w:val="21"/>
          <w:highlight w:val="none"/>
        </w:rPr>
        <w:t>1.1.1.10其他合同文件包括：</w:t>
      </w:r>
      <w:r>
        <w:rPr>
          <w:rFonts w:hint="eastAsia" w:ascii="宋体" w:hAnsi="宋体" w:cs="宋体"/>
          <w:color w:val="auto"/>
          <w:szCs w:val="21"/>
          <w:highlight w:val="none"/>
          <w:u w:val="single"/>
        </w:rPr>
        <w:t xml:space="preserve"> 招标文件（含补充通知和答疑）；投标文件及其附件；履行合同过程中双方法定代表人书面确认的对合同内容有实际性影响的补充协议、签证、合计变更等资料  </w:t>
      </w:r>
      <w:r>
        <w:rPr>
          <w:rFonts w:hint="eastAsia" w:ascii="宋体" w:hAnsi="宋体" w:cs="宋体"/>
          <w:color w:val="auto"/>
          <w:szCs w:val="21"/>
          <w:highlight w:val="none"/>
        </w:rPr>
        <w:t>。</w:t>
      </w:r>
    </w:p>
    <w:p w14:paraId="6BE8264F">
      <w:pPr>
        <w:spacing w:line="360" w:lineRule="auto"/>
        <w:rPr>
          <w:rFonts w:ascii="宋体" w:hAnsi="宋体" w:cs="宋体"/>
          <w:color w:val="auto"/>
          <w:szCs w:val="21"/>
          <w:highlight w:val="none"/>
        </w:rPr>
      </w:pPr>
      <w:r>
        <w:rPr>
          <w:rFonts w:hint="eastAsia" w:ascii="宋体" w:hAnsi="宋体" w:cs="宋体"/>
          <w:color w:val="auto"/>
          <w:szCs w:val="21"/>
          <w:highlight w:val="none"/>
        </w:rPr>
        <w:t>1.1.2 合同当事人及其他相关方</w:t>
      </w:r>
    </w:p>
    <w:p w14:paraId="1ED38FE9">
      <w:pPr>
        <w:spacing w:line="360" w:lineRule="auto"/>
        <w:rPr>
          <w:rFonts w:ascii="宋体" w:hAnsi="宋体" w:cs="宋体"/>
          <w:color w:val="auto"/>
          <w:szCs w:val="21"/>
          <w:highlight w:val="none"/>
        </w:rPr>
      </w:pPr>
      <w:r>
        <w:rPr>
          <w:rFonts w:hint="eastAsia" w:ascii="宋体" w:hAnsi="宋体" w:cs="宋体"/>
          <w:color w:val="auto"/>
          <w:szCs w:val="21"/>
          <w:highlight w:val="none"/>
        </w:rPr>
        <w:t>1.1.2.4监理人：</w:t>
      </w:r>
    </w:p>
    <w:p w14:paraId="68E820B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14:paraId="6547C3C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资质类别和等级：</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6A51ADA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5E25ED6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0AB3CD6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15143113">
      <w:pPr>
        <w:spacing w:line="360" w:lineRule="auto"/>
        <w:rPr>
          <w:rFonts w:ascii="宋体" w:hAnsi="宋体" w:cs="宋体"/>
          <w:color w:val="auto"/>
          <w:szCs w:val="21"/>
          <w:highlight w:val="none"/>
        </w:rPr>
      </w:pPr>
      <w:r>
        <w:rPr>
          <w:rFonts w:hint="eastAsia" w:ascii="宋体" w:hAnsi="宋体" w:cs="宋体"/>
          <w:color w:val="auto"/>
          <w:szCs w:val="21"/>
          <w:highlight w:val="none"/>
        </w:rPr>
        <w:t>1.1.2.5 设计人：</w:t>
      </w:r>
    </w:p>
    <w:p w14:paraId="405BAA0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14:paraId="66345C5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资质类别和等级：</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19DB90A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6A737E8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14:paraId="5A753B0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4B7D28FA">
      <w:pPr>
        <w:spacing w:line="360" w:lineRule="auto"/>
        <w:rPr>
          <w:rFonts w:ascii="宋体" w:hAnsi="宋体" w:cs="宋体"/>
          <w:color w:val="auto"/>
          <w:szCs w:val="21"/>
          <w:highlight w:val="none"/>
        </w:rPr>
      </w:pPr>
      <w:r>
        <w:rPr>
          <w:rFonts w:hint="eastAsia" w:ascii="宋体" w:hAnsi="宋体" w:cs="宋体"/>
          <w:color w:val="auto"/>
          <w:szCs w:val="21"/>
          <w:highlight w:val="none"/>
        </w:rPr>
        <w:t>1.1.3 工程和设备</w:t>
      </w:r>
    </w:p>
    <w:p w14:paraId="4DE849CD">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1.1.3.7 作为施工现场组成部分的其他场所包括：</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E3B43C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1.1.3.9 永久占地包括：</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14:paraId="0568DB70">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1.1.3.10 临时占地包括：</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7DC21C9">
      <w:pPr>
        <w:spacing w:after="120" w:line="360" w:lineRule="auto"/>
        <w:rPr>
          <w:rFonts w:ascii="宋体" w:hAnsi="宋体" w:cs="宋体"/>
          <w:color w:val="auto"/>
          <w:szCs w:val="21"/>
          <w:highlight w:val="none"/>
        </w:rPr>
      </w:pPr>
      <w:r>
        <w:rPr>
          <w:rFonts w:hint="eastAsia" w:ascii="宋体" w:hAnsi="宋体" w:cs="宋体"/>
          <w:color w:val="auto"/>
          <w:szCs w:val="21"/>
          <w:highlight w:val="none"/>
        </w:rPr>
        <w:t xml:space="preserve">1.3法律 </w:t>
      </w:r>
    </w:p>
    <w:p w14:paraId="50B41ED6">
      <w:pPr>
        <w:spacing w:line="360" w:lineRule="auto"/>
        <w:ind w:left="596"/>
        <w:jc w:val="left"/>
        <w:rPr>
          <w:rFonts w:hint="eastAsia" w:ascii="宋体" w:hAnsi="宋体" w:cs="宋体"/>
          <w:color w:val="auto"/>
          <w:szCs w:val="21"/>
          <w:highlight w:val="none"/>
          <w:u w:val="single"/>
        </w:rPr>
      </w:pPr>
      <w:r>
        <w:rPr>
          <w:rFonts w:hint="eastAsia" w:ascii="宋体" w:hAnsi="宋体" w:cs="宋体"/>
          <w:color w:val="auto"/>
          <w:szCs w:val="21"/>
          <w:highlight w:val="none"/>
        </w:rPr>
        <w:t>适用于合同的其他规范性文件：</w:t>
      </w:r>
      <w:r>
        <w:rPr>
          <w:rFonts w:hint="eastAsia" w:ascii="宋体" w:hAnsi="宋体" w:cs="宋体"/>
          <w:color w:val="auto"/>
          <w:szCs w:val="21"/>
          <w:highlight w:val="none"/>
          <w:u w:val="single"/>
        </w:rPr>
        <w:t>现行的国家法律和行政法规，工程所在地政府的有关法</w:t>
      </w:r>
    </w:p>
    <w:p w14:paraId="4E9804EE">
      <w:pPr>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u w:val="single"/>
        </w:rPr>
        <w:t>规和规章</w:t>
      </w:r>
      <w:r>
        <w:rPr>
          <w:rFonts w:hint="eastAsia" w:ascii="宋体" w:hAnsi="宋体" w:cs="宋体"/>
          <w:color w:val="auto"/>
          <w:szCs w:val="21"/>
          <w:highlight w:val="none"/>
        </w:rPr>
        <w:t>。</w:t>
      </w:r>
    </w:p>
    <w:p w14:paraId="0A63DDF3">
      <w:pPr>
        <w:spacing w:after="120" w:line="360" w:lineRule="auto"/>
        <w:rPr>
          <w:rFonts w:ascii="宋体" w:hAnsi="宋体" w:cs="宋体"/>
          <w:color w:val="auto"/>
          <w:szCs w:val="21"/>
          <w:highlight w:val="none"/>
        </w:rPr>
      </w:pPr>
      <w:r>
        <w:rPr>
          <w:rFonts w:hint="eastAsia" w:ascii="宋体" w:hAnsi="宋体" w:cs="宋体"/>
          <w:color w:val="auto"/>
          <w:szCs w:val="21"/>
          <w:highlight w:val="none"/>
        </w:rPr>
        <w:t>1.4 标准和规范</w:t>
      </w:r>
    </w:p>
    <w:p w14:paraId="3780826B">
      <w:pPr>
        <w:spacing w:line="360" w:lineRule="auto"/>
        <w:rPr>
          <w:rFonts w:ascii="宋体" w:hAnsi="宋体" w:cs="宋体"/>
          <w:color w:val="auto"/>
          <w:szCs w:val="21"/>
          <w:highlight w:val="none"/>
        </w:rPr>
      </w:pPr>
      <w:r>
        <w:rPr>
          <w:rFonts w:hint="eastAsia" w:ascii="宋体" w:hAnsi="宋体" w:cs="宋体"/>
          <w:color w:val="auto"/>
          <w:szCs w:val="21"/>
          <w:highlight w:val="none"/>
        </w:rPr>
        <w:t>1.4.1适用于工程的标准规范包括：</w:t>
      </w:r>
      <w:r>
        <w:rPr>
          <w:rFonts w:hint="eastAsia" w:ascii="宋体" w:hAnsi="宋体" w:cs="宋体"/>
          <w:color w:val="auto"/>
          <w:szCs w:val="21"/>
          <w:highlight w:val="none"/>
          <w:u w:val="single"/>
        </w:rPr>
        <w:t>                   </w:t>
      </w:r>
      <w:r>
        <w:rPr>
          <w:rFonts w:hint="eastAsia" w:ascii="宋体" w:hAnsi="宋体" w:cs="宋体"/>
          <w:color w:val="auto"/>
          <w:szCs w:val="21"/>
          <w:highlight w:val="none"/>
        </w:rPr>
        <w:t>。</w:t>
      </w:r>
    </w:p>
    <w:p w14:paraId="29E3517C">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1.4.2 发包人提供国外标准、规范的名称：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A7BB03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发包人提供国外标准、规范的份数：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029284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发包人提供国外标准、规范的名称：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9B4FF49">
      <w:pPr>
        <w:spacing w:line="360" w:lineRule="auto"/>
        <w:rPr>
          <w:rFonts w:ascii="宋体" w:hAnsi="宋体" w:cs="宋体"/>
          <w:color w:val="auto"/>
          <w:szCs w:val="21"/>
          <w:highlight w:val="none"/>
        </w:rPr>
      </w:pPr>
      <w:r>
        <w:rPr>
          <w:rFonts w:hint="eastAsia" w:ascii="宋体" w:hAnsi="宋体" w:cs="宋体"/>
          <w:color w:val="auto"/>
          <w:szCs w:val="21"/>
          <w:highlight w:val="none"/>
        </w:rPr>
        <w:t>1.4.3发包人对工程的技术标准和功能要求的特殊要求：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678EF06">
      <w:pPr>
        <w:spacing w:after="120" w:line="360" w:lineRule="auto"/>
        <w:rPr>
          <w:rFonts w:ascii="宋体" w:hAnsi="宋体" w:cs="宋体"/>
          <w:color w:val="auto"/>
          <w:szCs w:val="21"/>
          <w:highlight w:val="none"/>
        </w:rPr>
      </w:pPr>
      <w:r>
        <w:rPr>
          <w:rFonts w:hint="eastAsia" w:ascii="宋体" w:hAnsi="宋体" w:cs="宋体"/>
          <w:color w:val="auto"/>
          <w:szCs w:val="21"/>
          <w:highlight w:val="none"/>
        </w:rPr>
        <w:t>1.5 合同文件的优先顺序</w:t>
      </w:r>
    </w:p>
    <w:p w14:paraId="3A9BEB8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合同文件组成及优先顺序为：</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46DFB84F">
      <w:pPr>
        <w:spacing w:after="120" w:line="360" w:lineRule="auto"/>
        <w:rPr>
          <w:rFonts w:ascii="宋体" w:hAnsi="宋体" w:cs="宋体"/>
          <w:color w:val="auto"/>
          <w:szCs w:val="21"/>
          <w:highlight w:val="none"/>
        </w:rPr>
      </w:pPr>
      <w:r>
        <w:rPr>
          <w:rFonts w:hint="eastAsia" w:ascii="宋体" w:hAnsi="宋体" w:cs="宋体"/>
          <w:color w:val="auto"/>
          <w:szCs w:val="21"/>
          <w:highlight w:val="none"/>
        </w:rPr>
        <w:t>1.6 图纸和承包人文件</w:t>
      </w:r>
      <w:r>
        <w:rPr>
          <w:rFonts w:hint="eastAsia" w:ascii="宋体" w:hAnsi="宋体" w:cs="宋体"/>
          <w:color w:val="auto"/>
          <w:szCs w:val="21"/>
          <w:highlight w:val="none"/>
        </w:rPr>
        <w:tab/>
      </w:r>
    </w:p>
    <w:p w14:paraId="21C08ED3">
      <w:pPr>
        <w:spacing w:line="360" w:lineRule="auto"/>
        <w:rPr>
          <w:rFonts w:ascii="宋体" w:hAnsi="宋体" w:cs="宋体"/>
          <w:color w:val="auto"/>
          <w:szCs w:val="21"/>
          <w:highlight w:val="none"/>
        </w:rPr>
      </w:pPr>
      <w:r>
        <w:rPr>
          <w:rFonts w:hint="eastAsia" w:ascii="宋体" w:hAnsi="宋体" w:cs="宋体"/>
          <w:color w:val="auto"/>
          <w:szCs w:val="21"/>
          <w:highlight w:val="none"/>
        </w:rPr>
        <w:t>1.6.1 图纸的提供</w:t>
      </w:r>
    </w:p>
    <w:p w14:paraId="73ECA05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发包人向承包人提供图纸的期限：</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59D283F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发包人向承包人提供图纸的数量：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855B3D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发包人向承包人提供图纸的内容：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1A09CDE">
      <w:pPr>
        <w:spacing w:line="360" w:lineRule="auto"/>
        <w:rPr>
          <w:rFonts w:ascii="宋体" w:hAnsi="宋体" w:cs="宋体"/>
          <w:color w:val="auto"/>
          <w:szCs w:val="21"/>
          <w:highlight w:val="none"/>
        </w:rPr>
      </w:pPr>
      <w:r>
        <w:rPr>
          <w:rFonts w:hint="eastAsia" w:ascii="宋体" w:hAnsi="宋体" w:cs="宋体"/>
          <w:color w:val="auto"/>
          <w:szCs w:val="21"/>
          <w:highlight w:val="none"/>
        </w:rPr>
        <w:t>1.6.4 承包人文件</w:t>
      </w:r>
    </w:p>
    <w:p w14:paraId="7804CD06">
      <w:pPr>
        <w:spacing w:line="360" w:lineRule="auto"/>
        <w:ind w:firstLine="420"/>
        <w:jc w:val="left"/>
        <w:rPr>
          <w:rFonts w:ascii="宋体" w:hAnsi="宋体" w:cs="宋体"/>
          <w:color w:val="auto"/>
          <w:szCs w:val="21"/>
          <w:highlight w:val="none"/>
          <w:u w:val="single"/>
        </w:rPr>
      </w:pPr>
      <w:r>
        <w:rPr>
          <w:rFonts w:hint="eastAsia" w:ascii="宋体" w:hAnsi="宋体" w:cs="宋体"/>
          <w:color w:val="auto"/>
          <w:szCs w:val="21"/>
          <w:highlight w:val="none"/>
        </w:rPr>
        <w:t>需要由承包人提供的文件，包括：</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AEEC25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承包人提供的文件的期限为：</w:t>
      </w:r>
      <w:r>
        <w:rPr>
          <w:rFonts w:hint="eastAsia" w:ascii="宋体" w:hAnsi="宋体" w:cs="宋体"/>
          <w:color w:val="auto"/>
          <w:szCs w:val="21"/>
          <w:highlight w:val="none"/>
          <w:u w:val="single"/>
        </w:rPr>
        <w:t>       </w:t>
      </w:r>
      <w:r>
        <w:rPr>
          <w:rFonts w:hint="eastAsia" w:ascii="宋体" w:hAnsi="宋体" w:cs="宋体"/>
          <w:color w:val="auto"/>
          <w:szCs w:val="21"/>
          <w:highlight w:val="none"/>
        </w:rPr>
        <w:t>；</w:t>
      </w:r>
    </w:p>
    <w:p w14:paraId="2B34F75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承包人提供的文件的数量为：</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1B827D0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承包人提供的文件的形式为：</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7D14BAD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发包人审批承包人文件的期限：</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29DF0B0D">
      <w:pPr>
        <w:spacing w:line="360" w:lineRule="auto"/>
        <w:rPr>
          <w:rFonts w:ascii="宋体" w:hAnsi="宋体" w:cs="宋体"/>
          <w:color w:val="auto"/>
          <w:szCs w:val="21"/>
          <w:highlight w:val="none"/>
        </w:rPr>
      </w:pPr>
      <w:r>
        <w:rPr>
          <w:rFonts w:hint="eastAsia" w:ascii="宋体" w:hAnsi="宋体" w:cs="宋体"/>
          <w:color w:val="auto"/>
          <w:szCs w:val="21"/>
          <w:highlight w:val="none"/>
        </w:rPr>
        <w:t>1.6.5 现场图纸准备</w:t>
      </w:r>
    </w:p>
    <w:p w14:paraId="715F9AC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关于现场图纸准备的约定：</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184B8ECD">
      <w:pPr>
        <w:spacing w:after="120" w:line="360" w:lineRule="auto"/>
        <w:rPr>
          <w:rFonts w:ascii="宋体" w:hAnsi="宋体" w:cs="宋体"/>
          <w:color w:val="auto"/>
          <w:szCs w:val="21"/>
          <w:highlight w:val="none"/>
        </w:rPr>
      </w:pPr>
      <w:r>
        <w:rPr>
          <w:rFonts w:hint="eastAsia" w:ascii="宋体" w:hAnsi="宋体" w:cs="宋体"/>
          <w:color w:val="auto"/>
          <w:szCs w:val="21"/>
          <w:highlight w:val="none"/>
        </w:rPr>
        <w:t>1.7 联络</w:t>
      </w:r>
    </w:p>
    <w:p w14:paraId="2073DC60">
      <w:pPr>
        <w:spacing w:line="360" w:lineRule="auto"/>
        <w:rPr>
          <w:rFonts w:ascii="宋体" w:hAnsi="宋体" w:cs="宋体"/>
          <w:color w:val="auto"/>
          <w:szCs w:val="21"/>
          <w:highlight w:val="none"/>
        </w:rPr>
      </w:pPr>
      <w:r>
        <w:rPr>
          <w:rFonts w:hint="eastAsia" w:ascii="宋体" w:hAnsi="宋体" w:cs="宋体"/>
          <w:color w:val="auto"/>
          <w:szCs w:val="21"/>
          <w:highlight w:val="none"/>
        </w:rPr>
        <w:t>1.7.1发包人和承包人应当在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天内将与合同有关的通知、批准、证明、证书、指示、指令、要求、请求、同意、意见、确定和决定等书面函件送达对方当事人。</w:t>
      </w:r>
    </w:p>
    <w:p w14:paraId="51521904">
      <w:pPr>
        <w:spacing w:line="360" w:lineRule="auto"/>
        <w:rPr>
          <w:rFonts w:ascii="宋体" w:hAnsi="宋体" w:cs="宋体"/>
          <w:color w:val="auto"/>
          <w:szCs w:val="21"/>
          <w:highlight w:val="none"/>
        </w:rPr>
      </w:pPr>
      <w:r>
        <w:rPr>
          <w:rFonts w:hint="eastAsia" w:ascii="宋体" w:hAnsi="宋体" w:cs="宋体"/>
          <w:color w:val="auto"/>
          <w:szCs w:val="21"/>
          <w:highlight w:val="none"/>
        </w:rPr>
        <w:t>1.7.2 发包人接收文件的地点：</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39AE62A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发包人指定的接收人为：</w:t>
      </w:r>
      <w:r>
        <w:rPr>
          <w:rFonts w:hint="eastAsia" w:ascii="宋体" w:hAnsi="宋体" w:cs="宋体"/>
          <w:color w:val="auto"/>
          <w:szCs w:val="21"/>
          <w:highlight w:val="none"/>
          <w:u w:val="single"/>
        </w:rPr>
        <w:t>               </w:t>
      </w:r>
      <w:r>
        <w:rPr>
          <w:rFonts w:hint="eastAsia" w:ascii="宋体" w:hAnsi="宋体" w:cs="宋体"/>
          <w:color w:val="auto"/>
          <w:szCs w:val="21"/>
          <w:highlight w:val="none"/>
        </w:rPr>
        <w:t>。</w:t>
      </w:r>
    </w:p>
    <w:p w14:paraId="42E693A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承包人接收文件的地点：</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5F267F9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承包人指定的接收人为：</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37FA495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监理人接收文件的地点：</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529459C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监理人指定的接收人为：</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67B21610">
      <w:pPr>
        <w:spacing w:after="120" w:line="360" w:lineRule="auto"/>
        <w:rPr>
          <w:rFonts w:ascii="宋体" w:hAnsi="宋体" w:cs="宋体"/>
          <w:color w:val="auto"/>
          <w:szCs w:val="21"/>
          <w:highlight w:val="none"/>
        </w:rPr>
      </w:pPr>
      <w:r>
        <w:rPr>
          <w:rFonts w:hint="eastAsia" w:ascii="宋体" w:hAnsi="宋体" w:cs="宋体"/>
          <w:color w:val="auto"/>
          <w:szCs w:val="21"/>
          <w:highlight w:val="none"/>
        </w:rPr>
        <w:t>1.10 交通运输</w:t>
      </w:r>
    </w:p>
    <w:p w14:paraId="038353AD">
      <w:pPr>
        <w:spacing w:line="360" w:lineRule="auto"/>
        <w:rPr>
          <w:rFonts w:ascii="宋体" w:hAnsi="宋体" w:cs="宋体"/>
          <w:color w:val="auto"/>
          <w:szCs w:val="21"/>
          <w:highlight w:val="none"/>
        </w:rPr>
      </w:pPr>
      <w:r>
        <w:rPr>
          <w:rFonts w:hint="eastAsia" w:ascii="宋体" w:hAnsi="宋体" w:cs="宋体"/>
          <w:color w:val="auto"/>
          <w:szCs w:val="21"/>
          <w:highlight w:val="none"/>
        </w:rPr>
        <w:t>1.10.1 出入现场的权利</w:t>
      </w:r>
    </w:p>
    <w:p w14:paraId="1F510C4B">
      <w:pPr>
        <w:spacing w:line="360" w:lineRule="auto"/>
        <w:ind w:firstLine="420"/>
        <w:rPr>
          <w:rFonts w:ascii="宋体" w:hAnsi="宋体" w:cs="宋体"/>
          <w:color w:val="auto"/>
          <w:szCs w:val="21"/>
          <w:highlight w:val="none"/>
          <w:u w:val="single"/>
        </w:rPr>
      </w:pPr>
      <w:r>
        <w:rPr>
          <w:rFonts w:hint="eastAsia" w:ascii="宋体" w:hAnsi="宋体" w:cs="宋体"/>
          <w:color w:val="auto"/>
          <w:szCs w:val="21"/>
          <w:highlight w:val="none"/>
        </w:rPr>
        <w:t>关于出入现场的权利的约定：</w:t>
      </w:r>
      <w:r>
        <w:rPr>
          <w:rFonts w:hint="eastAsia" w:ascii="宋体" w:hAnsi="宋体" w:cs="宋体"/>
          <w:color w:val="auto"/>
          <w:szCs w:val="21"/>
          <w:highlight w:val="none"/>
          <w:u w:val="single"/>
        </w:rPr>
        <w:t>          </w:t>
      </w:r>
      <w:r>
        <w:rPr>
          <w:rFonts w:hint="eastAsia" w:ascii="宋体" w:hAnsi="宋体" w:cs="宋体"/>
          <w:color w:val="auto"/>
          <w:szCs w:val="21"/>
          <w:highlight w:val="none"/>
        </w:rPr>
        <w:t>。</w:t>
      </w:r>
    </w:p>
    <w:p w14:paraId="3602831D">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1.10.3 场内交通</w:t>
      </w:r>
    </w:p>
    <w:p w14:paraId="7B60DFF8">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关于场外交通和场内交通的边界的约定：</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6688D880">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关于发包人向承包人免费提供满足工程施工需要的场内道路和交通设施的约定：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9EB8819">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1.10.4超大件和超重件的运输</w:t>
      </w:r>
    </w:p>
    <w:p w14:paraId="1490E56B">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运输超大件或超重件所需的道路和桥梁临时加固改造费用和其他有关费用由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承担。</w:t>
      </w:r>
    </w:p>
    <w:p w14:paraId="20F837A4">
      <w:pPr>
        <w:spacing w:after="120" w:line="360" w:lineRule="auto"/>
        <w:rPr>
          <w:rFonts w:ascii="宋体" w:hAnsi="宋体" w:cs="宋体"/>
          <w:color w:val="auto"/>
          <w:szCs w:val="21"/>
          <w:highlight w:val="none"/>
        </w:rPr>
      </w:pPr>
      <w:r>
        <w:rPr>
          <w:rFonts w:hint="eastAsia" w:ascii="宋体" w:hAnsi="宋体" w:cs="宋体"/>
          <w:color w:val="auto"/>
          <w:szCs w:val="21"/>
          <w:highlight w:val="none"/>
        </w:rPr>
        <w:t>1.11 知识产权</w:t>
      </w:r>
    </w:p>
    <w:p w14:paraId="60F85F01">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C815F9C">
      <w:pPr>
        <w:spacing w:line="360" w:lineRule="auto"/>
        <w:rPr>
          <w:rFonts w:ascii="宋体" w:hAnsi="宋体" w:cs="宋体"/>
          <w:color w:val="auto"/>
          <w:szCs w:val="21"/>
          <w:highlight w:val="none"/>
        </w:rPr>
      </w:pPr>
      <w:r>
        <w:rPr>
          <w:rFonts w:hint="eastAsia" w:ascii="宋体" w:hAnsi="宋体" w:cs="宋体"/>
          <w:color w:val="auto"/>
          <w:szCs w:val="21"/>
          <w:highlight w:val="none"/>
        </w:rPr>
        <w:t>关于发包人提供的上述文件的使用限制的要求：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9847F4E">
      <w:pPr>
        <w:spacing w:line="360" w:lineRule="auto"/>
        <w:rPr>
          <w:rFonts w:ascii="宋体" w:hAnsi="宋体" w:cs="宋体"/>
          <w:color w:val="auto"/>
          <w:szCs w:val="21"/>
          <w:highlight w:val="none"/>
        </w:rPr>
      </w:pPr>
      <w:r>
        <w:rPr>
          <w:rFonts w:hint="eastAsia" w:ascii="宋体" w:hAnsi="宋体" w:cs="宋体"/>
          <w:color w:val="auto"/>
          <w:szCs w:val="21"/>
          <w:highlight w:val="none"/>
        </w:rPr>
        <w:t>1.11.2 关于承包人为实施工程所编制文件的著作权的归属：</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41B7FE3">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1.11.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关于承包人提供的上述文件的使用限制的要求：</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14:paraId="688C80FE">
      <w:pPr>
        <w:spacing w:line="360" w:lineRule="auto"/>
        <w:rPr>
          <w:rFonts w:ascii="宋体" w:hAnsi="宋体" w:cs="宋体"/>
          <w:color w:val="auto"/>
          <w:szCs w:val="21"/>
          <w:highlight w:val="none"/>
        </w:rPr>
      </w:pPr>
      <w:r>
        <w:rPr>
          <w:rFonts w:hint="eastAsia" w:ascii="宋体" w:hAnsi="宋体" w:cs="宋体"/>
          <w:color w:val="auto"/>
          <w:szCs w:val="21"/>
          <w:highlight w:val="none"/>
        </w:rPr>
        <w:t>1.11.4 承包人在施工过程中所采用的专利、专有技术、技术秘密的使用费的承担方式：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3A2A1EC">
      <w:pPr>
        <w:spacing w:after="120" w:line="360" w:lineRule="auto"/>
        <w:rPr>
          <w:rFonts w:ascii="宋体" w:hAnsi="宋体" w:cs="宋体"/>
          <w:color w:val="auto"/>
          <w:szCs w:val="21"/>
          <w:highlight w:val="none"/>
        </w:rPr>
      </w:pPr>
      <w:r>
        <w:rPr>
          <w:rFonts w:hint="eastAsia" w:ascii="宋体" w:hAnsi="宋体" w:cs="宋体"/>
          <w:color w:val="auto"/>
          <w:szCs w:val="21"/>
          <w:highlight w:val="none"/>
        </w:rPr>
        <w:t>1.13工程量清单错误的修正</w:t>
      </w:r>
    </w:p>
    <w:p w14:paraId="6473975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出现工程量清单错误时，是否调整合同价格：</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A3E002A">
      <w:pPr>
        <w:spacing w:line="360" w:lineRule="auto"/>
        <w:ind w:firstLine="420"/>
        <w:rPr>
          <w:rFonts w:ascii="宋体" w:hAnsi="宋体" w:cs="宋体"/>
          <w:color w:val="auto"/>
          <w:szCs w:val="21"/>
          <w:highlight w:val="none"/>
          <w:u w:val="single"/>
        </w:rPr>
      </w:pPr>
      <w:r>
        <w:rPr>
          <w:rFonts w:hint="eastAsia" w:ascii="宋体" w:hAnsi="宋体" w:cs="宋体"/>
          <w:color w:val="auto"/>
          <w:szCs w:val="21"/>
          <w:highlight w:val="none"/>
        </w:rPr>
        <w:t>允许调整合同价格的工程量偏差范围：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30434E8">
      <w:pPr>
        <w:keepNext/>
        <w:keepLines/>
        <w:spacing w:before="120" w:after="120" w:line="360" w:lineRule="auto"/>
        <w:outlineLvl w:val="3"/>
        <w:rPr>
          <w:rFonts w:ascii="宋体" w:hAnsi="宋体" w:cs="宋体"/>
          <w:bCs/>
          <w:color w:val="auto"/>
          <w:szCs w:val="21"/>
          <w:highlight w:val="none"/>
        </w:rPr>
      </w:pPr>
      <w:r>
        <w:rPr>
          <w:rFonts w:hint="eastAsia" w:ascii="宋体" w:hAnsi="宋体" w:cs="宋体"/>
          <w:bCs/>
          <w:color w:val="auto"/>
          <w:szCs w:val="21"/>
          <w:highlight w:val="none"/>
        </w:rPr>
        <w:t>2. 发包人</w:t>
      </w:r>
    </w:p>
    <w:p w14:paraId="3BCB4B7E">
      <w:pPr>
        <w:spacing w:after="120" w:line="360" w:lineRule="auto"/>
        <w:rPr>
          <w:rFonts w:ascii="宋体" w:hAnsi="宋体" w:cs="宋体"/>
          <w:color w:val="auto"/>
          <w:szCs w:val="21"/>
          <w:highlight w:val="none"/>
        </w:rPr>
      </w:pPr>
      <w:r>
        <w:rPr>
          <w:rFonts w:hint="eastAsia" w:ascii="宋体" w:hAnsi="宋体" w:cs="宋体"/>
          <w:color w:val="auto"/>
          <w:szCs w:val="21"/>
          <w:highlight w:val="none"/>
        </w:rPr>
        <w:t>2.2 发包人代表</w:t>
      </w:r>
    </w:p>
    <w:p w14:paraId="23B7323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发包人代表：</w:t>
      </w:r>
    </w:p>
    <w:p w14:paraId="02256DD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4FC0798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5E18A61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2C21106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   </w:t>
      </w:r>
      <w:r>
        <w:rPr>
          <w:rFonts w:hint="eastAsia" w:ascii="宋体" w:hAnsi="宋体" w:cs="宋体"/>
          <w:color w:val="auto"/>
          <w:szCs w:val="21"/>
          <w:highlight w:val="none"/>
        </w:rPr>
        <w:t>；</w:t>
      </w:r>
    </w:p>
    <w:p w14:paraId="7834210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   </w:t>
      </w:r>
      <w:r>
        <w:rPr>
          <w:rFonts w:hint="eastAsia" w:ascii="宋体" w:hAnsi="宋体" w:cs="宋体"/>
          <w:color w:val="auto"/>
          <w:szCs w:val="21"/>
          <w:highlight w:val="none"/>
        </w:rPr>
        <w:t>；</w:t>
      </w:r>
    </w:p>
    <w:p w14:paraId="6711909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08293443">
      <w:pPr>
        <w:spacing w:line="360" w:lineRule="auto"/>
        <w:ind w:firstLine="420"/>
        <w:rPr>
          <w:rFonts w:ascii="宋体" w:hAnsi="宋体" w:cs="宋体"/>
          <w:color w:val="auto"/>
          <w:szCs w:val="21"/>
          <w:highlight w:val="none"/>
          <w:u w:val="single"/>
        </w:rPr>
      </w:pPr>
      <w:r>
        <w:rPr>
          <w:rFonts w:hint="eastAsia" w:ascii="宋体" w:hAnsi="宋体" w:cs="宋体"/>
          <w:color w:val="auto"/>
          <w:szCs w:val="21"/>
          <w:highlight w:val="none"/>
        </w:rPr>
        <w:t>发包人对发包人代表的授权范围如下：</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9EB9DDC">
      <w:pPr>
        <w:spacing w:after="120" w:line="360" w:lineRule="auto"/>
        <w:rPr>
          <w:rFonts w:ascii="宋体" w:hAnsi="宋体" w:cs="宋体"/>
          <w:color w:val="auto"/>
          <w:szCs w:val="21"/>
          <w:highlight w:val="none"/>
        </w:rPr>
      </w:pPr>
      <w:r>
        <w:rPr>
          <w:rFonts w:hint="eastAsia" w:ascii="宋体" w:hAnsi="宋体" w:cs="宋体"/>
          <w:color w:val="auto"/>
          <w:szCs w:val="21"/>
          <w:highlight w:val="none"/>
        </w:rPr>
        <w:t>2.4 施工现场、施工条件和基础资料的提供</w:t>
      </w:r>
    </w:p>
    <w:p w14:paraId="7211A588">
      <w:pPr>
        <w:spacing w:line="360" w:lineRule="auto"/>
        <w:rPr>
          <w:rFonts w:ascii="宋体" w:hAnsi="宋体" w:cs="宋体"/>
          <w:color w:val="auto"/>
          <w:szCs w:val="21"/>
          <w:highlight w:val="none"/>
        </w:rPr>
      </w:pPr>
      <w:r>
        <w:rPr>
          <w:rFonts w:hint="eastAsia" w:ascii="宋体" w:hAnsi="宋体" w:cs="宋体"/>
          <w:color w:val="auto"/>
          <w:szCs w:val="21"/>
          <w:highlight w:val="none"/>
        </w:rPr>
        <w:t>2.4.1 提供施工现场</w:t>
      </w:r>
    </w:p>
    <w:p w14:paraId="3955A3D5">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关于发包人移交施工现场的期限要求：</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14:paraId="24B477F3">
      <w:pPr>
        <w:spacing w:line="360" w:lineRule="auto"/>
        <w:rPr>
          <w:rFonts w:ascii="宋体" w:hAnsi="宋体" w:cs="宋体"/>
          <w:color w:val="auto"/>
          <w:szCs w:val="21"/>
          <w:highlight w:val="none"/>
        </w:rPr>
      </w:pPr>
      <w:r>
        <w:rPr>
          <w:rFonts w:hint="eastAsia" w:ascii="宋体" w:hAnsi="宋体" w:cs="宋体"/>
          <w:color w:val="auto"/>
          <w:szCs w:val="21"/>
          <w:highlight w:val="none"/>
        </w:rPr>
        <w:t>2.4.2 提供施工条件</w:t>
      </w:r>
    </w:p>
    <w:p w14:paraId="66760334">
      <w:pPr>
        <w:spacing w:line="360" w:lineRule="auto"/>
        <w:ind w:firstLine="420"/>
        <w:rPr>
          <w:rFonts w:ascii="宋体" w:hAnsi="宋体" w:cs="宋体"/>
          <w:color w:val="auto"/>
          <w:szCs w:val="21"/>
          <w:highlight w:val="none"/>
          <w:u w:val="single"/>
        </w:rPr>
      </w:pPr>
      <w:r>
        <w:rPr>
          <w:rFonts w:hint="eastAsia" w:ascii="宋体" w:hAnsi="宋体" w:cs="宋体"/>
          <w:color w:val="auto"/>
          <w:szCs w:val="21"/>
          <w:highlight w:val="none"/>
        </w:rPr>
        <w:t>关于发包人应负责提供施工所需要的条件，包括：</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A58B865">
      <w:pPr>
        <w:spacing w:after="120" w:line="360" w:lineRule="auto"/>
        <w:rPr>
          <w:rFonts w:ascii="宋体" w:hAnsi="宋体" w:cs="宋体"/>
          <w:color w:val="auto"/>
          <w:szCs w:val="21"/>
          <w:highlight w:val="none"/>
        </w:rPr>
      </w:pPr>
      <w:r>
        <w:rPr>
          <w:rFonts w:hint="eastAsia" w:ascii="宋体" w:hAnsi="宋体" w:cs="宋体"/>
          <w:color w:val="auto"/>
          <w:szCs w:val="21"/>
          <w:highlight w:val="none"/>
        </w:rPr>
        <w:t>2.5 资金来源证明及支付担保</w:t>
      </w:r>
    </w:p>
    <w:p w14:paraId="1AEA019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发包人提供资金来源证明的期限要求：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51A649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发包人是否提供支付担保：</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E6B6344">
      <w:pPr>
        <w:spacing w:line="360" w:lineRule="auto"/>
        <w:ind w:firstLine="420"/>
        <w:rPr>
          <w:rFonts w:ascii="宋体" w:hAnsi="宋体" w:cs="宋体"/>
          <w:color w:val="auto"/>
          <w:szCs w:val="21"/>
          <w:highlight w:val="none"/>
          <w:u w:val="single"/>
        </w:rPr>
      </w:pPr>
      <w:r>
        <w:rPr>
          <w:rFonts w:hint="eastAsia" w:ascii="宋体" w:hAnsi="宋体" w:cs="宋体"/>
          <w:color w:val="auto"/>
          <w:szCs w:val="21"/>
          <w:highlight w:val="none"/>
        </w:rPr>
        <w:t>发包人提供支付担保的形式：</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2ED40A0F">
      <w:pPr>
        <w:keepNext/>
        <w:keepLines/>
        <w:spacing w:before="120" w:after="120" w:line="360" w:lineRule="auto"/>
        <w:outlineLvl w:val="3"/>
        <w:rPr>
          <w:rFonts w:ascii="宋体" w:hAnsi="宋体" w:cs="宋体"/>
          <w:bCs/>
          <w:color w:val="auto"/>
          <w:szCs w:val="21"/>
          <w:highlight w:val="none"/>
        </w:rPr>
      </w:pPr>
      <w:r>
        <w:rPr>
          <w:rFonts w:hint="eastAsia" w:ascii="宋体" w:hAnsi="宋体" w:cs="宋体"/>
          <w:bCs/>
          <w:color w:val="auto"/>
          <w:szCs w:val="21"/>
          <w:highlight w:val="none"/>
        </w:rPr>
        <w:t>3. 承包人</w:t>
      </w:r>
    </w:p>
    <w:p w14:paraId="34041366">
      <w:pPr>
        <w:spacing w:after="120" w:line="360" w:lineRule="auto"/>
        <w:rPr>
          <w:rFonts w:ascii="宋体" w:hAnsi="宋体" w:cs="宋体"/>
          <w:color w:val="auto"/>
          <w:szCs w:val="21"/>
          <w:highlight w:val="none"/>
        </w:rPr>
      </w:pPr>
      <w:r>
        <w:rPr>
          <w:rFonts w:hint="eastAsia" w:ascii="宋体" w:hAnsi="宋体" w:cs="宋体"/>
          <w:color w:val="auto"/>
          <w:szCs w:val="21"/>
          <w:highlight w:val="none"/>
        </w:rPr>
        <w:t>3.1 承包人的一般义务</w:t>
      </w:r>
    </w:p>
    <w:p w14:paraId="6767B44B">
      <w:pPr>
        <w:spacing w:line="360" w:lineRule="auto"/>
        <w:ind w:firstLine="420"/>
        <w:jc w:val="left"/>
        <w:rPr>
          <w:rFonts w:ascii="宋体" w:hAnsi="宋体" w:cs="宋体"/>
          <w:color w:val="auto"/>
          <w:szCs w:val="21"/>
          <w:highlight w:val="none"/>
          <w:u w:val="single"/>
        </w:rPr>
      </w:pPr>
      <w:r>
        <w:rPr>
          <w:rFonts w:hint="eastAsia" w:ascii="宋体" w:hAnsi="宋体" w:cs="宋体"/>
          <w:color w:val="auto"/>
          <w:szCs w:val="21"/>
          <w:highlight w:val="none"/>
        </w:rPr>
        <w:t>（1）承包人提交的竣工资料的内容：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99EDD16">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（2）承包人需要提交的竣工资料套数：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2088AE0">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（3)承包人提交的竣工资料的费用承担：</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C609A79">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(4)承包人提交的竣工资料移交时间：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0E0ACC3">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(5)承包人提交的竣工资料形式要求：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B420C4E">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(6)承包人向发包人提交已完工程量报告的时间：</w:t>
      </w:r>
    </w:p>
    <w:p w14:paraId="169E5C00">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每2个月为一个计量周期，承包人于第3个月15日前提交上个月维护任务完整的工程结算报告（含已完工程量报告）及相关结算资料4套（若有特殊情况，须经发包人及代理发包人共同确认可适当延长竣工资料递交时间，至多不能超过30日历天），发包人接到后</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天内核实工程结算报告（含已完工程量报告）及相关结算资料，并在核实前1天通知承包人，承包人应提供条件并派人参加核实，承包人收到通知后不参加核实，以发包人核实的工程结算报告（含已完工程量报告）及相关结算资料作为工程价款支付的依据。发包人不按约定时间通知承包人，致使承包人未能参加核实，核实结果无效。</w:t>
      </w:r>
    </w:p>
    <w:p w14:paraId="434CF338">
      <w:pPr>
        <w:spacing w:line="360" w:lineRule="auto"/>
        <w:ind w:firstLine="420"/>
        <w:rPr>
          <w:rFonts w:ascii="宋体" w:hAnsi="宋体" w:cs="宋体"/>
          <w:color w:val="auto"/>
          <w:szCs w:val="21"/>
          <w:highlight w:val="none"/>
          <w:u w:val="single"/>
        </w:rPr>
      </w:pPr>
      <w:r>
        <w:rPr>
          <w:rFonts w:hint="eastAsia" w:ascii="宋体" w:hAnsi="宋体" w:cs="宋体"/>
          <w:color w:val="auto"/>
          <w:szCs w:val="21"/>
          <w:highlight w:val="none"/>
        </w:rPr>
        <w:t>（7）承包人提供竣工资料的约定：</w:t>
      </w:r>
      <w:r>
        <w:rPr>
          <w:rFonts w:hint="eastAsia" w:ascii="宋体" w:hAnsi="宋体" w:cs="宋体"/>
          <w:color w:val="auto"/>
          <w:szCs w:val="21"/>
          <w:highlight w:val="none"/>
          <w:u w:val="single"/>
        </w:rPr>
        <w:t>每2个月为一个周期，承包人于第3个月15日前提交上个月维护任务完整的工程结算报告及相关结算资料4套（若有特殊情况，须经发包人及代理发包人共同确认可适当延长竣工资料递交时间，至多不能超过30日历天）；所有工程资料要求做到真实、完整。</w:t>
      </w:r>
    </w:p>
    <w:p w14:paraId="6F362828">
      <w:pPr>
        <w:spacing w:line="360" w:lineRule="auto"/>
        <w:ind w:firstLine="420"/>
        <w:rPr>
          <w:rFonts w:ascii="宋体" w:hAnsi="宋体" w:cs="宋体"/>
          <w:color w:val="auto"/>
          <w:szCs w:val="21"/>
          <w:highlight w:val="none"/>
          <w:u w:val="single"/>
        </w:rPr>
      </w:pPr>
      <w:r>
        <w:rPr>
          <w:rFonts w:hint="eastAsia" w:ascii="宋体" w:hAnsi="宋体" w:cs="宋体"/>
          <w:color w:val="auto"/>
          <w:szCs w:val="21"/>
          <w:highlight w:val="none"/>
          <w:u w:val="single"/>
        </w:rPr>
        <w:t>如承包人未能按规定时间递交竣工结算报告及完整的结算资料的，不得向发包人要求结算工程余款，且延误时间超过30日历天的，发包人将不再认可所有相关维护任务工程量，一切损失由承包人承担，如因此造成发包人损失的，应按实承担赔偿责任。</w:t>
      </w:r>
    </w:p>
    <w:p w14:paraId="2F3E6AE5">
      <w:pPr>
        <w:spacing w:line="360" w:lineRule="auto"/>
        <w:ind w:firstLine="210"/>
        <w:rPr>
          <w:rFonts w:ascii="宋体" w:hAnsi="宋体" w:cs="宋体"/>
          <w:color w:val="auto"/>
          <w:szCs w:val="21"/>
          <w:highlight w:val="none"/>
        </w:rPr>
      </w:pPr>
      <w:r>
        <w:rPr>
          <w:rFonts w:hint="eastAsia" w:ascii="宋体" w:hAnsi="宋体" w:cs="宋体"/>
          <w:color w:val="auto"/>
          <w:szCs w:val="21"/>
          <w:highlight w:val="none"/>
        </w:rPr>
        <w:t>（8）承包人应履行的其他义务：</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250B11F">
      <w:pPr>
        <w:spacing w:after="120" w:line="360" w:lineRule="auto"/>
        <w:rPr>
          <w:rFonts w:ascii="宋体" w:hAnsi="宋体" w:cs="宋体"/>
          <w:color w:val="auto"/>
          <w:szCs w:val="21"/>
          <w:highlight w:val="none"/>
        </w:rPr>
      </w:pPr>
      <w:r>
        <w:rPr>
          <w:rFonts w:hint="eastAsia" w:ascii="宋体" w:hAnsi="宋体" w:cs="宋体"/>
          <w:color w:val="auto"/>
          <w:szCs w:val="21"/>
          <w:highlight w:val="none"/>
        </w:rPr>
        <w:t>3.2 项目经理</w:t>
      </w:r>
    </w:p>
    <w:p w14:paraId="39E05820">
      <w:pPr>
        <w:spacing w:line="360" w:lineRule="auto"/>
        <w:rPr>
          <w:rFonts w:ascii="宋体" w:hAnsi="宋体" w:cs="宋体"/>
          <w:color w:val="auto"/>
          <w:szCs w:val="21"/>
          <w:highlight w:val="none"/>
        </w:rPr>
      </w:pPr>
      <w:r>
        <w:rPr>
          <w:rFonts w:hint="eastAsia" w:ascii="宋体" w:hAnsi="宋体" w:cs="宋体"/>
          <w:color w:val="auto"/>
          <w:szCs w:val="21"/>
          <w:highlight w:val="none"/>
        </w:rPr>
        <w:t>3.2.1 项目经理：</w:t>
      </w:r>
    </w:p>
    <w:p w14:paraId="47F6AEA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0B5883F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6D1EB4E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建造师执业资格等级：</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09126FE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建造师注册证书号：</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12AC6FE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建造师执业印章号：</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77216B3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安全生产考核合格证书号：</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5A8E0C6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377EE2D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6E98405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587594B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承包人对项目经理的授权范围如下：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7FEB20A">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关于项目经理每月在施工现场的时间要求：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F5A7E8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承包人未提交劳动合同，以及没有为项目经理缴纳社会保险证明的违约责任：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CAD3F0D">
      <w:pPr>
        <w:spacing w:line="360" w:lineRule="auto"/>
        <w:ind w:firstLine="420"/>
        <w:rPr>
          <w:rFonts w:ascii="宋体" w:hAnsi="宋体" w:cs="宋体"/>
          <w:color w:val="auto"/>
          <w:szCs w:val="21"/>
          <w:highlight w:val="none"/>
          <w:u w:val="single"/>
        </w:rPr>
      </w:pPr>
      <w:r>
        <w:rPr>
          <w:rFonts w:hint="eastAsia" w:ascii="宋体" w:hAnsi="宋体" w:cs="宋体"/>
          <w:color w:val="auto"/>
          <w:szCs w:val="21"/>
          <w:highlight w:val="none"/>
        </w:rPr>
        <w:t>项目经理未经批准，擅自离开施工现场的违约责任：</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58FF38C">
      <w:pPr>
        <w:spacing w:line="360" w:lineRule="auto"/>
        <w:rPr>
          <w:rFonts w:ascii="宋体" w:hAnsi="宋体" w:cs="宋体"/>
          <w:color w:val="auto"/>
          <w:szCs w:val="21"/>
          <w:highlight w:val="none"/>
        </w:rPr>
      </w:pPr>
      <w:r>
        <w:rPr>
          <w:rFonts w:hint="eastAsia" w:ascii="宋体" w:hAnsi="宋体" w:cs="宋体"/>
          <w:color w:val="auto"/>
          <w:szCs w:val="21"/>
          <w:highlight w:val="none"/>
        </w:rPr>
        <w:t>3.2.3 承包人擅自更换项目经理的违约责任：</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9CDF183">
      <w:pPr>
        <w:spacing w:line="360" w:lineRule="auto"/>
        <w:rPr>
          <w:rFonts w:ascii="宋体" w:hAnsi="宋体" w:cs="宋体"/>
          <w:color w:val="auto"/>
          <w:szCs w:val="21"/>
          <w:highlight w:val="none"/>
        </w:rPr>
      </w:pPr>
      <w:r>
        <w:rPr>
          <w:rFonts w:hint="eastAsia" w:ascii="宋体" w:hAnsi="宋体" w:cs="宋体"/>
          <w:color w:val="auto"/>
          <w:szCs w:val="21"/>
          <w:highlight w:val="none"/>
        </w:rPr>
        <w:t>3.2.4 承包人无正当理由拒绝更换项目经理的违约责任：</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1668AD5">
      <w:pPr>
        <w:spacing w:after="120" w:line="360" w:lineRule="auto"/>
        <w:rPr>
          <w:rFonts w:ascii="宋体" w:hAnsi="宋体" w:cs="宋体"/>
          <w:color w:val="auto"/>
          <w:szCs w:val="21"/>
          <w:highlight w:val="none"/>
        </w:rPr>
      </w:pPr>
      <w:r>
        <w:rPr>
          <w:rFonts w:hint="eastAsia" w:ascii="宋体" w:hAnsi="宋体" w:cs="宋体"/>
          <w:color w:val="auto"/>
          <w:szCs w:val="21"/>
          <w:highlight w:val="none"/>
        </w:rPr>
        <w:t>3.3 承包人人员</w:t>
      </w:r>
    </w:p>
    <w:p w14:paraId="38EFB7A2">
      <w:pPr>
        <w:spacing w:line="360" w:lineRule="auto"/>
        <w:rPr>
          <w:rFonts w:ascii="宋体" w:hAnsi="宋体" w:cs="宋体"/>
          <w:color w:val="auto"/>
          <w:szCs w:val="21"/>
          <w:highlight w:val="none"/>
        </w:rPr>
      </w:pPr>
      <w:r>
        <w:rPr>
          <w:rFonts w:hint="eastAsia" w:ascii="宋体" w:hAnsi="宋体" w:cs="宋体"/>
          <w:color w:val="auto"/>
          <w:szCs w:val="21"/>
          <w:highlight w:val="none"/>
        </w:rPr>
        <w:t>3.3.1 承包人提交项目管理机构及施工现场管理人员安排报告的期限：</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14:paraId="52AA5953">
      <w:pPr>
        <w:spacing w:line="360" w:lineRule="auto"/>
        <w:rPr>
          <w:rFonts w:ascii="宋体" w:hAnsi="宋体" w:cs="宋体"/>
          <w:color w:val="auto"/>
          <w:szCs w:val="21"/>
          <w:highlight w:val="none"/>
        </w:rPr>
      </w:pPr>
      <w:r>
        <w:rPr>
          <w:rFonts w:hint="eastAsia" w:ascii="宋体" w:hAnsi="宋体" w:cs="宋体"/>
          <w:color w:val="auto"/>
          <w:szCs w:val="21"/>
          <w:highlight w:val="none"/>
        </w:rPr>
        <w:t>3.3.3 承包人无正当理由拒绝撤换主要施工管理人员的违约责任：</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14:paraId="404F9DA3">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3.3.4 承包人主要施工管理人员离开施工现场的批准要求：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0FE8A7A">
      <w:pPr>
        <w:spacing w:line="360" w:lineRule="auto"/>
        <w:rPr>
          <w:rFonts w:ascii="宋体" w:hAnsi="宋体" w:cs="宋体"/>
          <w:color w:val="auto"/>
          <w:szCs w:val="21"/>
          <w:highlight w:val="none"/>
        </w:rPr>
      </w:pPr>
      <w:r>
        <w:rPr>
          <w:rFonts w:hint="eastAsia" w:ascii="宋体" w:hAnsi="宋体" w:cs="宋体"/>
          <w:color w:val="auto"/>
          <w:szCs w:val="21"/>
          <w:highlight w:val="none"/>
        </w:rPr>
        <w:t>3.3.5承包人擅自更换主要施工管理人员的违约责任：</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58026AC">
      <w:pPr>
        <w:spacing w:line="360" w:lineRule="auto"/>
        <w:ind w:firstLine="525"/>
        <w:rPr>
          <w:rFonts w:ascii="宋体" w:hAnsi="宋体" w:cs="宋体"/>
          <w:color w:val="auto"/>
          <w:szCs w:val="21"/>
          <w:highlight w:val="none"/>
        </w:rPr>
      </w:pPr>
      <w:r>
        <w:rPr>
          <w:rFonts w:hint="eastAsia" w:ascii="宋体" w:hAnsi="宋体" w:cs="宋体"/>
          <w:color w:val="auto"/>
          <w:szCs w:val="21"/>
          <w:highlight w:val="none"/>
        </w:rPr>
        <w:t>承包人主要施工管理人员擅自离开施工现场的违约责任：</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E7E0270">
      <w:pPr>
        <w:spacing w:after="120" w:line="360" w:lineRule="auto"/>
        <w:rPr>
          <w:rFonts w:ascii="宋体" w:hAnsi="宋体" w:cs="宋体"/>
          <w:color w:val="auto"/>
          <w:szCs w:val="21"/>
          <w:highlight w:val="none"/>
        </w:rPr>
      </w:pPr>
      <w:r>
        <w:rPr>
          <w:rFonts w:hint="eastAsia" w:ascii="宋体" w:hAnsi="宋体" w:cs="宋体"/>
          <w:color w:val="auto"/>
          <w:szCs w:val="21"/>
          <w:highlight w:val="none"/>
        </w:rPr>
        <w:t>3.5 分包</w:t>
      </w:r>
    </w:p>
    <w:p w14:paraId="6BCD531B">
      <w:pPr>
        <w:spacing w:line="360" w:lineRule="auto"/>
        <w:rPr>
          <w:rFonts w:ascii="宋体" w:hAnsi="宋体" w:cs="宋体"/>
          <w:color w:val="auto"/>
          <w:szCs w:val="21"/>
          <w:highlight w:val="none"/>
        </w:rPr>
      </w:pPr>
      <w:r>
        <w:rPr>
          <w:rFonts w:hint="eastAsia" w:ascii="宋体" w:hAnsi="宋体" w:cs="宋体"/>
          <w:color w:val="auto"/>
          <w:szCs w:val="21"/>
          <w:highlight w:val="none"/>
        </w:rPr>
        <w:t>3.5.1 分包的一般约定</w:t>
      </w:r>
    </w:p>
    <w:p w14:paraId="7915EA29">
      <w:pPr>
        <w:spacing w:line="360" w:lineRule="auto"/>
        <w:ind w:firstLine="420"/>
        <w:jc w:val="left"/>
        <w:rPr>
          <w:rFonts w:ascii="宋体" w:hAnsi="宋体" w:cs="宋体"/>
          <w:color w:val="auto"/>
          <w:szCs w:val="21"/>
          <w:highlight w:val="none"/>
          <w:u w:val="single"/>
        </w:rPr>
      </w:pPr>
      <w:r>
        <w:rPr>
          <w:rFonts w:hint="eastAsia" w:ascii="宋体" w:hAnsi="宋体" w:cs="宋体"/>
          <w:color w:val="auto"/>
          <w:szCs w:val="21"/>
          <w:highlight w:val="none"/>
        </w:rPr>
        <w:t>本项目不允许分包。</w:t>
      </w:r>
    </w:p>
    <w:p w14:paraId="0BF0B10A">
      <w:pPr>
        <w:spacing w:line="360" w:lineRule="auto"/>
        <w:rPr>
          <w:rFonts w:ascii="宋体" w:hAnsi="宋体" w:cs="宋体"/>
          <w:color w:val="auto"/>
          <w:szCs w:val="21"/>
          <w:highlight w:val="none"/>
        </w:rPr>
      </w:pPr>
      <w:r>
        <w:rPr>
          <w:rFonts w:hint="eastAsia" w:ascii="宋体" w:hAnsi="宋体" w:cs="宋体"/>
          <w:color w:val="auto"/>
          <w:szCs w:val="21"/>
          <w:highlight w:val="none"/>
        </w:rPr>
        <w:t>3.5.2分包的确定</w:t>
      </w:r>
    </w:p>
    <w:p w14:paraId="2099185F">
      <w:pPr>
        <w:spacing w:line="360" w:lineRule="auto"/>
        <w:ind w:firstLine="420"/>
        <w:rPr>
          <w:rFonts w:ascii="宋体" w:hAnsi="宋体" w:cs="宋体"/>
          <w:color w:val="auto"/>
          <w:szCs w:val="21"/>
          <w:highlight w:val="none"/>
          <w:u w:val="single"/>
        </w:rPr>
      </w:pPr>
      <w:r>
        <w:rPr>
          <w:rFonts w:hint="eastAsia" w:ascii="宋体" w:hAnsi="宋体" w:cs="宋体"/>
          <w:color w:val="auto"/>
          <w:szCs w:val="21"/>
          <w:highlight w:val="none"/>
        </w:rPr>
        <w:t>允许分包的专业工程包括：</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p w14:paraId="50D5EEA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其他关于分包的约定：</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p w14:paraId="3A85580F">
      <w:pPr>
        <w:spacing w:line="360" w:lineRule="auto"/>
        <w:rPr>
          <w:rFonts w:ascii="宋体" w:hAnsi="宋体" w:cs="宋体"/>
          <w:color w:val="auto"/>
          <w:szCs w:val="21"/>
          <w:highlight w:val="none"/>
        </w:rPr>
      </w:pPr>
      <w:r>
        <w:rPr>
          <w:rFonts w:hint="eastAsia" w:ascii="宋体" w:hAnsi="宋体" w:cs="宋体"/>
          <w:color w:val="auto"/>
          <w:szCs w:val="21"/>
          <w:highlight w:val="none"/>
        </w:rPr>
        <w:t>3.5.4 分包合同价款</w:t>
      </w:r>
    </w:p>
    <w:p w14:paraId="76D7687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关于分包合同价款支付的约定：</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p w14:paraId="7F3B57D6">
      <w:pPr>
        <w:spacing w:after="120" w:line="360" w:lineRule="auto"/>
        <w:rPr>
          <w:rFonts w:ascii="宋体" w:hAnsi="宋体" w:cs="宋体"/>
          <w:color w:val="auto"/>
          <w:szCs w:val="21"/>
          <w:highlight w:val="none"/>
        </w:rPr>
      </w:pPr>
      <w:r>
        <w:rPr>
          <w:rFonts w:hint="eastAsia" w:ascii="宋体" w:hAnsi="宋体" w:cs="宋体"/>
          <w:color w:val="auto"/>
          <w:szCs w:val="21"/>
          <w:highlight w:val="none"/>
        </w:rPr>
        <w:t>3.6 工程照管与成品、半成品保护</w:t>
      </w:r>
    </w:p>
    <w:p w14:paraId="40A8EBD3">
      <w:pPr>
        <w:spacing w:before="120" w:after="120" w:line="360" w:lineRule="auto"/>
        <w:ind w:firstLine="420"/>
        <w:rPr>
          <w:rFonts w:ascii="宋体" w:hAnsi="宋体" w:cs="宋体"/>
          <w:color w:val="auto"/>
          <w:szCs w:val="21"/>
          <w:highlight w:val="none"/>
          <w:u w:val="single"/>
        </w:rPr>
      </w:pPr>
      <w:r>
        <w:rPr>
          <w:rFonts w:hint="eastAsia" w:ascii="宋体" w:hAnsi="宋体" w:cs="宋体"/>
          <w:color w:val="auto"/>
          <w:szCs w:val="21"/>
          <w:highlight w:val="none"/>
        </w:rPr>
        <w:t>承包人负责照管工程及工程相关的材料、工程设备的起始时间：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0875BC2">
      <w:pPr>
        <w:spacing w:after="120" w:line="360" w:lineRule="auto"/>
        <w:rPr>
          <w:rFonts w:ascii="宋体" w:hAnsi="宋体" w:cs="宋体"/>
          <w:color w:val="auto"/>
          <w:szCs w:val="21"/>
          <w:highlight w:val="none"/>
        </w:rPr>
      </w:pPr>
      <w:r>
        <w:rPr>
          <w:rFonts w:hint="eastAsia" w:ascii="宋体" w:hAnsi="宋体" w:cs="宋体"/>
          <w:color w:val="auto"/>
          <w:szCs w:val="21"/>
          <w:highlight w:val="none"/>
        </w:rPr>
        <w:t>3.7 履约担保</w:t>
      </w:r>
    </w:p>
    <w:p w14:paraId="2A57D53D">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承包人是否提供履约担保：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6C7BA09">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承包人提供履约担保的形式、金额及期限的：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5607046">
      <w:pPr>
        <w:spacing w:after="120" w:line="360" w:lineRule="auto"/>
        <w:rPr>
          <w:rFonts w:ascii="宋体" w:hAnsi="宋体" w:cs="宋体"/>
          <w:color w:val="auto"/>
          <w:szCs w:val="21"/>
          <w:highlight w:val="none"/>
        </w:rPr>
      </w:pPr>
      <w:r>
        <w:rPr>
          <w:rFonts w:hint="eastAsia" w:ascii="宋体" w:hAnsi="宋体" w:cs="宋体"/>
          <w:color w:val="auto"/>
          <w:szCs w:val="21"/>
          <w:highlight w:val="none"/>
        </w:rPr>
        <w:t>4. 商定或确定</w:t>
      </w:r>
    </w:p>
    <w:p w14:paraId="278FFA9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在发包人和承包人不能通过协商达成一致意见时，发包人授权监理人对以下事项进行确定：</w:t>
      </w:r>
    </w:p>
    <w:p w14:paraId="4BB5850D">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8043191">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9889749">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755B4C5">
      <w:pPr>
        <w:keepNext/>
        <w:keepLines/>
        <w:spacing w:before="120" w:after="120" w:line="360" w:lineRule="auto"/>
        <w:outlineLvl w:val="3"/>
        <w:rPr>
          <w:rFonts w:ascii="宋体" w:hAnsi="宋体" w:cs="宋体"/>
          <w:bCs/>
          <w:color w:val="auto"/>
          <w:szCs w:val="21"/>
          <w:highlight w:val="none"/>
        </w:rPr>
      </w:pPr>
      <w:r>
        <w:rPr>
          <w:rFonts w:hint="eastAsia" w:ascii="宋体" w:hAnsi="宋体" w:cs="宋体"/>
          <w:bCs/>
          <w:color w:val="auto"/>
          <w:szCs w:val="21"/>
          <w:highlight w:val="none"/>
        </w:rPr>
        <w:t>5. 工程质量</w:t>
      </w:r>
    </w:p>
    <w:p w14:paraId="5A63932C">
      <w:pPr>
        <w:spacing w:after="120" w:line="360" w:lineRule="auto"/>
        <w:rPr>
          <w:rFonts w:ascii="宋体" w:hAnsi="宋体" w:cs="宋体"/>
          <w:color w:val="auto"/>
          <w:szCs w:val="21"/>
          <w:highlight w:val="none"/>
        </w:rPr>
      </w:pPr>
      <w:r>
        <w:rPr>
          <w:rFonts w:hint="eastAsia" w:ascii="宋体" w:hAnsi="宋体" w:cs="宋体"/>
          <w:color w:val="auto"/>
          <w:szCs w:val="21"/>
          <w:highlight w:val="none"/>
        </w:rPr>
        <w:t>5.1 质量要求</w:t>
      </w:r>
    </w:p>
    <w:p w14:paraId="36514C5F">
      <w:pPr>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5.1.1 特殊质量标准和要求：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32DAAF8">
      <w:pPr>
        <w:spacing w:line="360" w:lineRule="auto"/>
        <w:ind w:firstLine="420"/>
        <w:jc w:val="left"/>
        <w:rPr>
          <w:rFonts w:ascii="宋体" w:hAnsi="宋体" w:cs="宋体"/>
          <w:color w:val="auto"/>
          <w:szCs w:val="21"/>
          <w:highlight w:val="none"/>
          <w:u w:val="single"/>
        </w:rPr>
      </w:pPr>
      <w:r>
        <w:rPr>
          <w:rFonts w:hint="eastAsia" w:ascii="宋体" w:hAnsi="宋体" w:cs="宋体"/>
          <w:color w:val="auto"/>
          <w:szCs w:val="21"/>
          <w:highlight w:val="none"/>
        </w:rPr>
        <w:t>关于工程奖项的约定：</w:t>
      </w:r>
      <w:r>
        <w:rPr>
          <w:rFonts w:hint="eastAsia" w:ascii="宋体" w:hAnsi="宋体" w:cs="宋体"/>
          <w:color w:val="auto"/>
          <w:szCs w:val="21"/>
          <w:highlight w:val="none"/>
          <w:u w:val="single"/>
        </w:rPr>
        <w:t xml:space="preserve">                                  </w:t>
      </w:r>
    </w:p>
    <w:p w14:paraId="735116A7">
      <w:pPr>
        <w:spacing w:line="360" w:lineRule="auto"/>
        <w:jc w:val="left"/>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7EF375A">
      <w:pPr>
        <w:spacing w:after="120" w:line="360" w:lineRule="auto"/>
        <w:rPr>
          <w:rFonts w:ascii="宋体" w:hAnsi="宋体" w:cs="宋体"/>
          <w:color w:val="auto"/>
          <w:szCs w:val="21"/>
          <w:highlight w:val="none"/>
        </w:rPr>
      </w:pPr>
      <w:r>
        <w:rPr>
          <w:rFonts w:hint="eastAsia" w:ascii="宋体" w:hAnsi="宋体" w:cs="宋体"/>
          <w:color w:val="auto"/>
          <w:szCs w:val="21"/>
          <w:highlight w:val="none"/>
        </w:rPr>
        <w:t>5.3 隐蔽工程检查</w:t>
      </w:r>
    </w:p>
    <w:p w14:paraId="16A48F1A">
      <w:pPr>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5.3.2承包人提前通知监理人隐蔽工程检查的期限的约定：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FEC27BA">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监理人不能按时进行检查时，应提前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小时提交书面延期要求。</w:t>
      </w:r>
    </w:p>
    <w:p w14:paraId="590F5D18">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小时。</w:t>
      </w:r>
    </w:p>
    <w:p w14:paraId="58A2C254">
      <w:pPr>
        <w:keepNext/>
        <w:keepLines/>
        <w:spacing w:before="120" w:after="120" w:line="360" w:lineRule="auto"/>
        <w:outlineLvl w:val="3"/>
        <w:rPr>
          <w:rFonts w:ascii="宋体" w:hAnsi="宋体" w:cs="宋体"/>
          <w:bCs/>
          <w:color w:val="auto"/>
          <w:szCs w:val="21"/>
          <w:highlight w:val="none"/>
        </w:rPr>
      </w:pPr>
      <w:r>
        <w:rPr>
          <w:rFonts w:hint="eastAsia" w:ascii="宋体" w:hAnsi="宋体" w:cs="宋体"/>
          <w:bCs/>
          <w:color w:val="auto"/>
          <w:szCs w:val="21"/>
          <w:highlight w:val="none"/>
        </w:rPr>
        <w:t>6. 安全文明施工与环境保护</w:t>
      </w:r>
    </w:p>
    <w:p w14:paraId="2DEB8186">
      <w:pPr>
        <w:spacing w:after="120" w:line="360" w:lineRule="auto"/>
        <w:rPr>
          <w:rFonts w:ascii="宋体" w:hAnsi="宋体" w:cs="宋体"/>
          <w:color w:val="auto"/>
          <w:szCs w:val="21"/>
          <w:highlight w:val="none"/>
        </w:rPr>
      </w:pPr>
      <w:r>
        <w:rPr>
          <w:rFonts w:hint="eastAsia" w:ascii="宋体" w:hAnsi="宋体" w:cs="宋体"/>
          <w:color w:val="auto"/>
          <w:szCs w:val="21"/>
          <w:highlight w:val="none"/>
        </w:rPr>
        <w:t>6.1安全文明施工</w:t>
      </w:r>
    </w:p>
    <w:p w14:paraId="038AAA69">
      <w:pPr>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6.1.1 项目安全生产的达标目标及相应事项的约定：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B926418">
      <w:pPr>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6.1.4 关于治安保卫的特别约定：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BB42B01">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关于编制施工场地治安管理计划的约定：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04E30CE">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6.1.5 文明施工</w:t>
      </w:r>
    </w:p>
    <w:p w14:paraId="28F9FE52">
      <w:pPr>
        <w:spacing w:line="360" w:lineRule="auto"/>
        <w:ind w:firstLine="420"/>
        <w:jc w:val="left"/>
        <w:rPr>
          <w:rFonts w:ascii="宋体" w:hAnsi="宋体" w:cs="宋体"/>
          <w:color w:val="auto"/>
          <w:szCs w:val="21"/>
          <w:highlight w:val="none"/>
          <w:u w:val="single"/>
        </w:rPr>
      </w:pPr>
      <w:r>
        <w:rPr>
          <w:rFonts w:hint="eastAsia" w:ascii="宋体" w:hAnsi="宋体" w:cs="宋体"/>
          <w:color w:val="auto"/>
          <w:szCs w:val="21"/>
          <w:highlight w:val="none"/>
        </w:rPr>
        <w:t>合同当事人对文明施工的要求：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F23CA39">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6.1.6 关于安全文明施工费支付比例和支付期限的约定：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058DC4A">
      <w:pPr>
        <w:keepNext/>
        <w:keepLines/>
        <w:spacing w:before="120" w:after="120" w:line="360" w:lineRule="auto"/>
        <w:outlineLvl w:val="3"/>
        <w:rPr>
          <w:rFonts w:ascii="宋体" w:hAnsi="宋体" w:cs="宋体"/>
          <w:bCs/>
          <w:color w:val="auto"/>
          <w:szCs w:val="21"/>
          <w:highlight w:val="none"/>
        </w:rPr>
      </w:pPr>
      <w:r>
        <w:rPr>
          <w:rFonts w:hint="eastAsia" w:ascii="宋体" w:hAnsi="宋体" w:cs="宋体"/>
          <w:bCs/>
          <w:color w:val="auto"/>
          <w:szCs w:val="21"/>
          <w:highlight w:val="none"/>
        </w:rPr>
        <w:t>7. 工期和进度</w:t>
      </w:r>
    </w:p>
    <w:p w14:paraId="6D663909">
      <w:pPr>
        <w:spacing w:after="120" w:line="360" w:lineRule="auto"/>
        <w:rPr>
          <w:rFonts w:ascii="宋体" w:hAnsi="宋体" w:cs="宋体"/>
          <w:color w:val="auto"/>
          <w:szCs w:val="21"/>
          <w:highlight w:val="none"/>
        </w:rPr>
      </w:pPr>
      <w:r>
        <w:rPr>
          <w:rFonts w:hint="eastAsia" w:ascii="宋体" w:hAnsi="宋体" w:cs="宋体"/>
          <w:color w:val="auto"/>
          <w:szCs w:val="21"/>
          <w:highlight w:val="none"/>
        </w:rPr>
        <w:t>7.1 施工组织设计</w:t>
      </w:r>
    </w:p>
    <w:p w14:paraId="346AE5F8">
      <w:pPr>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7.1.1 合同当事人约定的施工组织设计应包括的其他内容：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3DD244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7.1.2 施工组织设计的提交和修改</w:t>
      </w:r>
    </w:p>
    <w:p w14:paraId="21DA32F9">
      <w:pPr>
        <w:spacing w:line="360" w:lineRule="auto"/>
        <w:ind w:firstLine="420"/>
        <w:jc w:val="left"/>
        <w:rPr>
          <w:rFonts w:ascii="宋体" w:hAnsi="宋体" w:cs="宋体"/>
          <w:color w:val="auto"/>
          <w:szCs w:val="21"/>
          <w:highlight w:val="none"/>
          <w:u w:val="single"/>
        </w:rPr>
      </w:pPr>
      <w:r>
        <w:rPr>
          <w:rFonts w:hint="eastAsia" w:ascii="宋体" w:hAnsi="宋体" w:cs="宋体"/>
          <w:color w:val="auto"/>
          <w:szCs w:val="21"/>
          <w:highlight w:val="none"/>
        </w:rPr>
        <w:t>承包人提交详细施工组织设计的期限的约定：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11BECD7">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发包人和监理人在收到详细的施工组织设计后确认或提出修改意见的期限：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2199059">
      <w:pPr>
        <w:spacing w:after="120" w:line="360" w:lineRule="auto"/>
        <w:rPr>
          <w:rFonts w:ascii="宋体" w:hAnsi="宋体" w:cs="宋体"/>
          <w:color w:val="auto"/>
          <w:szCs w:val="21"/>
          <w:highlight w:val="none"/>
        </w:rPr>
      </w:pPr>
      <w:r>
        <w:rPr>
          <w:rFonts w:hint="eastAsia" w:ascii="宋体" w:hAnsi="宋体" w:cs="宋体"/>
          <w:color w:val="auto"/>
          <w:szCs w:val="21"/>
          <w:highlight w:val="none"/>
        </w:rPr>
        <w:t>7.2 施工进度计划</w:t>
      </w:r>
    </w:p>
    <w:p w14:paraId="35E6073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7.2.2 施工进度计划的修订</w:t>
      </w:r>
    </w:p>
    <w:p w14:paraId="69E8F412">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发包人和监理人在收到修订的施工进度计划后确认或提出修改意见的期限：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64F8973">
      <w:pPr>
        <w:spacing w:after="120" w:line="360" w:lineRule="auto"/>
        <w:rPr>
          <w:rFonts w:ascii="宋体" w:hAnsi="宋体" w:cs="宋体"/>
          <w:color w:val="auto"/>
          <w:szCs w:val="21"/>
          <w:highlight w:val="none"/>
        </w:rPr>
      </w:pPr>
      <w:r>
        <w:rPr>
          <w:rFonts w:hint="eastAsia" w:ascii="宋体" w:hAnsi="宋体" w:cs="宋体"/>
          <w:color w:val="auto"/>
          <w:szCs w:val="21"/>
          <w:highlight w:val="none"/>
        </w:rPr>
        <w:t>7.3 开工</w:t>
      </w:r>
    </w:p>
    <w:p w14:paraId="7BC2892B">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7.3.1 开工准备</w:t>
      </w:r>
    </w:p>
    <w:p w14:paraId="3C6E9F51">
      <w:pPr>
        <w:spacing w:line="360" w:lineRule="auto"/>
        <w:ind w:firstLine="645"/>
        <w:jc w:val="left"/>
        <w:rPr>
          <w:rFonts w:ascii="宋体" w:hAnsi="宋体" w:cs="宋体"/>
          <w:color w:val="auto"/>
          <w:szCs w:val="21"/>
          <w:highlight w:val="none"/>
          <w:u w:val="single"/>
        </w:rPr>
      </w:pPr>
      <w:r>
        <w:rPr>
          <w:rFonts w:hint="eastAsia" w:ascii="宋体" w:hAnsi="宋体" w:cs="宋体"/>
          <w:color w:val="auto"/>
          <w:szCs w:val="21"/>
          <w:highlight w:val="none"/>
        </w:rPr>
        <w:t>关于承包人提交工程开工报审表的期限：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AE7BB0B">
      <w:pPr>
        <w:spacing w:line="360" w:lineRule="auto"/>
        <w:ind w:firstLine="645"/>
        <w:jc w:val="left"/>
        <w:rPr>
          <w:rFonts w:ascii="宋体" w:hAnsi="宋体" w:cs="宋体"/>
          <w:color w:val="auto"/>
          <w:szCs w:val="21"/>
          <w:highlight w:val="none"/>
          <w:u w:val="single"/>
        </w:rPr>
      </w:pPr>
      <w:r>
        <w:rPr>
          <w:rFonts w:hint="eastAsia" w:ascii="宋体" w:hAnsi="宋体" w:cs="宋体"/>
          <w:color w:val="auto"/>
          <w:szCs w:val="21"/>
          <w:highlight w:val="none"/>
        </w:rPr>
        <w:t>关于发包人应完成的其他开工准备工作及期限：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4EB55FF">
      <w:pPr>
        <w:spacing w:line="360" w:lineRule="auto"/>
        <w:ind w:firstLine="420"/>
        <w:jc w:val="left"/>
        <w:rPr>
          <w:rFonts w:ascii="宋体" w:hAnsi="宋体" w:cs="宋体"/>
          <w:color w:val="auto"/>
          <w:szCs w:val="21"/>
          <w:highlight w:val="none"/>
          <w:u w:val="single"/>
        </w:rPr>
      </w:pPr>
      <w:r>
        <w:rPr>
          <w:rFonts w:hint="eastAsia" w:ascii="宋体" w:hAnsi="宋体" w:cs="宋体"/>
          <w:color w:val="auto"/>
          <w:szCs w:val="21"/>
          <w:highlight w:val="none"/>
        </w:rPr>
        <w:t>关于承包人应完成的其他开工准备工作及期限：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3CE5E1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7.3.2开工通知</w:t>
      </w:r>
    </w:p>
    <w:p w14:paraId="06F69413">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因发包人原因造成监理人未能在计划开工日期之日起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天内发出开工通知的，承包人有权提出价格调整要求，或者解除合同。</w:t>
      </w:r>
    </w:p>
    <w:p w14:paraId="7533C5C8">
      <w:pPr>
        <w:spacing w:after="120" w:line="360" w:lineRule="auto"/>
        <w:rPr>
          <w:rFonts w:ascii="宋体" w:hAnsi="宋体" w:cs="宋体"/>
          <w:color w:val="auto"/>
          <w:szCs w:val="21"/>
          <w:highlight w:val="none"/>
        </w:rPr>
      </w:pPr>
      <w:r>
        <w:rPr>
          <w:rFonts w:hint="eastAsia" w:ascii="宋体" w:hAnsi="宋体" w:cs="宋体"/>
          <w:color w:val="auto"/>
          <w:szCs w:val="21"/>
          <w:highlight w:val="none"/>
        </w:rPr>
        <w:t>7.4 测量放线</w:t>
      </w:r>
    </w:p>
    <w:p w14:paraId="4759A039">
      <w:pPr>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7.4.1发包人通过监理人向承包人提供测量基准点、基准线和水准点及其书面资料的期限：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25D6454">
      <w:pPr>
        <w:spacing w:after="120" w:line="360" w:lineRule="auto"/>
        <w:rPr>
          <w:rFonts w:ascii="宋体" w:hAnsi="宋体" w:cs="宋体"/>
          <w:color w:val="auto"/>
          <w:szCs w:val="21"/>
          <w:highlight w:val="none"/>
        </w:rPr>
      </w:pPr>
      <w:r>
        <w:rPr>
          <w:rFonts w:hint="eastAsia" w:ascii="宋体" w:hAnsi="宋体" w:cs="宋体"/>
          <w:color w:val="auto"/>
          <w:szCs w:val="21"/>
          <w:highlight w:val="none"/>
        </w:rPr>
        <w:t>7.5 工期延误</w:t>
      </w:r>
    </w:p>
    <w:p w14:paraId="5FF7E25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7.5.1 因发包人原因导致工期延误</w:t>
      </w:r>
    </w:p>
    <w:p w14:paraId="4757BB55">
      <w:pPr>
        <w:spacing w:line="360" w:lineRule="auto"/>
        <w:ind w:firstLine="420"/>
        <w:jc w:val="left"/>
        <w:rPr>
          <w:rFonts w:ascii="宋体" w:hAnsi="宋体" w:cs="宋体"/>
          <w:color w:val="auto"/>
          <w:szCs w:val="21"/>
          <w:highlight w:val="none"/>
          <w:u w:val="single"/>
        </w:rPr>
      </w:pPr>
      <w:r>
        <w:rPr>
          <w:rFonts w:hint="eastAsia" w:ascii="宋体" w:hAnsi="宋体" w:cs="宋体"/>
          <w:color w:val="auto"/>
          <w:szCs w:val="21"/>
          <w:highlight w:val="none"/>
        </w:rPr>
        <w:t>（7）因发包人原因导致工期延误的其他情形：</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331427E">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7.5.2 因承包人原因导致工期延误</w:t>
      </w:r>
    </w:p>
    <w:p w14:paraId="776D7913">
      <w:pPr>
        <w:spacing w:line="360" w:lineRule="auto"/>
        <w:ind w:firstLine="420"/>
        <w:jc w:val="left"/>
        <w:rPr>
          <w:rFonts w:ascii="宋体" w:hAnsi="宋体" w:cs="宋体"/>
          <w:color w:val="auto"/>
          <w:szCs w:val="21"/>
          <w:highlight w:val="none"/>
          <w:u w:val="single"/>
        </w:rPr>
      </w:pPr>
      <w:r>
        <w:rPr>
          <w:rFonts w:hint="eastAsia" w:ascii="宋体" w:hAnsi="宋体" w:cs="宋体"/>
          <w:color w:val="auto"/>
          <w:szCs w:val="21"/>
          <w:highlight w:val="none"/>
        </w:rPr>
        <w:t>因承包人原因造成工期延误，逾期竣工违约金的计算方法为：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0AC90AE">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因承包人原因造成工期延误，逾期竣工违约金的上限：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51D10FB">
      <w:pPr>
        <w:spacing w:after="120" w:line="360" w:lineRule="auto"/>
        <w:rPr>
          <w:rFonts w:ascii="宋体" w:hAnsi="宋体" w:cs="宋体"/>
          <w:color w:val="auto"/>
          <w:szCs w:val="21"/>
          <w:highlight w:val="none"/>
        </w:rPr>
      </w:pPr>
      <w:r>
        <w:rPr>
          <w:rFonts w:hint="eastAsia" w:ascii="宋体" w:hAnsi="宋体" w:cs="宋体"/>
          <w:color w:val="auto"/>
          <w:szCs w:val="21"/>
          <w:highlight w:val="none"/>
        </w:rPr>
        <w:t>7.6 不利物质条件</w:t>
      </w:r>
    </w:p>
    <w:p w14:paraId="295F91B7">
      <w:pPr>
        <w:spacing w:line="360" w:lineRule="auto"/>
        <w:ind w:firstLine="420"/>
        <w:jc w:val="left"/>
        <w:rPr>
          <w:rFonts w:ascii="宋体" w:hAnsi="宋体" w:cs="宋体"/>
          <w:color w:val="auto"/>
          <w:szCs w:val="21"/>
          <w:highlight w:val="none"/>
          <w:u w:val="single"/>
        </w:rPr>
      </w:pPr>
      <w:r>
        <w:rPr>
          <w:rFonts w:hint="eastAsia" w:ascii="宋体" w:hAnsi="宋体" w:cs="宋体"/>
          <w:color w:val="auto"/>
          <w:szCs w:val="21"/>
          <w:highlight w:val="none"/>
        </w:rPr>
        <w:t>不利物质条件的其他情形和有关约定：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CBD8461">
      <w:pPr>
        <w:spacing w:after="120" w:line="360" w:lineRule="auto"/>
        <w:rPr>
          <w:rFonts w:ascii="宋体" w:hAnsi="宋体" w:cs="宋体"/>
          <w:color w:val="auto"/>
          <w:szCs w:val="21"/>
          <w:highlight w:val="none"/>
        </w:rPr>
      </w:pPr>
      <w:r>
        <w:rPr>
          <w:rFonts w:hint="eastAsia" w:ascii="宋体" w:hAnsi="宋体" w:cs="宋体"/>
          <w:color w:val="auto"/>
          <w:szCs w:val="21"/>
          <w:highlight w:val="none"/>
        </w:rPr>
        <w:t>7.7异常恶劣的气候条件</w:t>
      </w:r>
    </w:p>
    <w:p w14:paraId="38B193E5">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发包人和承包人同意以下情形视为异常恶劣的气候条件：</w:t>
      </w:r>
    </w:p>
    <w:p w14:paraId="4FC32FF3">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AEA05B1">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6174392">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4E27ABF">
      <w:pPr>
        <w:spacing w:after="120" w:line="360" w:lineRule="auto"/>
        <w:rPr>
          <w:rFonts w:ascii="宋体" w:hAnsi="宋体" w:cs="宋体"/>
          <w:color w:val="auto"/>
          <w:szCs w:val="21"/>
          <w:highlight w:val="none"/>
        </w:rPr>
      </w:pPr>
      <w:r>
        <w:rPr>
          <w:rFonts w:hint="eastAsia" w:ascii="宋体" w:hAnsi="宋体" w:cs="宋体"/>
          <w:color w:val="auto"/>
          <w:szCs w:val="21"/>
          <w:highlight w:val="none"/>
        </w:rPr>
        <w:t>7.9 提前竣工的奖励</w:t>
      </w:r>
    </w:p>
    <w:p w14:paraId="26AB2A1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7.9.2提前竣工的奖励：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67217A3">
      <w:pPr>
        <w:keepNext/>
        <w:keepLines/>
        <w:spacing w:before="120" w:after="120" w:line="360" w:lineRule="auto"/>
        <w:outlineLvl w:val="3"/>
        <w:rPr>
          <w:rFonts w:ascii="宋体" w:hAnsi="宋体" w:cs="宋体"/>
          <w:bCs/>
          <w:color w:val="auto"/>
          <w:szCs w:val="21"/>
          <w:highlight w:val="none"/>
        </w:rPr>
      </w:pPr>
      <w:r>
        <w:rPr>
          <w:rFonts w:hint="eastAsia" w:ascii="宋体" w:hAnsi="宋体" w:cs="宋体"/>
          <w:bCs/>
          <w:color w:val="auto"/>
          <w:szCs w:val="21"/>
          <w:highlight w:val="none"/>
        </w:rPr>
        <w:t>8. 材料与设备</w:t>
      </w:r>
    </w:p>
    <w:p w14:paraId="794DB067">
      <w:pPr>
        <w:spacing w:after="120" w:line="360" w:lineRule="auto"/>
        <w:rPr>
          <w:rFonts w:ascii="宋体" w:hAnsi="宋体" w:cs="宋体"/>
          <w:color w:val="auto"/>
          <w:szCs w:val="21"/>
          <w:highlight w:val="none"/>
        </w:rPr>
      </w:pPr>
      <w:r>
        <w:rPr>
          <w:rFonts w:hint="eastAsia" w:ascii="宋体" w:hAnsi="宋体" w:cs="宋体"/>
          <w:color w:val="auto"/>
          <w:szCs w:val="21"/>
          <w:highlight w:val="none"/>
        </w:rPr>
        <w:t>8.4材料与工程设备的保管与使用</w:t>
      </w:r>
    </w:p>
    <w:p w14:paraId="470C75B7">
      <w:pPr>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8.4.1发包人供应的材料设备的保管费用的承担：</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A8A58A4">
      <w:pPr>
        <w:spacing w:after="120" w:line="360" w:lineRule="auto"/>
        <w:rPr>
          <w:rFonts w:ascii="宋体" w:hAnsi="宋体" w:cs="宋体"/>
          <w:color w:val="auto"/>
          <w:szCs w:val="21"/>
          <w:highlight w:val="none"/>
        </w:rPr>
      </w:pPr>
      <w:r>
        <w:rPr>
          <w:rFonts w:hint="eastAsia" w:ascii="宋体" w:hAnsi="宋体" w:cs="宋体"/>
          <w:color w:val="auto"/>
          <w:szCs w:val="21"/>
          <w:highlight w:val="none"/>
        </w:rPr>
        <w:t>8.6 样品</w:t>
      </w:r>
    </w:p>
    <w:p w14:paraId="32D163B7">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8.6.1</w:t>
      </w:r>
      <w:r>
        <w:rPr>
          <w:rFonts w:hint="eastAsia" w:ascii="宋体" w:hAnsi="宋体" w:cs="宋体"/>
          <w:color w:val="auto"/>
          <w:szCs w:val="21"/>
          <w:highlight w:val="none"/>
        </w:rPr>
        <w:tab/>
      </w:r>
      <w:r>
        <w:rPr>
          <w:rFonts w:hint="eastAsia" w:ascii="宋体" w:hAnsi="宋体" w:cs="宋体"/>
          <w:color w:val="auto"/>
          <w:szCs w:val="21"/>
          <w:highlight w:val="none"/>
        </w:rPr>
        <w:t>样品的报送与封存</w:t>
      </w:r>
    </w:p>
    <w:p w14:paraId="32F9E8DD">
      <w:pPr>
        <w:spacing w:line="360" w:lineRule="auto"/>
        <w:ind w:firstLine="420"/>
        <w:jc w:val="left"/>
        <w:rPr>
          <w:rFonts w:ascii="宋体" w:hAnsi="宋体" w:cs="宋体"/>
          <w:color w:val="auto"/>
          <w:szCs w:val="21"/>
          <w:highlight w:val="none"/>
          <w:u w:val="single"/>
        </w:rPr>
      </w:pPr>
      <w:r>
        <w:rPr>
          <w:rFonts w:hint="eastAsia" w:ascii="宋体" w:hAnsi="宋体" w:cs="宋体"/>
          <w:color w:val="auto"/>
          <w:szCs w:val="21"/>
          <w:highlight w:val="none"/>
        </w:rPr>
        <w:t>需要承包人报送样品的材料或工程设备，样品的种类、名称、规格、数量要求：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7AFE26B">
      <w:pPr>
        <w:spacing w:after="120" w:line="360" w:lineRule="auto"/>
        <w:rPr>
          <w:rFonts w:ascii="宋体" w:hAnsi="宋体" w:cs="宋体"/>
          <w:color w:val="auto"/>
          <w:szCs w:val="21"/>
          <w:highlight w:val="none"/>
        </w:rPr>
      </w:pPr>
      <w:r>
        <w:rPr>
          <w:rFonts w:hint="eastAsia" w:ascii="宋体" w:hAnsi="宋体" w:cs="宋体"/>
          <w:color w:val="auto"/>
          <w:szCs w:val="21"/>
          <w:highlight w:val="none"/>
        </w:rPr>
        <w:t>8.8 施工设备和临时设施</w:t>
      </w:r>
    </w:p>
    <w:p w14:paraId="2891097C">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8.8.1 承包人提供的施工设备和临时设施</w:t>
      </w:r>
    </w:p>
    <w:p w14:paraId="4424E3C4">
      <w:pPr>
        <w:spacing w:line="360" w:lineRule="auto"/>
        <w:ind w:firstLine="420"/>
        <w:jc w:val="left"/>
        <w:rPr>
          <w:rFonts w:ascii="宋体" w:hAnsi="宋体" w:cs="宋体"/>
          <w:color w:val="auto"/>
          <w:szCs w:val="21"/>
          <w:highlight w:val="none"/>
          <w:u w:val="single"/>
        </w:rPr>
      </w:pPr>
      <w:r>
        <w:rPr>
          <w:rFonts w:hint="eastAsia" w:ascii="宋体" w:hAnsi="宋体" w:cs="宋体"/>
          <w:color w:val="auto"/>
          <w:szCs w:val="21"/>
          <w:highlight w:val="none"/>
        </w:rPr>
        <w:t>关于修建临时设施费用承担的约定：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8933D01">
      <w:pPr>
        <w:keepNext/>
        <w:keepLines/>
        <w:spacing w:before="120" w:after="120" w:line="360" w:lineRule="auto"/>
        <w:outlineLvl w:val="3"/>
        <w:rPr>
          <w:rFonts w:ascii="宋体" w:hAnsi="宋体" w:cs="宋体"/>
          <w:bCs/>
          <w:color w:val="auto"/>
          <w:szCs w:val="21"/>
          <w:highlight w:val="none"/>
        </w:rPr>
      </w:pPr>
      <w:r>
        <w:rPr>
          <w:rFonts w:hint="eastAsia" w:ascii="宋体" w:hAnsi="宋体" w:cs="宋体"/>
          <w:bCs/>
          <w:color w:val="auto"/>
          <w:szCs w:val="21"/>
          <w:highlight w:val="none"/>
        </w:rPr>
        <w:t>9. 试验与检验</w:t>
      </w:r>
    </w:p>
    <w:p w14:paraId="143EEB25">
      <w:pPr>
        <w:spacing w:after="120" w:line="360" w:lineRule="auto"/>
        <w:rPr>
          <w:rFonts w:ascii="宋体" w:hAnsi="宋体" w:cs="宋体"/>
          <w:color w:val="auto"/>
          <w:szCs w:val="21"/>
          <w:highlight w:val="none"/>
        </w:rPr>
      </w:pPr>
      <w:r>
        <w:rPr>
          <w:rFonts w:hint="eastAsia" w:ascii="宋体" w:hAnsi="宋体" w:cs="宋体"/>
          <w:color w:val="auto"/>
          <w:szCs w:val="21"/>
          <w:highlight w:val="none"/>
        </w:rPr>
        <w:t>9.1试验设备与试验人员</w:t>
      </w:r>
    </w:p>
    <w:p w14:paraId="2636483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9.1.2 试验设备</w:t>
      </w:r>
    </w:p>
    <w:p w14:paraId="39A1C46A">
      <w:pPr>
        <w:spacing w:line="360" w:lineRule="auto"/>
        <w:ind w:firstLine="420"/>
        <w:jc w:val="left"/>
        <w:rPr>
          <w:rFonts w:ascii="宋体" w:hAnsi="宋体" w:cs="宋体"/>
          <w:color w:val="auto"/>
          <w:szCs w:val="21"/>
          <w:highlight w:val="none"/>
          <w:u w:val="single"/>
        </w:rPr>
      </w:pPr>
      <w:r>
        <w:rPr>
          <w:rFonts w:hint="eastAsia" w:ascii="宋体" w:hAnsi="宋体" w:cs="宋体"/>
          <w:color w:val="auto"/>
          <w:szCs w:val="21"/>
          <w:highlight w:val="none"/>
        </w:rPr>
        <w:t>施工现场需要配置的试验场所：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B7AB4C8">
      <w:pPr>
        <w:spacing w:line="360" w:lineRule="auto"/>
        <w:ind w:firstLine="420"/>
        <w:jc w:val="left"/>
        <w:rPr>
          <w:rFonts w:ascii="宋体" w:hAnsi="宋体" w:cs="宋体"/>
          <w:color w:val="auto"/>
          <w:szCs w:val="21"/>
          <w:highlight w:val="none"/>
          <w:u w:val="single"/>
        </w:rPr>
      </w:pPr>
      <w:r>
        <w:rPr>
          <w:rFonts w:hint="eastAsia" w:ascii="宋体" w:hAnsi="宋体" w:cs="宋体"/>
          <w:color w:val="auto"/>
          <w:szCs w:val="21"/>
          <w:highlight w:val="none"/>
        </w:rPr>
        <w:t>施工现场需要配备的试验设备：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C387D16">
      <w:pPr>
        <w:spacing w:line="360" w:lineRule="auto"/>
        <w:ind w:firstLine="420"/>
        <w:jc w:val="left"/>
        <w:rPr>
          <w:rFonts w:ascii="宋体" w:hAnsi="宋体" w:cs="宋体"/>
          <w:color w:val="auto"/>
          <w:szCs w:val="21"/>
          <w:highlight w:val="none"/>
          <w:u w:val="single"/>
        </w:rPr>
      </w:pPr>
      <w:r>
        <w:rPr>
          <w:rFonts w:hint="eastAsia" w:ascii="宋体" w:hAnsi="宋体" w:cs="宋体"/>
          <w:color w:val="auto"/>
          <w:szCs w:val="21"/>
          <w:highlight w:val="none"/>
        </w:rPr>
        <w:t>施工现场需要具备的其他试验条件：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D56836C">
      <w:pPr>
        <w:spacing w:after="120" w:line="360" w:lineRule="auto"/>
        <w:rPr>
          <w:rFonts w:ascii="宋体" w:hAnsi="宋体" w:cs="宋体"/>
          <w:color w:val="auto"/>
          <w:szCs w:val="21"/>
          <w:highlight w:val="none"/>
        </w:rPr>
      </w:pPr>
      <w:r>
        <w:rPr>
          <w:rFonts w:hint="eastAsia" w:ascii="宋体" w:hAnsi="宋体" w:cs="宋体"/>
          <w:color w:val="auto"/>
          <w:szCs w:val="21"/>
          <w:highlight w:val="none"/>
        </w:rPr>
        <w:t xml:space="preserve">9.4 现场工艺试验 </w:t>
      </w:r>
    </w:p>
    <w:p w14:paraId="1443F1D2">
      <w:pPr>
        <w:spacing w:line="360" w:lineRule="auto"/>
        <w:ind w:firstLine="420"/>
        <w:jc w:val="left"/>
        <w:rPr>
          <w:rFonts w:ascii="宋体" w:hAnsi="宋体" w:cs="宋体"/>
          <w:color w:val="auto"/>
          <w:szCs w:val="21"/>
          <w:highlight w:val="none"/>
          <w:u w:val="single"/>
        </w:rPr>
      </w:pPr>
      <w:r>
        <w:rPr>
          <w:rFonts w:hint="eastAsia" w:ascii="宋体" w:hAnsi="宋体" w:cs="宋体"/>
          <w:color w:val="auto"/>
          <w:szCs w:val="21"/>
          <w:highlight w:val="none"/>
        </w:rPr>
        <w:t>现场工艺试验的有关约定：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4CBD118">
      <w:pPr>
        <w:keepNext/>
        <w:keepLines/>
        <w:spacing w:before="120" w:after="120" w:line="360" w:lineRule="auto"/>
        <w:outlineLvl w:val="3"/>
        <w:rPr>
          <w:rFonts w:ascii="宋体" w:hAnsi="宋体" w:cs="宋体"/>
          <w:bCs/>
          <w:color w:val="auto"/>
          <w:szCs w:val="21"/>
          <w:highlight w:val="none"/>
        </w:rPr>
      </w:pPr>
      <w:r>
        <w:rPr>
          <w:rFonts w:hint="eastAsia" w:ascii="宋体" w:hAnsi="宋体" w:cs="宋体"/>
          <w:bCs/>
          <w:color w:val="auto"/>
          <w:szCs w:val="21"/>
          <w:highlight w:val="none"/>
        </w:rPr>
        <w:t>10. 变更</w:t>
      </w:r>
    </w:p>
    <w:p w14:paraId="5D88EA3B">
      <w:pPr>
        <w:spacing w:after="120" w:line="360" w:lineRule="auto"/>
        <w:rPr>
          <w:rFonts w:ascii="宋体" w:hAnsi="宋体" w:cs="宋体"/>
          <w:color w:val="auto"/>
          <w:szCs w:val="21"/>
          <w:highlight w:val="none"/>
        </w:rPr>
      </w:pPr>
      <w:r>
        <w:rPr>
          <w:rFonts w:hint="eastAsia" w:ascii="宋体" w:hAnsi="宋体" w:cs="宋体"/>
          <w:color w:val="auto"/>
          <w:szCs w:val="21"/>
          <w:highlight w:val="none"/>
        </w:rPr>
        <w:t>10.1变更的范围</w:t>
      </w:r>
    </w:p>
    <w:p w14:paraId="34B9F096">
      <w:pPr>
        <w:spacing w:line="360" w:lineRule="auto"/>
        <w:ind w:firstLine="600"/>
        <w:jc w:val="left"/>
        <w:rPr>
          <w:rFonts w:ascii="宋体" w:hAnsi="宋体" w:cs="宋体"/>
          <w:color w:val="auto"/>
          <w:szCs w:val="21"/>
          <w:highlight w:val="none"/>
          <w:u w:val="single"/>
        </w:rPr>
      </w:pPr>
      <w:r>
        <w:rPr>
          <w:rFonts w:hint="eastAsia" w:ascii="宋体" w:hAnsi="宋体" w:cs="宋体"/>
          <w:color w:val="auto"/>
          <w:szCs w:val="21"/>
          <w:highlight w:val="none"/>
        </w:rPr>
        <w:t>关于变更的范围的约定：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FFA7DFC">
      <w:pPr>
        <w:spacing w:after="120" w:line="360" w:lineRule="auto"/>
        <w:rPr>
          <w:rFonts w:ascii="宋体" w:hAnsi="宋体" w:cs="宋体"/>
          <w:color w:val="auto"/>
          <w:szCs w:val="21"/>
          <w:highlight w:val="none"/>
        </w:rPr>
      </w:pPr>
      <w:r>
        <w:rPr>
          <w:rFonts w:hint="eastAsia" w:ascii="宋体" w:hAnsi="宋体" w:cs="宋体"/>
          <w:color w:val="auto"/>
          <w:szCs w:val="21"/>
          <w:highlight w:val="none"/>
        </w:rPr>
        <w:t>10.4 变更估价</w:t>
      </w:r>
    </w:p>
    <w:p w14:paraId="20291A79">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10.4.1 变更估价原则</w:t>
      </w:r>
    </w:p>
    <w:p w14:paraId="08B56B6F">
      <w:pPr>
        <w:spacing w:line="360" w:lineRule="auto"/>
        <w:ind w:firstLine="420"/>
        <w:jc w:val="left"/>
        <w:rPr>
          <w:rFonts w:ascii="宋体" w:hAnsi="宋体" w:cs="宋体"/>
          <w:color w:val="auto"/>
          <w:szCs w:val="21"/>
          <w:highlight w:val="none"/>
          <w:u w:val="single"/>
        </w:rPr>
      </w:pPr>
      <w:r>
        <w:rPr>
          <w:rFonts w:hint="eastAsia" w:ascii="宋体" w:hAnsi="宋体" w:cs="宋体"/>
          <w:color w:val="auto"/>
          <w:szCs w:val="21"/>
          <w:highlight w:val="none"/>
        </w:rPr>
        <w:t xml:space="preserve">关于变更估价的约定: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C3C4518">
      <w:pPr>
        <w:spacing w:after="120" w:line="360" w:lineRule="auto"/>
        <w:rPr>
          <w:rFonts w:ascii="宋体" w:hAnsi="宋体" w:cs="宋体"/>
          <w:color w:val="auto"/>
          <w:szCs w:val="21"/>
          <w:highlight w:val="none"/>
        </w:rPr>
      </w:pPr>
      <w:r>
        <w:rPr>
          <w:rFonts w:hint="eastAsia" w:ascii="宋体" w:hAnsi="宋体" w:cs="宋体"/>
          <w:color w:val="auto"/>
          <w:szCs w:val="21"/>
          <w:highlight w:val="none"/>
        </w:rPr>
        <w:t>10.5承包人的合理化建议</w:t>
      </w:r>
    </w:p>
    <w:p w14:paraId="2010B0F0">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监理人审查承包人合理化建议的期限：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4F2BF3E">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发包人审批承包人合理化建议的期限：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D892598">
      <w:pPr>
        <w:spacing w:line="360" w:lineRule="auto"/>
        <w:ind w:firstLine="420"/>
        <w:jc w:val="left"/>
        <w:rPr>
          <w:rFonts w:ascii="宋体" w:hAnsi="宋体" w:cs="宋体"/>
          <w:color w:val="auto"/>
          <w:szCs w:val="21"/>
          <w:highlight w:val="none"/>
          <w:u w:val="single"/>
        </w:rPr>
      </w:pPr>
      <w:r>
        <w:rPr>
          <w:rFonts w:hint="eastAsia" w:ascii="宋体" w:hAnsi="宋体" w:cs="宋体"/>
          <w:color w:val="auto"/>
          <w:szCs w:val="21"/>
          <w:highlight w:val="none"/>
        </w:rPr>
        <w:t>承包人提出的合理化建议降低了合同价格或者提高了工程经济效益的奖励的方法和金额为：</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732A0452">
      <w:pPr>
        <w:keepNext/>
        <w:keepLines/>
        <w:spacing w:before="120" w:after="120" w:line="360" w:lineRule="auto"/>
        <w:outlineLvl w:val="3"/>
        <w:rPr>
          <w:rFonts w:ascii="宋体" w:hAnsi="宋体" w:cs="宋体"/>
          <w:bCs/>
          <w:color w:val="auto"/>
          <w:szCs w:val="21"/>
          <w:highlight w:val="none"/>
        </w:rPr>
      </w:pPr>
      <w:r>
        <w:rPr>
          <w:rFonts w:hint="eastAsia" w:ascii="宋体" w:hAnsi="宋体" w:cs="宋体"/>
          <w:bCs/>
          <w:color w:val="auto"/>
          <w:szCs w:val="21"/>
          <w:highlight w:val="none"/>
        </w:rPr>
        <w:t>11. 价格调整</w:t>
      </w:r>
    </w:p>
    <w:p w14:paraId="36473813">
      <w:pPr>
        <w:spacing w:after="120" w:line="360" w:lineRule="auto"/>
        <w:rPr>
          <w:rFonts w:ascii="宋体" w:hAnsi="宋体" w:cs="宋体"/>
          <w:color w:val="auto"/>
          <w:szCs w:val="21"/>
          <w:highlight w:val="none"/>
        </w:rPr>
      </w:pPr>
      <w:r>
        <w:rPr>
          <w:rFonts w:hint="eastAsia" w:ascii="宋体" w:hAnsi="宋体" w:cs="宋体"/>
          <w:color w:val="auto"/>
          <w:szCs w:val="21"/>
          <w:highlight w:val="none"/>
        </w:rPr>
        <w:t>11.1 市场价格波动引起的调整</w:t>
      </w:r>
    </w:p>
    <w:p w14:paraId="5F01293C">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市场价格波动是否调整合同价格的约定：</w:t>
      </w:r>
      <w:r>
        <w:rPr>
          <w:rFonts w:hint="eastAsia" w:ascii="宋体" w:hAnsi="宋体" w:cs="宋体"/>
          <w:color w:val="auto"/>
          <w:szCs w:val="21"/>
          <w:highlight w:val="none"/>
          <w:u w:val="single"/>
        </w:rPr>
        <w:t>否</w:t>
      </w:r>
      <w:r>
        <w:rPr>
          <w:rFonts w:hint="eastAsia" w:ascii="宋体" w:hAnsi="宋体" w:cs="宋体"/>
          <w:color w:val="auto"/>
          <w:szCs w:val="21"/>
          <w:highlight w:val="none"/>
        </w:rPr>
        <w:t>。</w:t>
      </w:r>
    </w:p>
    <w:p w14:paraId="5A7CB739">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（2）关于基准价格的约定：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A130CFB">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%时，或材料单价跌幅以已标价工程量清单或预算书中载明材料单价为基础超过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%时，其超过部分据实调整。</w:t>
      </w:r>
    </w:p>
    <w:p w14:paraId="3544C78F">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%时，材料单价涨幅以已标价工程量清单或预算书中载明材料单价为基础超过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%时，其超过部分据实调整。</w:t>
      </w:r>
    </w:p>
    <w:p w14:paraId="728D3209">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%时，其超过部分据实调整。</w:t>
      </w:r>
    </w:p>
    <w:p w14:paraId="3449C5F6">
      <w:pPr>
        <w:spacing w:line="360" w:lineRule="auto"/>
        <w:ind w:firstLine="420"/>
        <w:jc w:val="left"/>
        <w:rPr>
          <w:rFonts w:ascii="宋体" w:hAnsi="宋体" w:cs="宋体"/>
          <w:color w:val="auto"/>
          <w:szCs w:val="21"/>
          <w:highlight w:val="none"/>
          <w:u w:val="single"/>
        </w:rPr>
      </w:pPr>
      <w:r>
        <w:rPr>
          <w:rFonts w:hint="eastAsia" w:ascii="宋体" w:hAnsi="宋体" w:cs="宋体"/>
          <w:color w:val="auto"/>
          <w:szCs w:val="21"/>
          <w:highlight w:val="none"/>
        </w:rPr>
        <w:t>第3种方式：其他价格调整方式：</w:t>
      </w:r>
      <w:r>
        <w:rPr>
          <w:rFonts w:hint="eastAsia" w:ascii="宋体" w:hAnsi="宋体" w:cs="宋体"/>
          <w:color w:val="auto"/>
          <w:szCs w:val="21"/>
          <w:highlight w:val="none"/>
          <w:u w:val="single"/>
        </w:rPr>
        <w:t>项目决算造价由建设单位送市财政评审中心进行审核，审核后的项目决算造价乘以中标系数    %作为合同决算价格。</w:t>
      </w:r>
    </w:p>
    <w:p w14:paraId="2DC38E41">
      <w:pPr>
        <w:keepNext/>
        <w:keepLines/>
        <w:spacing w:before="120" w:after="120" w:line="360" w:lineRule="auto"/>
        <w:outlineLvl w:val="3"/>
        <w:rPr>
          <w:rFonts w:ascii="宋体" w:hAnsi="宋体" w:cs="宋体"/>
          <w:bCs/>
          <w:color w:val="auto"/>
          <w:szCs w:val="21"/>
          <w:highlight w:val="none"/>
        </w:rPr>
      </w:pPr>
      <w:r>
        <w:rPr>
          <w:rFonts w:hint="eastAsia" w:ascii="宋体" w:hAnsi="宋体" w:cs="宋体"/>
          <w:bCs/>
          <w:color w:val="auto"/>
          <w:szCs w:val="21"/>
          <w:highlight w:val="none"/>
        </w:rPr>
        <w:t>12. 合同价格、计量与支付</w:t>
      </w:r>
    </w:p>
    <w:p w14:paraId="32730DD0">
      <w:pPr>
        <w:spacing w:after="120" w:line="360" w:lineRule="auto"/>
        <w:rPr>
          <w:rFonts w:ascii="宋体" w:hAnsi="宋体" w:cs="宋体"/>
          <w:color w:val="auto"/>
          <w:szCs w:val="21"/>
          <w:highlight w:val="none"/>
        </w:rPr>
      </w:pPr>
      <w:r>
        <w:rPr>
          <w:rFonts w:hint="eastAsia" w:ascii="宋体" w:hAnsi="宋体" w:cs="宋体"/>
          <w:color w:val="auto"/>
          <w:szCs w:val="21"/>
          <w:highlight w:val="none"/>
        </w:rPr>
        <w:t>12.1 合同价格形式</w:t>
      </w:r>
    </w:p>
    <w:p w14:paraId="3D312964">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1、单价合同。</w:t>
      </w:r>
    </w:p>
    <w:p w14:paraId="07AC17A9">
      <w:pPr>
        <w:spacing w:line="360" w:lineRule="auto"/>
        <w:ind w:firstLine="420"/>
        <w:jc w:val="left"/>
        <w:rPr>
          <w:rFonts w:ascii="宋体" w:hAnsi="宋体" w:cs="宋体"/>
          <w:color w:val="auto"/>
          <w:szCs w:val="21"/>
          <w:highlight w:val="none"/>
          <w:u w:val="single"/>
        </w:rPr>
      </w:pPr>
      <w:r>
        <w:rPr>
          <w:rFonts w:hint="eastAsia" w:ascii="宋体" w:hAnsi="宋体" w:cs="宋体"/>
          <w:color w:val="auto"/>
          <w:szCs w:val="21"/>
          <w:highlight w:val="none"/>
        </w:rPr>
        <w:t>综合单价包含的风险范围：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3B13694">
      <w:pPr>
        <w:spacing w:line="360" w:lineRule="auto"/>
        <w:ind w:firstLine="420"/>
        <w:jc w:val="left"/>
        <w:rPr>
          <w:rFonts w:ascii="宋体" w:hAnsi="宋体" w:cs="宋体"/>
          <w:color w:val="auto"/>
          <w:szCs w:val="21"/>
          <w:highlight w:val="none"/>
          <w:u w:val="single"/>
        </w:rPr>
      </w:pPr>
      <w:r>
        <w:rPr>
          <w:rFonts w:hint="eastAsia" w:ascii="宋体" w:hAnsi="宋体" w:cs="宋体"/>
          <w:color w:val="auto"/>
          <w:szCs w:val="21"/>
          <w:highlight w:val="none"/>
        </w:rPr>
        <w:t>风险费用的计算方法：</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16AC841">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风险范围以外合同价格的调整方法：</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A23AC79">
      <w:pPr>
        <w:spacing w:after="120" w:line="360" w:lineRule="auto"/>
        <w:rPr>
          <w:rFonts w:ascii="宋体" w:hAnsi="宋体" w:cs="宋体"/>
          <w:color w:val="auto"/>
          <w:szCs w:val="21"/>
          <w:highlight w:val="none"/>
        </w:rPr>
      </w:pPr>
      <w:r>
        <w:rPr>
          <w:rFonts w:hint="eastAsia" w:ascii="宋体" w:hAnsi="宋体" w:cs="宋体"/>
          <w:color w:val="auto"/>
          <w:szCs w:val="21"/>
          <w:highlight w:val="none"/>
        </w:rPr>
        <w:t>12.2 预付款</w:t>
      </w:r>
    </w:p>
    <w:p w14:paraId="68C6FBBC">
      <w:pPr>
        <w:spacing w:after="120" w:line="360" w:lineRule="auto"/>
        <w:ind w:firstLine="420"/>
        <w:rPr>
          <w:rFonts w:ascii="宋体" w:hAnsi="宋体" w:cs="宋体"/>
          <w:color w:val="auto"/>
          <w:szCs w:val="21"/>
          <w:highlight w:val="none"/>
        </w:rPr>
      </w:pPr>
      <w:r>
        <w:rPr>
          <w:rFonts w:hint="eastAsia" w:ascii="宋体" w:hAnsi="宋体" w:cs="宋体"/>
          <w:color w:val="auto"/>
          <w:szCs w:val="21"/>
          <w:highlight w:val="none"/>
        </w:rPr>
        <w:t>本项目无预付款。</w:t>
      </w:r>
    </w:p>
    <w:p w14:paraId="01C47337">
      <w:pPr>
        <w:spacing w:after="120" w:line="360" w:lineRule="auto"/>
        <w:rPr>
          <w:rFonts w:ascii="宋体" w:hAnsi="宋体" w:cs="宋体"/>
          <w:color w:val="auto"/>
          <w:szCs w:val="21"/>
          <w:highlight w:val="none"/>
        </w:rPr>
      </w:pPr>
      <w:r>
        <w:rPr>
          <w:rFonts w:hint="eastAsia" w:ascii="宋体" w:hAnsi="宋体" w:cs="宋体"/>
          <w:color w:val="auto"/>
          <w:szCs w:val="21"/>
          <w:highlight w:val="none"/>
        </w:rPr>
        <w:t>12.3 计量</w:t>
      </w:r>
    </w:p>
    <w:p w14:paraId="02F6B2D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12.3.1 计量原则</w:t>
      </w:r>
    </w:p>
    <w:p w14:paraId="738B243E">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工程量计算规则：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8737E60">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12.3.2 计量周期</w:t>
      </w:r>
    </w:p>
    <w:p w14:paraId="50D788E5">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关于计量周期的约定：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7C61E8B">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12.3.3 单价合同的计量</w:t>
      </w:r>
    </w:p>
    <w:p w14:paraId="13BFAA96">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关于单价合同计量的约定：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6286A9B">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12.3.4 总价合同的计量</w:t>
      </w:r>
    </w:p>
    <w:p w14:paraId="1D166E09">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关于总价合同计量的约定：</w:t>
      </w:r>
      <w:r>
        <w:rPr>
          <w:rFonts w:hint="eastAsia" w:ascii="宋体" w:hAnsi="宋体" w:cs="宋体"/>
          <w:color w:val="auto"/>
          <w:szCs w:val="21"/>
          <w:highlight w:val="none"/>
          <w:u w:val="single"/>
        </w:rPr>
        <w:t xml:space="preserve">无 </w:t>
      </w:r>
      <w:r>
        <w:rPr>
          <w:rFonts w:hint="eastAsia" w:ascii="宋体" w:hAnsi="宋体" w:cs="宋体"/>
          <w:color w:val="auto"/>
          <w:szCs w:val="21"/>
          <w:highlight w:val="none"/>
        </w:rPr>
        <w:t>。</w:t>
      </w:r>
    </w:p>
    <w:p w14:paraId="2CC1960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12.3.5总价合同采用支付分解表计量支付的，是否适用第12.3.4 项〔总价合同的计量〕约定进行计量：</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p w14:paraId="1CF8820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12.3.6 其他价格形式合同的计量</w:t>
      </w:r>
    </w:p>
    <w:p w14:paraId="540A1E35">
      <w:pPr>
        <w:spacing w:line="360" w:lineRule="auto"/>
        <w:ind w:firstLine="420"/>
        <w:jc w:val="left"/>
        <w:rPr>
          <w:rFonts w:ascii="宋体" w:hAnsi="宋体" w:cs="宋体"/>
          <w:color w:val="auto"/>
          <w:szCs w:val="21"/>
          <w:highlight w:val="none"/>
          <w:u w:val="single"/>
        </w:rPr>
      </w:pPr>
      <w:r>
        <w:rPr>
          <w:rFonts w:hint="eastAsia" w:ascii="宋体" w:hAnsi="宋体" w:cs="宋体"/>
          <w:color w:val="auto"/>
          <w:szCs w:val="21"/>
          <w:highlight w:val="none"/>
        </w:rPr>
        <w:t>其他价格形式的计量方式和程序：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8F74DCB">
      <w:pPr>
        <w:spacing w:after="120" w:line="360" w:lineRule="auto"/>
        <w:rPr>
          <w:rFonts w:ascii="宋体" w:hAnsi="宋体" w:cs="宋体"/>
          <w:color w:val="auto"/>
          <w:szCs w:val="21"/>
          <w:highlight w:val="none"/>
        </w:rPr>
      </w:pPr>
      <w:r>
        <w:rPr>
          <w:rFonts w:hint="eastAsia" w:ascii="宋体" w:hAnsi="宋体" w:cs="宋体"/>
          <w:color w:val="auto"/>
          <w:szCs w:val="21"/>
          <w:highlight w:val="none"/>
        </w:rPr>
        <w:t>12.4 工程进度款支付</w:t>
      </w:r>
    </w:p>
    <w:p w14:paraId="2FF121E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12.4.1 付款周期</w:t>
      </w:r>
    </w:p>
    <w:p w14:paraId="131904A4">
      <w:pPr>
        <w:spacing w:line="360" w:lineRule="auto"/>
        <w:rPr>
          <w:rFonts w:ascii="宋体" w:hAnsi="宋体" w:cs="宋体"/>
          <w:b/>
          <w:color w:val="auto"/>
          <w:szCs w:val="21"/>
          <w:highlight w:val="none"/>
        </w:rPr>
      </w:pPr>
      <w:r>
        <w:rPr>
          <w:rFonts w:hint="eastAsia" w:ascii="宋体" w:hAnsi="宋体" w:cs="宋体"/>
          <w:color w:val="auto"/>
          <w:szCs w:val="21"/>
          <w:highlight w:val="none"/>
        </w:rPr>
        <w:t>关于付款周期的约定：</w:t>
      </w:r>
    </w:p>
    <w:p w14:paraId="27E8D69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u w:val="single"/>
        </w:rPr>
        <w:t>双方约定的工程款（进度款）支付的方式和时间：每2个月支付1次，根据《防城港市市本级市政设施日常维修养护管理考核办法》运用考核结果和市财政投资评审中心审定价款进行综合计算后，得出每期服务费。在防城港市财政局下达该工程资金使用计划后10</w:t>
      </w:r>
      <w:r>
        <w:rPr>
          <w:rFonts w:hint="eastAsia" w:ascii="宋体" w:hAnsi="宋体" w:cs="宋体"/>
          <w:color w:val="auto"/>
          <w:szCs w:val="21"/>
          <w:highlight w:val="none"/>
          <w:u w:val="single"/>
          <w:lang w:eastAsia="zh-CN"/>
        </w:rPr>
        <w:t>个</w:t>
      </w:r>
      <w:r>
        <w:rPr>
          <w:rFonts w:hint="eastAsia" w:ascii="宋体" w:hAnsi="宋体" w:cs="宋体"/>
          <w:color w:val="auto"/>
          <w:szCs w:val="21"/>
          <w:highlight w:val="none"/>
          <w:u w:val="single"/>
        </w:rPr>
        <w:t>工作日内支付。</w:t>
      </w:r>
    </w:p>
    <w:p w14:paraId="5DFB3B2E">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12.4.2 进度付款申请单的编制</w:t>
      </w:r>
    </w:p>
    <w:p w14:paraId="3DC8223D">
      <w:pPr>
        <w:spacing w:line="360" w:lineRule="auto"/>
        <w:ind w:firstLine="420"/>
        <w:jc w:val="left"/>
        <w:rPr>
          <w:rFonts w:ascii="宋体" w:hAnsi="宋体" w:cs="宋体"/>
          <w:color w:val="auto"/>
          <w:szCs w:val="21"/>
          <w:highlight w:val="none"/>
          <w:u w:val="single"/>
        </w:rPr>
      </w:pPr>
      <w:r>
        <w:rPr>
          <w:rFonts w:hint="eastAsia" w:ascii="宋体" w:hAnsi="宋体" w:cs="宋体"/>
          <w:color w:val="auto"/>
          <w:szCs w:val="21"/>
          <w:highlight w:val="none"/>
        </w:rPr>
        <w:t>关于进度付款申请单编制的约定：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5F1A489">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12.4.3 进度付款申请单的提交</w:t>
      </w:r>
    </w:p>
    <w:p w14:paraId="114F5404">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（1）单价合同进度付款申请单提交的约定：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583AAE4">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（2）总价合同进度付款申请单提交的约定：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8ECBE6A">
      <w:pPr>
        <w:spacing w:line="360" w:lineRule="auto"/>
        <w:ind w:firstLine="420"/>
        <w:jc w:val="left"/>
        <w:rPr>
          <w:rFonts w:ascii="宋体" w:hAnsi="宋体" w:cs="宋体"/>
          <w:color w:val="auto"/>
          <w:szCs w:val="21"/>
          <w:highlight w:val="none"/>
          <w:u w:val="single"/>
        </w:rPr>
      </w:pPr>
      <w:r>
        <w:rPr>
          <w:rFonts w:hint="eastAsia" w:ascii="宋体" w:hAnsi="宋体" w:cs="宋体"/>
          <w:color w:val="auto"/>
          <w:szCs w:val="21"/>
          <w:highlight w:val="none"/>
        </w:rPr>
        <w:t>（3）其他价格形式合同进度付款申请单提交的约定：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ED31FB4">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12.4.4 进度款审核和支付</w:t>
      </w:r>
    </w:p>
    <w:p w14:paraId="5FB9CF7C">
      <w:pPr>
        <w:spacing w:line="360" w:lineRule="auto"/>
        <w:ind w:firstLine="420"/>
        <w:jc w:val="left"/>
        <w:rPr>
          <w:rFonts w:ascii="宋体" w:hAnsi="宋体" w:cs="宋体"/>
          <w:color w:val="auto"/>
          <w:szCs w:val="21"/>
          <w:highlight w:val="none"/>
          <w:u w:val="single"/>
        </w:rPr>
      </w:pPr>
      <w:r>
        <w:rPr>
          <w:rFonts w:hint="eastAsia" w:ascii="宋体" w:hAnsi="宋体" w:cs="宋体"/>
          <w:color w:val="auto"/>
          <w:szCs w:val="21"/>
          <w:highlight w:val="none"/>
        </w:rPr>
        <w:t>（1）监理人审查并报送发包人的期限：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B8E013E">
      <w:pPr>
        <w:spacing w:line="360" w:lineRule="auto"/>
        <w:ind w:firstLine="420"/>
        <w:jc w:val="left"/>
        <w:rPr>
          <w:rFonts w:ascii="宋体" w:hAnsi="宋体" w:cs="宋体"/>
          <w:color w:val="auto"/>
          <w:szCs w:val="21"/>
          <w:highlight w:val="none"/>
          <w:u w:val="single"/>
        </w:rPr>
      </w:pPr>
      <w:r>
        <w:rPr>
          <w:rFonts w:hint="eastAsia" w:ascii="宋体" w:hAnsi="宋体" w:cs="宋体"/>
          <w:color w:val="auto"/>
          <w:szCs w:val="21"/>
          <w:highlight w:val="none"/>
        </w:rPr>
        <w:t>发包人完成审批并签发进度款支付证书的期限：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281F154">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（2）发包人支付进度款的期限：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FC2749F">
      <w:pPr>
        <w:spacing w:line="360" w:lineRule="auto"/>
        <w:ind w:firstLine="525"/>
        <w:jc w:val="left"/>
        <w:rPr>
          <w:rFonts w:ascii="宋体" w:hAnsi="宋体" w:cs="宋体"/>
          <w:color w:val="auto"/>
          <w:szCs w:val="21"/>
          <w:highlight w:val="none"/>
          <w:u w:val="single"/>
        </w:rPr>
      </w:pPr>
      <w:r>
        <w:rPr>
          <w:rFonts w:hint="eastAsia" w:ascii="宋体" w:hAnsi="宋体" w:cs="宋体"/>
          <w:color w:val="auto"/>
          <w:szCs w:val="21"/>
          <w:highlight w:val="none"/>
        </w:rPr>
        <w:t>发包人逾期支付进度款的违约金的计算方式：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15BF07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12.4.6 支付分解表的编制</w:t>
      </w:r>
    </w:p>
    <w:p w14:paraId="543CD2DC">
      <w:pPr>
        <w:spacing w:line="360" w:lineRule="auto"/>
        <w:ind w:firstLine="420"/>
        <w:jc w:val="left"/>
        <w:rPr>
          <w:rFonts w:ascii="宋体" w:hAnsi="宋体" w:cs="宋体"/>
          <w:color w:val="auto"/>
          <w:szCs w:val="21"/>
          <w:highlight w:val="none"/>
          <w:u w:val="single"/>
        </w:rPr>
      </w:pPr>
      <w:r>
        <w:rPr>
          <w:rFonts w:hint="eastAsia" w:ascii="宋体" w:hAnsi="宋体" w:cs="宋体"/>
          <w:color w:val="auto"/>
          <w:szCs w:val="21"/>
          <w:highlight w:val="none"/>
        </w:rPr>
        <w:t>2、总价合同支付分解表的编制与审批：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5DBAEC0">
      <w:pPr>
        <w:spacing w:line="360" w:lineRule="auto"/>
        <w:ind w:firstLine="420"/>
        <w:jc w:val="left"/>
        <w:rPr>
          <w:rFonts w:ascii="宋体" w:hAnsi="宋体" w:cs="宋体"/>
          <w:color w:val="auto"/>
          <w:szCs w:val="21"/>
          <w:highlight w:val="none"/>
          <w:u w:val="single"/>
        </w:rPr>
      </w:pPr>
      <w:r>
        <w:rPr>
          <w:rFonts w:hint="eastAsia" w:ascii="宋体" w:hAnsi="宋体" w:cs="宋体"/>
          <w:color w:val="auto"/>
          <w:szCs w:val="21"/>
          <w:highlight w:val="none"/>
        </w:rPr>
        <w:t>3、单价合同的总价项目支付分解表的编制与审批：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F051FB9">
      <w:pPr>
        <w:keepNext/>
        <w:keepLines/>
        <w:spacing w:before="120" w:after="120" w:line="360" w:lineRule="auto"/>
        <w:outlineLvl w:val="3"/>
        <w:rPr>
          <w:rFonts w:ascii="宋体" w:hAnsi="宋体" w:cs="宋体"/>
          <w:bCs/>
          <w:color w:val="auto"/>
          <w:szCs w:val="21"/>
          <w:highlight w:val="none"/>
        </w:rPr>
      </w:pPr>
      <w:r>
        <w:rPr>
          <w:rFonts w:hint="eastAsia" w:ascii="宋体" w:hAnsi="宋体" w:cs="宋体"/>
          <w:bCs/>
          <w:color w:val="auto"/>
          <w:szCs w:val="21"/>
          <w:highlight w:val="none"/>
        </w:rPr>
        <w:t>13. 验收和工程试车</w:t>
      </w:r>
    </w:p>
    <w:p w14:paraId="2FA88351">
      <w:pPr>
        <w:spacing w:after="120" w:line="360" w:lineRule="auto"/>
        <w:rPr>
          <w:rFonts w:ascii="宋体" w:hAnsi="宋体" w:cs="宋体"/>
          <w:b/>
          <w:color w:val="auto"/>
          <w:szCs w:val="21"/>
          <w:highlight w:val="none"/>
        </w:rPr>
      </w:pPr>
      <w:r>
        <w:rPr>
          <w:rFonts w:hint="eastAsia" w:ascii="宋体" w:hAnsi="宋体" w:cs="宋体"/>
          <w:color w:val="auto"/>
          <w:szCs w:val="21"/>
          <w:highlight w:val="none"/>
        </w:rPr>
        <w:t>13.1 分部分项工程验收</w:t>
      </w:r>
    </w:p>
    <w:p w14:paraId="06C41CFF">
      <w:pPr>
        <w:spacing w:after="120" w:line="360" w:lineRule="auto"/>
        <w:rPr>
          <w:rFonts w:ascii="宋体" w:hAnsi="宋体" w:cs="宋体"/>
          <w:color w:val="auto"/>
          <w:szCs w:val="21"/>
          <w:highlight w:val="none"/>
        </w:rPr>
      </w:pPr>
      <w:r>
        <w:rPr>
          <w:rFonts w:hint="eastAsia" w:ascii="宋体" w:hAnsi="宋体" w:cs="宋体"/>
          <w:color w:val="auto"/>
          <w:szCs w:val="21"/>
          <w:highlight w:val="none"/>
        </w:rPr>
        <w:t>13.2 竣工验收</w:t>
      </w:r>
    </w:p>
    <w:p w14:paraId="7AADC64B">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13.2.2竣工验收程序</w:t>
      </w:r>
    </w:p>
    <w:p w14:paraId="01E7603A">
      <w:pPr>
        <w:spacing w:line="360" w:lineRule="auto"/>
        <w:ind w:firstLine="420"/>
        <w:jc w:val="left"/>
        <w:rPr>
          <w:rFonts w:ascii="宋体" w:hAnsi="宋体" w:cs="宋体"/>
          <w:color w:val="auto"/>
          <w:szCs w:val="21"/>
          <w:highlight w:val="none"/>
          <w:u w:val="single"/>
        </w:rPr>
      </w:pPr>
      <w:r>
        <w:rPr>
          <w:rFonts w:hint="eastAsia" w:ascii="宋体" w:hAnsi="宋体" w:cs="宋体"/>
          <w:color w:val="auto"/>
          <w:szCs w:val="21"/>
          <w:highlight w:val="none"/>
        </w:rPr>
        <w:t>关于竣工验收程序的约定：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37B3EA6">
      <w:pPr>
        <w:spacing w:line="360" w:lineRule="auto"/>
        <w:ind w:firstLine="420"/>
        <w:jc w:val="left"/>
        <w:rPr>
          <w:rFonts w:ascii="宋体" w:hAnsi="宋体" w:cs="宋体"/>
          <w:color w:val="auto"/>
          <w:szCs w:val="21"/>
          <w:highlight w:val="none"/>
          <w:u w:val="single"/>
        </w:rPr>
      </w:pPr>
      <w:r>
        <w:rPr>
          <w:rFonts w:hint="eastAsia" w:ascii="宋体" w:hAnsi="宋体" w:cs="宋体"/>
          <w:color w:val="auto"/>
          <w:szCs w:val="21"/>
          <w:highlight w:val="none"/>
        </w:rPr>
        <w:t>发包人不按照本项约定组织竣工验收、颁发工程接收证书的违约金的计算方法：</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7D7B24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13.2.5移交、接收全部与部分工程</w:t>
      </w:r>
    </w:p>
    <w:p w14:paraId="1CFCB135">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承包人向发包人移交工程的期限：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1295396">
      <w:pPr>
        <w:spacing w:line="360" w:lineRule="auto"/>
        <w:ind w:firstLine="420"/>
        <w:jc w:val="left"/>
        <w:rPr>
          <w:rFonts w:ascii="宋体" w:hAnsi="宋体" w:cs="宋体"/>
          <w:color w:val="auto"/>
          <w:szCs w:val="21"/>
          <w:highlight w:val="none"/>
          <w:u w:val="single"/>
        </w:rPr>
      </w:pPr>
      <w:r>
        <w:rPr>
          <w:rFonts w:hint="eastAsia" w:ascii="宋体" w:hAnsi="宋体" w:cs="宋体"/>
          <w:color w:val="auto"/>
          <w:szCs w:val="21"/>
          <w:highlight w:val="none"/>
        </w:rPr>
        <w:t>发包人未按本合同约定接收全部或部分工程的，违约金的计算方法为：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26705CB">
      <w:pPr>
        <w:spacing w:line="360" w:lineRule="auto"/>
        <w:ind w:firstLine="420"/>
        <w:jc w:val="left"/>
        <w:rPr>
          <w:rFonts w:ascii="宋体" w:hAnsi="宋体" w:cs="宋体"/>
          <w:color w:val="auto"/>
          <w:szCs w:val="21"/>
          <w:highlight w:val="none"/>
          <w:u w:val="single"/>
        </w:rPr>
      </w:pPr>
      <w:r>
        <w:rPr>
          <w:rFonts w:hint="eastAsia" w:ascii="宋体" w:hAnsi="宋体" w:cs="宋体"/>
          <w:color w:val="auto"/>
          <w:szCs w:val="21"/>
          <w:highlight w:val="none"/>
        </w:rPr>
        <w:t>承包人未按时移交工程的，违约金的计算方法为：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019A810">
      <w:pPr>
        <w:spacing w:after="120" w:line="360" w:lineRule="auto"/>
        <w:rPr>
          <w:rFonts w:ascii="宋体" w:hAnsi="宋体" w:cs="宋体"/>
          <w:color w:val="auto"/>
          <w:szCs w:val="21"/>
          <w:highlight w:val="none"/>
        </w:rPr>
      </w:pPr>
      <w:r>
        <w:rPr>
          <w:rFonts w:hint="eastAsia" w:ascii="宋体" w:hAnsi="宋体" w:cs="宋体"/>
          <w:color w:val="auto"/>
          <w:szCs w:val="21"/>
          <w:highlight w:val="none"/>
        </w:rPr>
        <w:t>13.3 工程试车</w:t>
      </w:r>
    </w:p>
    <w:p w14:paraId="3C995A3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13.3.1 试车程序</w:t>
      </w:r>
    </w:p>
    <w:p w14:paraId="05DC4CB5">
      <w:pPr>
        <w:spacing w:line="360" w:lineRule="auto"/>
        <w:ind w:firstLine="420"/>
        <w:jc w:val="left"/>
        <w:rPr>
          <w:rFonts w:ascii="宋体" w:hAnsi="宋体" w:cs="宋体"/>
          <w:color w:val="auto"/>
          <w:szCs w:val="21"/>
          <w:highlight w:val="none"/>
          <w:u w:val="single"/>
        </w:rPr>
      </w:pPr>
      <w:r>
        <w:rPr>
          <w:rFonts w:hint="eastAsia" w:ascii="宋体" w:hAnsi="宋体" w:cs="宋体"/>
          <w:color w:val="auto"/>
          <w:szCs w:val="21"/>
          <w:highlight w:val="none"/>
        </w:rPr>
        <w:t>工程试车内容：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DFBAB2C">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（1）单机无负荷试车费用由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承担；</w:t>
      </w:r>
    </w:p>
    <w:p w14:paraId="1F1D490C">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（2）无负荷联动试车费用由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承担。</w:t>
      </w:r>
    </w:p>
    <w:p w14:paraId="7B65F4EB">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13.3.3 投料试车</w:t>
      </w:r>
    </w:p>
    <w:p w14:paraId="3B9CBF2F">
      <w:pPr>
        <w:spacing w:line="360" w:lineRule="auto"/>
        <w:ind w:firstLine="420"/>
        <w:jc w:val="left"/>
        <w:rPr>
          <w:rFonts w:ascii="宋体" w:hAnsi="宋体" w:cs="宋体"/>
          <w:color w:val="auto"/>
          <w:szCs w:val="21"/>
          <w:highlight w:val="none"/>
          <w:u w:val="single"/>
        </w:rPr>
      </w:pPr>
      <w:r>
        <w:rPr>
          <w:rFonts w:hint="eastAsia" w:ascii="宋体" w:hAnsi="宋体" w:cs="宋体"/>
          <w:color w:val="auto"/>
          <w:szCs w:val="21"/>
          <w:highlight w:val="none"/>
        </w:rPr>
        <w:t>关于投料试车相关事项的约定：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B5736F6">
      <w:pPr>
        <w:spacing w:after="120" w:line="360" w:lineRule="auto"/>
        <w:rPr>
          <w:rFonts w:ascii="宋体" w:hAnsi="宋体" w:cs="宋体"/>
          <w:color w:val="auto"/>
          <w:szCs w:val="21"/>
          <w:highlight w:val="none"/>
        </w:rPr>
      </w:pPr>
      <w:r>
        <w:rPr>
          <w:rFonts w:hint="eastAsia" w:ascii="宋体" w:hAnsi="宋体" w:cs="宋体"/>
          <w:color w:val="auto"/>
          <w:szCs w:val="21"/>
          <w:highlight w:val="none"/>
        </w:rPr>
        <w:t>13.6 竣工退场</w:t>
      </w:r>
    </w:p>
    <w:p w14:paraId="7F820329">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13.6.1 竣工退场</w:t>
      </w:r>
    </w:p>
    <w:p w14:paraId="04B4C1CF">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承包人完成竣工退场的期限：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261574B">
      <w:pPr>
        <w:keepNext/>
        <w:keepLines/>
        <w:spacing w:before="120" w:after="120" w:line="360" w:lineRule="auto"/>
        <w:outlineLvl w:val="3"/>
        <w:rPr>
          <w:rFonts w:ascii="宋体" w:hAnsi="宋体" w:cs="宋体"/>
          <w:bCs/>
          <w:color w:val="auto"/>
          <w:szCs w:val="21"/>
          <w:highlight w:val="none"/>
        </w:rPr>
      </w:pPr>
      <w:r>
        <w:rPr>
          <w:rFonts w:hint="eastAsia" w:ascii="宋体" w:hAnsi="宋体" w:cs="宋体"/>
          <w:bCs/>
          <w:color w:val="auto"/>
          <w:szCs w:val="21"/>
          <w:highlight w:val="none"/>
        </w:rPr>
        <w:t>14. 竣工结算</w:t>
      </w:r>
    </w:p>
    <w:p w14:paraId="0E28EAAE">
      <w:pPr>
        <w:spacing w:after="120" w:line="360" w:lineRule="auto"/>
        <w:rPr>
          <w:rFonts w:ascii="宋体" w:hAnsi="宋体" w:cs="宋体"/>
          <w:color w:val="auto"/>
          <w:szCs w:val="21"/>
          <w:highlight w:val="none"/>
        </w:rPr>
      </w:pPr>
      <w:r>
        <w:rPr>
          <w:rFonts w:hint="eastAsia" w:ascii="宋体" w:hAnsi="宋体" w:cs="宋体"/>
          <w:color w:val="auto"/>
          <w:szCs w:val="21"/>
          <w:highlight w:val="none"/>
        </w:rPr>
        <w:t>14.1 竣工付款申请</w:t>
      </w:r>
    </w:p>
    <w:p w14:paraId="44BB8571">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承包人提交竣工付款申请单的期限：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58E865E">
      <w:pPr>
        <w:spacing w:line="360" w:lineRule="auto"/>
        <w:ind w:firstLine="420"/>
        <w:jc w:val="left"/>
        <w:rPr>
          <w:rFonts w:ascii="宋体" w:hAnsi="宋体" w:cs="宋体"/>
          <w:color w:val="auto"/>
          <w:szCs w:val="21"/>
          <w:highlight w:val="none"/>
          <w:u w:val="single"/>
        </w:rPr>
      </w:pPr>
      <w:r>
        <w:rPr>
          <w:rFonts w:hint="eastAsia" w:ascii="宋体" w:hAnsi="宋体" w:cs="宋体"/>
          <w:color w:val="auto"/>
          <w:szCs w:val="21"/>
          <w:highlight w:val="none"/>
        </w:rPr>
        <w:t>竣工付款申请单应包括的内容：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5EE1CC3">
      <w:pPr>
        <w:spacing w:after="120" w:line="360" w:lineRule="auto"/>
        <w:rPr>
          <w:rFonts w:ascii="宋体" w:hAnsi="宋体" w:cs="宋体"/>
          <w:color w:val="auto"/>
          <w:szCs w:val="21"/>
          <w:highlight w:val="none"/>
        </w:rPr>
      </w:pPr>
      <w:r>
        <w:rPr>
          <w:rFonts w:hint="eastAsia" w:ascii="宋体" w:hAnsi="宋体" w:cs="宋体"/>
          <w:color w:val="auto"/>
          <w:szCs w:val="21"/>
          <w:highlight w:val="none"/>
        </w:rPr>
        <w:t>14.2 竣工结算审核</w:t>
      </w:r>
    </w:p>
    <w:p w14:paraId="39182409">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发包人审批竣工付款申请单的期限：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5D40FD9">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发包人完成竣工付款的期限：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155B750">
      <w:pPr>
        <w:spacing w:line="360" w:lineRule="auto"/>
        <w:ind w:firstLine="420"/>
        <w:jc w:val="left"/>
        <w:rPr>
          <w:rFonts w:ascii="宋体" w:hAnsi="宋体" w:cs="宋体"/>
          <w:color w:val="auto"/>
          <w:szCs w:val="21"/>
          <w:highlight w:val="none"/>
          <w:u w:val="single"/>
        </w:rPr>
      </w:pPr>
      <w:r>
        <w:rPr>
          <w:rFonts w:hint="eastAsia" w:ascii="宋体" w:hAnsi="宋体" w:cs="宋体"/>
          <w:color w:val="auto"/>
          <w:szCs w:val="21"/>
          <w:highlight w:val="none"/>
        </w:rPr>
        <w:t>关于竣工付款证书异议部分复核的方式和程序：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B5C7155">
      <w:pPr>
        <w:spacing w:after="120" w:line="360" w:lineRule="auto"/>
        <w:rPr>
          <w:rFonts w:ascii="宋体" w:hAnsi="宋体" w:cs="宋体"/>
          <w:color w:val="auto"/>
          <w:szCs w:val="21"/>
          <w:highlight w:val="none"/>
        </w:rPr>
      </w:pPr>
      <w:r>
        <w:rPr>
          <w:rFonts w:hint="eastAsia" w:ascii="宋体" w:hAnsi="宋体" w:cs="宋体"/>
          <w:color w:val="auto"/>
          <w:szCs w:val="21"/>
          <w:highlight w:val="none"/>
        </w:rPr>
        <w:t>14.4 最终结清</w:t>
      </w:r>
    </w:p>
    <w:p w14:paraId="1748832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14.4.1 最终结清申请单</w:t>
      </w:r>
    </w:p>
    <w:p w14:paraId="23CA14B7">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承包人提交最终结清申请单的份数：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0C04C61">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承包人提交最终结算申请单的期限：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3FF816D">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14.4.2 最终结清证书和支付</w:t>
      </w:r>
    </w:p>
    <w:p w14:paraId="66BCCA12">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（1）发包人完成最终结清申请单的审批并颁发最终结清证书的期限：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18248A2">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（2）发包人完成支付的期限：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A1B88F6">
      <w:pPr>
        <w:keepNext/>
        <w:keepLines/>
        <w:spacing w:before="120" w:after="120" w:line="360" w:lineRule="auto"/>
        <w:outlineLvl w:val="3"/>
        <w:rPr>
          <w:rFonts w:ascii="宋体" w:hAnsi="宋体" w:cs="宋体"/>
          <w:bCs/>
          <w:color w:val="auto"/>
          <w:szCs w:val="21"/>
          <w:highlight w:val="none"/>
        </w:rPr>
      </w:pPr>
      <w:r>
        <w:rPr>
          <w:rFonts w:hint="eastAsia" w:ascii="宋体" w:hAnsi="宋体" w:cs="宋体"/>
          <w:bCs/>
          <w:color w:val="auto"/>
          <w:szCs w:val="21"/>
          <w:highlight w:val="none"/>
        </w:rPr>
        <w:t>15. 缺陷责任期与保修</w:t>
      </w:r>
    </w:p>
    <w:p w14:paraId="73846369">
      <w:pPr>
        <w:spacing w:after="120" w:line="360" w:lineRule="auto"/>
        <w:rPr>
          <w:rFonts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缺陷责任期</w:t>
      </w:r>
    </w:p>
    <w:p w14:paraId="597D2F67">
      <w:pPr>
        <w:spacing w:line="360" w:lineRule="auto"/>
        <w:ind w:firstLine="420"/>
        <w:jc w:val="left"/>
        <w:rPr>
          <w:rFonts w:ascii="宋体" w:hAnsi="宋体" w:cs="宋体"/>
          <w:color w:val="auto"/>
          <w:szCs w:val="21"/>
          <w:highlight w:val="none"/>
          <w:u w:val="single"/>
        </w:rPr>
      </w:pPr>
      <w:r>
        <w:rPr>
          <w:rFonts w:hint="eastAsia" w:ascii="宋体" w:hAnsi="宋体" w:cs="宋体"/>
          <w:color w:val="auto"/>
          <w:szCs w:val="21"/>
          <w:highlight w:val="none"/>
        </w:rPr>
        <w:t>缺陷责任期的具体期限：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 xml:space="preserve">个月                  </w:t>
      </w:r>
      <w:r>
        <w:rPr>
          <w:rFonts w:hint="eastAsia" w:ascii="宋体" w:hAnsi="宋体" w:cs="宋体"/>
          <w:color w:val="auto"/>
          <w:szCs w:val="21"/>
          <w:highlight w:val="none"/>
        </w:rPr>
        <w:t>。</w:t>
      </w:r>
    </w:p>
    <w:p w14:paraId="41121EE3">
      <w:pPr>
        <w:spacing w:after="120" w:line="360" w:lineRule="auto"/>
        <w:rPr>
          <w:rFonts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质量保证金</w:t>
      </w:r>
    </w:p>
    <w:p w14:paraId="47455052">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关于是否扣留质量保证金的约定：</w:t>
      </w:r>
      <w:r>
        <w:rPr>
          <w:rFonts w:hint="eastAsia" w:ascii="宋体" w:hAnsi="宋体" w:cs="宋体"/>
          <w:color w:val="auto"/>
          <w:szCs w:val="21"/>
          <w:highlight w:val="none"/>
          <w:u w:val="single"/>
        </w:rPr>
        <w:t>工程结算价的3%</w:t>
      </w:r>
      <w:r>
        <w:rPr>
          <w:rFonts w:hint="eastAsia" w:ascii="宋体" w:hAnsi="宋体" w:cs="宋体"/>
          <w:color w:val="auto"/>
          <w:szCs w:val="21"/>
          <w:highlight w:val="none"/>
        </w:rPr>
        <w:t>。</w:t>
      </w:r>
    </w:p>
    <w:p w14:paraId="667C9E0B">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 承包人提供质量保证金的方式</w:t>
      </w:r>
    </w:p>
    <w:p w14:paraId="02421633">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质量保证金采用以下第</w:t>
      </w:r>
      <w:r>
        <w:rPr>
          <w:rFonts w:hint="eastAsia" w:ascii="宋体" w:hAnsi="宋体" w:cs="宋体"/>
          <w:color w:val="auto"/>
          <w:szCs w:val="21"/>
          <w:highlight w:val="none"/>
          <w:u w:val="single"/>
        </w:rPr>
        <w:t xml:space="preserve"> （2）</w:t>
      </w:r>
      <w:r>
        <w:rPr>
          <w:rFonts w:hint="eastAsia" w:ascii="宋体" w:hAnsi="宋体" w:cs="宋体"/>
          <w:color w:val="auto"/>
          <w:szCs w:val="21"/>
          <w:highlight w:val="none"/>
        </w:rPr>
        <w:t>种方式：</w:t>
      </w:r>
    </w:p>
    <w:p w14:paraId="48A0E507">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（1）质量保证金保函，保证金额为：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0BA67AF">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rPr>
        <w:t>3</w:t>
      </w:r>
      <w:r>
        <w:rPr>
          <w:rFonts w:hint="eastAsia" w:ascii="宋体" w:hAnsi="宋体" w:cs="宋体"/>
          <w:color w:val="auto"/>
          <w:szCs w:val="21"/>
          <w:highlight w:val="none"/>
        </w:rPr>
        <w:t>%的工程款；</w:t>
      </w:r>
    </w:p>
    <w:p w14:paraId="1020A16F">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（3）其他方式: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4A02AD9">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.2 质量保证金的扣留 </w:t>
      </w:r>
    </w:p>
    <w:p w14:paraId="4BCF84AA">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质量保证金的扣留采取以下第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w:t>
      </w:r>
    </w:p>
    <w:p w14:paraId="70373A57">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（1）在支付工程进度款时逐次扣留，在此情形下，质量保证金的计算基数不包括预付款的支付、扣回以及价格调整的金额；</w:t>
      </w:r>
    </w:p>
    <w:p w14:paraId="234C67FB">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每次</w:t>
      </w:r>
      <w:r>
        <w:rPr>
          <w:rFonts w:hint="eastAsia" w:ascii="宋体" w:hAnsi="宋体" w:cs="宋体"/>
          <w:color w:val="auto"/>
          <w:szCs w:val="21"/>
          <w:highlight w:val="none"/>
        </w:rPr>
        <w:t>工程结算时一次性扣留质量保证金；</w:t>
      </w:r>
    </w:p>
    <w:p w14:paraId="4893E6F7">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（3）其他扣留方式: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AB41E47">
      <w:pPr>
        <w:spacing w:line="360" w:lineRule="auto"/>
        <w:ind w:firstLine="420"/>
        <w:jc w:val="left"/>
        <w:rPr>
          <w:rFonts w:ascii="宋体" w:hAnsi="宋体" w:cs="宋体"/>
          <w:color w:val="auto"/>
          <w:szCs w:val="21"/>
          <w:highlight w:val="none"/>
          <w:u w:val="single"/>
        </w:rPr>
      </w:pPr>
      <w:r>
        <w:rPr>
          <w:rFonts w:hint="eastAsia" w:ascii="宋体" w:hAnsi="宋体" w:cs="宋体"/>
          <w:color w:val="auto"/>
          <w:szCs w:val="21"/>
          <w:highlight w:val="none"/>
        </w:rPr>
        <w:t>关于质量保证金的补充约定：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4356896">
      <w:pPr>
        <w:spacing w:after="120" w:line="360" w:lineRule="auto"/>
        <w:rPr>
          <w:rFonts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保修</w:t>
      </w:r>
    </w:p>
    <w:p w14:paraId="60EF28CE">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 保修责任</w:t>
      </w:r>
    </w:p>
    <w:p w14:paraId="697E0B58">
      <w:pPr>
        <w:spacing w:line="360" w:lineRule="auto"/>
        <w:ind w:firstLine="409"/>
        <w:jc w:val="left"/>
        <w:rPr>
          <w:rFonts w:ascii="宋体" w:hAnsi="宋体" w:cs="宋体"/>
          <w:color w:val="auto"/>
          <w:szCs w:val="21"/>
          <w:highlight w:val="none"/>
          <w:u w:val="single"/>
        </w:rPr>
      </w:pPr>
      <w:r>
        <w:rPr>
          <w:rFonts w:hint="eastAsia" w:ascii="宋体" w:hAnsi="宋体" w:cs="宋体"/>
          <w:color w:val="auto"/>
          <w:szCs w:val="21"/>
          <w:highlight w:val="none"/>
        </w:rPr>
        <w:t>工程保修期为：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F02E51C">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.3 修复通知</w:t>
      </w:r>
    </w:p>
    <w:p w14:paraId="79E7E4F8">
      <w:pPr>
        <w:spacing w:line="360" w:lineRule="auto"/>
        <w:ind w:firstLine="409"/>
        <w:jc w:val="left"/>
        <w:rPr>
          <w:rFonts w:ascii="宋体" w:hAnsi="宋体" w:cs="宋体"/>
          <w:color w:val="auto"/>
          <w:szCs w:val="21"/>
          <w:highlight w:val="none"/>
          <w:u w:val="single"/>
        </w:rPr>
      </w:pPr>
      <w:r>
        <w:rPr>
          <w:rFonts w:hint="eastAsia" w:ascii="宋体" w:hAnsi="宋体" w:cs="宋体"/>
          <w:color w:val="auto"/>
          <w:szCs w:val="21"/>
          <w:highlight w:val="none"/>
        </w:rPr>
        <w:t>承包人收到保修通知并到达工程现场的合理时间：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CCB2301">
      <w:pPr>
        <w:keepNext/>
        <w:keepLines/>
        <w:spacing w:before="120" w:after="120" w:line="360" w:lineRule="auto"/>
        <w:outlineLvl w:val="3"/>
        <w:rPr>
          <w:rFonts w:ascii="宋体" w:hAnsi="宋体" w:cs="宋体"/>
          <w:bCs/>
          <w:color w:val="auto"/>
          <w:szCs w:val="21"/>
          <w:highlight w:val="none"/>
        </w:rPr>
      </w:pPr>
      <w:r>
        <w:rPr>
          <w:rFonts w:hint="eastAsia" w:ascii="宋体" w:hAnsi="宋体" w:cs="宋体"/>
          <w:bCs/>
          <w:color w:val="auto"/>
          <w:szCs w:val="21"/>
          <w:highlight w:val="none"/>
        </w:rPr>
        <w:t>16. 违约</w:t>
      </w:r>
    </w:p>
    <w:p w14:paraId="795727C4">
      <w:pPr>
        <w:spacing w:after="120" w:line="360" w:lineRule="auto"/>
        <w:rPr>
          <w:rFonts w:ascii="宋体" w:hAnsi="宋体" w:cs="宋体"/>
          <w:color w:val="auto"/>
          <w:szCs w:val="21"/>
          <w:highlight w:val="none"/>
        </w:rPr>
      </w:pPr>
      <w:r>
        <w:rPr>
          <w:rFonts w:hint="eastAsia" w:ascii="宋体" w:hAnsi="宋体" w:cs="宋体"/>
          <w:color w:val="auto"/>
          <w:szCs w:val="21"/>
          <w:highlight w:val="none"/>
        </w:rPr>
        <w:t>16.1 发包人违约</w:t>
      </w:r>
    </w:p>
    <w:p w14:paraId="23F13F17">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16.1.1发包人违约的情形</w:t>
      </w:r>
    </w:p>
    <w:p w14:paraId="2EB219D8">
      <w:pPr>
        <w:spacing w:line="360" w:lineRule="auto"/>
        <w:ind w:firstLine="420"/>
        <w:jc w:val="left"/>
        <w:rPr>
          <w:rFonts w:ascii="宋体" w:hAnsi="宋体" w:cs="宋体"/>
          <w:color w:val="auto"/>
          <w:szCs w:val="21"/>
          <w:highlight w:val="none"/>
          <w:u w:val="single"/>
        </w:rPr>
      </w:pPr>
      <w:r>
        <w:rPr>
          <w:rFonts w:hint="eastAsia" w:ascii="宋体" w:hAnsi="宋体" w:cs="宋体"/>
          <w:color w:val="auto"/>
          <w:szCs w:val="21"/>
          <w:highlight w:val="none"/>
        </w:rPr>
        <w:t>发包人违约的其他情形：</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BE2DD85">
      <w:pPr>
        <w:spacing w:line="360" w:lineRule="auto"/>
        <w:ind w:left="1050" w:hanging="1050"/>
        <w:jc w:val="left"/>
        <w:rPr>
          <w:rFonts w:ascii="宋体" w:hAnsi="宋体" w:cs="宋体"/>
          <w:color w:val="auto"/>
          <w:szCs w:val="21"/>
          <w:highlight w:val="none"/>
        </w:rPr>
      </w:pPr>
      <w:r>
        <w:rPr>
          <w:rFonts w:hint="eastAsia" w:ascii="宋体" w:hAnsi="宋体" w:cs="宋体"/>
          <w:color w:val="auto"/>
          <w:szCs w:val="21"/>
          <w:highlight w:val="none"/>
        </w:rPr>
        <w:t>16.1.2 发包人违约的责任</w:t>
      </w:r>
    </w:p>
    <w:p w14:paraId="0EE66831">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发包人违约责任的承担方式和计算方法：</w:t>
      </w:r>
    </w:p>
    <w:p w14:paraId="3E77BD85">
      <w:pPr>
        <w:spacing w:line="360" w:lineRule="auto"/>
        <w:ind w:firstLine="420"/>
        <w:jc w:val="left"/>
        <w:rPr>
          <w:rFonts w:ascii="宋体" w:hAnsi="宋体" w:cs="宋体"/>
          <w:color w:val="auto"/>
          <w:szCs w:val="21"/>
          <w:highlight w:val="none"/>
          <w:u w:val="single"/>
        </w:rPr>
      </w:pPr>
      <w:r>
        <w:rPr>
          <w:rFonts w:hint="eastAsia" w:ascii="宋体" w:hAnsi="宋体" w:cs="宋体"/>
          <w:color w:val="auto"/>
          <w:szCs w:val="21"/>
          <w:highlight w:val="none"/>
        </w:rPr>
        <w:t>（1）因发包人原因未能在计划开工日期前7天内下达开工通知的违约责任：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645F080">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（2）因发包人原因未能按合同约定支付合同价款的违约责任：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0A2F324">
      <w:pPr>
        <w:spacing w:line="360" w:lineRule="auto"/>
        <w:ind w:firstLine="420"/>
        <w:jc w:val="left"/>
        <w:rPr>
          <w:rFonts w:ascii="宋体" w:hAnsi="宋体" w:cs="宋体"/>
          <w:color w:val="auto"/>
          <w:szCs w:val="21"/>
          <w:highlight w:val="none"/>
          <w:u w:val="single"/>
        </w:rPr>
      </w:pPr>
      <w:r>
        <w:rPr>
          <w:rFonts w:hint="eastAsia" w:ascii="宋体" w:hAnsi="宋体" w:cs="宋体"/>
          <w:color w:val="auto"/>
          <w:szCs w:val="21"/>
          <w:highlight w:val="none"/>
        </w:rPr>
        <w:t>（3）发包人违反第10.1款〔变更的范围〕第（2）项约定，自行实施被取消的工作或转由他人实施的违约责任：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2404C3B">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C387A29">
      <w:pPr>
        <w:spacing w:line="360" w:lineRule="auto"/>
        <w:ind w:firstLine="420"/>
        <w:jc w:val="left"/>
        <w:rPr>
          <w:rFonts w:ascii="宋体" w:hAnsi="宋体" w:cs="宋体"/>
          <w:color w:val="auto"/>
          <w:szCs w:val="21"/>
          <w:highlight w:val="none"/>
          <w:u w:val="single"/>
        </w:rPr>
      </w:pPr>
      <w:r>
        <w:rPr>
          <w:rFonts w:hint="eastAsia" w:ascii="宋体" w:hAnsi="宋体" w:cs="宋体"/>
          <w:color w:val="auto"/>
          <w:szCs w:val="21"/>
          <w:highlight w:val="none"/>
        </w:rPr>
        <w:t>（5）因发包人违反合同约定造成暂停施工的违约责任：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F943734">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（6）发包人无正当理由没有在约定期限内发出复工指示，导致承包人无法复工的违约责任：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6AA1C85">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（7）其他：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1AEE10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16.1.3 因发包人违约解除合同</w:t>
      </w:r>
    </w:p>
    <w:p w14:paraId="169FAA7D">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承包人按16.1.1项〔发包人违约的情形〕约定暂停施工满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天后发包人仍不纠正其违约行为并致使合同目的不能实现的，承包人有权解除合同。</w:t>
      </w:r>
    </w:p>
    <w:p w14:paraId="602FAB28">
      <w:pPr>
        <w:spacing w:after="120" w:line="360" w:lineRule="auto"/>
        <w:rPr>
          <w:rFonts w:ascii="宋体" w:hAnsi="宋体" w:cs="宋体"/>
          <w:color w:val="auto"/>
          <w:szCs w:val="21"/>
          <w:highlight w:val="none"/>
        </w:rPr>
      </w:pPr>
      <w:r>
        <w:rPr>
          <w:rFonts w:hint="eastAsia" w:ascii="宋体" w:hAnsi="宋体" w:cs="宋体"/>
          <w:color w:val="auto"/>
          <w:szCs w:val="21"/>
          <w:highlight w:val="none"/>
        </w:rPr>
        <w:t>16.2 承包人违约</w:t>
      </w:r>
    </w:p>
    <w:p w14:paraId="0F18B4ED">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16.2.1 承包人违约的情形</w:t>
      </w:r>
    </w:p>
    <w:p w14:paraId="0C5445F0">
      <w:pPr>
        <w:spacing w:line="360" w:lineRule="auto"/>
        <w:ind w:firstLine="420"/>
        <w:jc w:val="left"/>
        <w:rPr>
          <w:rFonts w:ascii="宋体" w:hAnsi="宋体" w:cs="宋体"/>
          <w:color w:val="auto"/>
          <w:szCs w:val="21"/>
          <w:highlight w:val="none"/>
          <w:u w:val="single"/>
        </w:rPr>
      </w:pPr>
      <w:r>
        <w:rPr>
          <w:rFonts w:hint="eastAsia" w:ascii="宋体" w:hAnsi="宋体" w:cs="宋体"/>
          <w:color w:val="auto"/>
          <w:szCs w:val="21"/>
          <w:highlight w:val="none"/>
        </w:rPr>
        <w:t>承包人违约的其他情形：</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7DE752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16.2.2承包人违约的责任</w:t>
      </w:r>
    </w:p>
    <w:p w14:paraId="0C694CD0">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承包人违约责任的承担方式和计算方法：</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。16.2.3 因承包人违约解除合同</w:t>
      </w:r>
    </w:p>
    <w:p w14:paraId="0733DD13">
      <w:pPr>
        <w:spacing w:line="360" w:lineRule="auto"/>
        <w:ind w:firstLine="420"/>
        <w:jc w:val="left"/>
        <w:rPr>
          <w:rFonts w:hint="eastAsia" w:ascii="宋体" w:hAnsi="宋体" w:eastAsia="宋体" w:cs="宋体"/>
          <w:b/>
          <w:bCs/>
          <w:color w:val="auto"/>
          <w:szCs w:val="21"/>
          <w:highlight w:val="none"/>
          <w:u w:val="single"/>
          <w:lang w:eastAsia="zh-CN"/>
        </w:rPr>
      </w:pPr>
      <w:r>
        <w:rPr>
          <w:rFonts w:hint="eastAsia" w:ascii="宋体" w:hAnsi="宋体" w:cs="宋体"/>
          <w:color w:val="auto"/>
          <w:kern w:val="0"/>
          <w:szCs w:val="21"/>
          <w:highlight w:val="none"/>
        </w:rPr>
        <w:t>关于承包人违约解除合同的特别约定：</w:t>
      </w:r>
      <w:r>
        <w:rPr>
          <w:rFonts w:hint="eastAsia" w:ascii="宋体" w:hAnsi="宋体" w:cs="宋体"/>
          <w:color w:val="auto"/>
          <w:kern w:val="0"/>
          <w:szCs w:val="21"/>
          <w:highlight w:val="none"/>
          <w:u w:val="single"/>
        </w:rPr>
        <w:t>承包人有以下情况之一者，</w:t>
      </w:r>
      <w:r>
        <w:rPr>
          <w:rFonts w:hint="eastAsia" w:ascii="宋体" w:hAnsi="宋体" w:cs="宋体"/>
          <w:color w:val="auto"/>
          <w:kern w:val="0"/>
          <w:szCs w:val="21"/>
          <w:highlight w:val="none"/>
          <w:u w:val="single"/>
          <w:lang w:val="en-US" w:eastAsia="zh-CN"/>
        </w:rPr>
        <w:t>承包人应按已完成工程的结算价10%作为违约金支付给发包人，同时</w:t>
      </w:r>
      <w:r>
        <w:rPr>
          <w:rFonts w:hint="eastAsia" w:ascii="宋体" w:hAnsi="宋体" w:cs="宋体"/>
          <w:color w:val="auto"/>
          <w:kern w:val="0"/>
          <w:szCs w:val="21"/>
          <w:highlight w:val="none"/>
          <w:u w:val="single"/>
        </w:rPr>
        <w:t>发包人有权解除合同：（1）个人承包工程，包括本人单位及外单位人员承包，发包人不承认其个人拥有任何资质等级及营业许可资格；（2）几个人联合承包工程，就地组织暗分包队伍，不具备完成本工程的技术、机械能力，被发包人判定为没有能力履行的；（3）就地转包全部的工程，以谋取高额转让费、管理费的；（4）承包人有部分分包现象（其中包括冒充承包人下属单位的，凭口头协议参与施工的分包人及其他暗分包个体户），一经发现核实，发包人将采取驱逐该暗分包人措施，并对承包人处予违约处罚金，违约处罚金金额为</w:t>
      </w:r>
      <w:r>
        <w:rPr>
          <w:rFonts w:hint="eastAsia" w:ascii="宋体" w:hAnsi="宋体" w:cs="宋体"/>
          <w:color w:val="auto"/>
          <w:szCs w:val="21"/>
          <w:highlight w:val="none"/>
        </w:rPr>
        <w:t>第三方审核机构或市财政投资评审中心审定的结算价款</w:t>
      </w:r>
      <w:r>
        <w:rPr>
          <w:rFonts w:hint="eastAsia" w:ascii="宋体" w:hAnsi="宋体" w:cs="宋体"/>
          <w:color w:val="auto"/>
          <w:kern w:val="0"/>
          <w:szCs w:val="21"/>
          <w:highlight w:val="none"/>
          <w:u w:val="single"/>
        </w:rPr>
        <w:t>的1%～2%（视情节严重而定）。</w:t>
      </w:r>
      <w:r>
        <w:rPr>
          <w:rFonts w:hint="eastAsia" w:ascii="宋体" w:hAnsi="宋体" w:cs="宋体"/>
          <w:b/>
          <w:bCs/>
          <w:color w:val="auto"/>
          <w:kern w:val="0"/>
          <w:szCs w:val="21"/>
          <w:highlight w:val="none"/>
          <w:u w:val="single"/>
          <w:lang w:eastAsia="zh-CN"/>
        </w:rPr>
        <w:t>（</w:t>
      </w:r>
      <w:r>
        <w:rPr>
          <w:rFonts w:hint="eastAsia" w:ascii="宋体" w:hAnsi="宋体" w:cs="宋体"/>
          <w:b/>
          <w:bCs/>
          <w:color w:val="auto"/>
          <w:kern w:val="0"/>
          <w:szCs w:val="21"/>
          <w:highlight w:val="none"/>
          <w:u w:val="single"/>
          <w:lang w:val="en-US" w:eastAsia="zh-CN"/>
        </w:rPr>
        <w:t>5</w:t>
      </w:r>
      <w:r>
        <w:rPr>
          <w:rFonts w:hint="eastAsia" w:ascii="宋体" w:hAnsi="宋体" w:cs="宋体"/>
          <w:b/>
          <w:bCs/>
          <w:color w:val="auto"/>
          <w:kern w:val="0"/>
          <w:szCs w:val="21"/>
          <w:highlight w:val="none"/>
          <w:u w:val="single"/>
          <w:lang w:eastAsia="zh-CN"/>
        </w:rPr>
        <w:t>）</w:t>
      </w:r>
      <w:r>
        <w:rPr>
          <w:rFonts w:hint="eastAsia" w:ascii="宋体" w:hAnsi="宋体" w:cs="宋体"/>
          <w:b/>
          <w:bCs/>
          <w:color w:val="auto"/>
          <w:kern w:val="0"/>
          <w:szCs w:val="21"/>
          <w:highlight w:val="none"/>
          <w:u w:val="single"/>
        </w:rPr>
        <w:t>承包人</w:t>
      </w:r>
      <w:r>
        <w:rPr>
          <w:rFonts w:hint="eastAsia" w:ascii="宋体" w:hAnsi="宋体" w:cs="宋体"/>
          <w:b/>
          <w:bCs/>
          <w:color w:val="auto"/>
          <w:kern w:val="0"/>
          <w:szCs w:val="21"/>
          <w:highlight w:val="none"/>
          <w:u w:val="single"/>
          <w:lang w:eastAsia="zh-CN"/>
        </w:rPr>
        <w:t>在收到发包人的通知要求（在法律法规的允许下）三次（含三次）以上没有按照要求实施的。</w:t>
      </w:r>
      <w:r>
        <w:rPr>
          <w:rFonts w:hint="eastAsia" w:ascii="宋体" w:hAnsi="宋体" w:cs="宋体"/>
          <w:color w:val="auto"/>
          <w:szCs w:val="21"/>
          <w:highlight w:val="none"/>
        </w:rPr>
        <w:t xml:space="preserve">    </w:t>
      </w:r>
    </w:p>
    <w:p w14:paraId="171D8E8D">
      <w:pPr>
        <w:spacing w:before="120" w:after="120" w:line="360" w:lineRule="auto"/>
        <w:ind w:firstLine="420"/>
        <w:rPr>
          <w:rFonts w:ascii="宋体" w:hAnsi="宋体" w:cs="宋体"/>
          <w:color w:val="auto"/>
          <w:szCs w:val="21"/>
          <w:highlight w:val="none"/>
        </w:rPr>
      </w:pPr>
      <w:r>
        <w:rPr>
          <w:rFonts w:hint="eastAsia" w:ascii="宋体" w:hAnsi="宋体" w:cs="宋体"/>
          <w:color w:val="auto"/>
          <w:szCs w:val="21"/>
          <w:highlight w:val="none"/>
        </w:rPr>
        <w:t>发包人继续使用承包人在施工现场的材料、设备、临时工程、承包人文件和由承包人或以其名义编制的其他文件的费用承担方式：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DCB385E">
      <w:pPr>
        <w:keepNext/>
        <w:keepLines/>
        <w:spacing w:before="120" w:after="120" w:line="360" w:lineRule="auto"/>
        <w:outlineLvl w:val="3"/>
        <w:rPr>
          <w:rFonts w:ascii="宋体" w:hAnsi="宋体" w:cs="宋体"/>
          <w:bCs/>
          <w:color w:val="auto"/>
          <w:szCs w:val="21"/>
          <w:highlight w:val="none"/>
        </w:rPr>
      </w:pPr>
      <w:r>
        <w:rPr>
          <w:rFonts w:hint="eastAsia" w:ascii="宋体" w:hAnsi="宋体" w:cs="宋体"/>
          <w:bCs/>
          <w:color w:val="auto"/>
          <w:szCs w:val="21"/>
          <w:highlight w:val="none"/>
        </w:rPr>
        <w:t xml:space="preserve">17. 不可抗力 </w:t>
      </w:r>
    </w:p>
    <w:p w14:paraId="4C909266">
      <w:pPr>
        <w:spacing w:after="120" w:line="360" w:lineRule="auto"/>
        <w:rPr>
          <w:rFonts w:ascii="宋体" w:hAnsi="宋体" w:cs="宋体"/>
          <w:color w:val="auto"/>
          <w:szCs w:val="21"/>
          <w:highlight w:val="none"/>
        </w:rPr>
      </w:pPr>
      <w:r>
        <w:rPr>
          <w:rFonts w:hint="eastAsia" w:ascii="宋体" w:hAnsi="宋体" w:cs="宋体"/>
          <w:color w:val="auto"/>
          <w:szCs w:val="21"/>
          <w:highlight w:val="none"/>
        </w:rPr>
        <w:t>17.1 不可抗力的确认</w:t>
      </w:r>
    </w:p>
    <w:p w14:paraId="2A88BE71">
      <w:pPr>
        <w:spacing w:line="360" w:lineRule="auto"/>
        <w:ind w:firstLine="420"/>
        <w:jc w:val="left"/>
        <w:rPr>
          <w:rFonts w:ascii="宋体" w:hAnsi="宋体" w:cs="宋体"/>
          <w:color w:val="auto"/>
          <w:szCs w:val="21"/>
          <w:highlight w:val="none"/>
          <w:u w:val="single"/>
        </w:rPr>
      </w:pPr>
      <w:r>
        <w:rPr>
          <w:rFonts w:hint="eastAsia" w:ascii="宋体" w:hAnsi="宋体" w:cs="宋体"/>
          <w:color w:val="auto"/>
          <w:szCs w:val="21"/>
          <w:highlight w:val="none"/>
        </w:rPr>
        <w:t xml:space="preserve">除通用合同条款约定的不可抗力事件之外，视为不可抗力的其他情形：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9D3CC5D">
      <w:pPr>
        <w:spacing w:after="120" w:line="360" w:lineRule="auto"/>
        <w:rPr>
          <w:rFonts w:ascii="宋体" w:hAnsi="宋体" w:cs="宋体"/>
          <w:color w:val="auto"/>
          <w:szCs w:val="21"/>
          <w:highlight w:val="none"/>
        </w:rPr>
      </w:pPr>
      <w:r>
        <w:rPr>
          <w:rFonts w:hint="eastAsia" w:ascii="宋体" w:hAnsi="宋体" w:cs="宋体"/>
          <w:color w:val="auto"/>
          <w:szCs w:val="21"/>
          <w:highlight w:val="none"/>
        </w:rPr>
        <w:t>17.4 因不可抗力解除合同</w:t>
      </w:r>
    </w:p>
    <w:p w14:paraId="057A1721">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合同解除后，发包人应在商定或确定发包人应支付款项后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天内完成款项的支付。</w:t>
      </w:r>
    </w:p>
    <w:p w14:paraId="176005AA">
      <w:pPr>
        <w:keepNext/>
        <w:keepLines/>
        <w:spacing w:before="120" w:after="120" w:line="360" w:lineRule="auto"/>
        <w:outlineLvl w:val="3"/>
        <w:rPr>
          <w:rFonts w:ascii="宋体" w:hAnsi="宋体" w:cs="宋体"/>
          <w:bCs/>
          <w:color w:val="auto"/>
          <w:szCs w:val="21"/>
          <w:highlight w:val="none"/>
        </w:rPr>
      </w:pPr>
      <w:r>
        <w:rPr>
          <w:rFonts w:hint="eastAsia" w:ascii="宋体" w:hAnsi="宋体" w:cs="宋体"/>
          <w:bCs/>
          <w:color w:val="auto"/>
          <w:szCs w:val="21"/>
          <w:highlight w:val="none"/>
        </w:rPr>
        <w:t>18. 保险</w:t>
      </w:r>
    </w:p>
    <w:p w14:paraId="4CECEF3B">
      <w:pPr>
        <w:spacing w:after="120" w:line="360" w:lineRule="auto"/>
        <w:rPr>
          <w:rFonts w:ascii="宋体" w:hAnsi="宋体" w:cs="宋体"/>
          <w:color w:val="auto"/>
          <w:szCs w:val="21"/>
          <w:highlight w:val="none"/>
        </w:rPr>
      </w:pPr>
      <w:r>
        <w:rPr>
          <w:rFonts w:hint="eastAsia" w:ascii="宋体" w:hAnsi="宋体" w:cs="宋体"/>
          <w:color w:val="auto"/>
          <w:szCs w:val="21"/>
          <w:highlight w:val="none"/>
        </w:rPr>
        <w:t>18.1 工程保险</w:t>
      </w:r>
    </w:p>
    <w:p w14:paraId="221E582C">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关于工程保险的特别约定：</w:t>
      </w:r>
      <w:r>
        <w:rPr>
          <w:rFonts w:hint="eastAsia" w:ascii="宋体" w:hAnsi="宋体" w:cs="宋体"/>
          <w:color w:val="auto"/>
          <w:szCs w:val="21"/>
          <w:highlight w:val="none"/>
          <w:u w:val="single"/>
        </w:rPr>
        <w:t xml:space="preserve">承包人必须为施工现场从事施工的所有作业人员和管理人员办理意外伤害保险，并支付保险费 </w:t>
      </w:r>
      <w:r>
        <w:rPr>
          <w:rFonts w:hint="eastAsia" w:ascii="宋体" w:hAnsi="宋体" w:cs="宋体"/>
          <w:color w:val="auto"/>
          <w:szCs w:val="21"/>
          <w:highlight w:val="none"/>
        </w:rPr>
        <w:t>。</w:t>
      </w:r>
    </w:p>
    <w:p w14:paraId="6D73D7D6">
      <w:pPr>
        <w:spacing w:after="120" w:line="360" w:lineRule="auto"/>
        <w:rPr>
          <w:rFonts w:ascii="宋体" w:hAnsi="宋体" w:cs="宋体"/>
          <w:color w:val="auto"/>
          <w:szCs w:val="21"/>
          <w:highlight w:val="none"/>
        </w:rPr>
      </w:pPr>
      <w:r>
        <w:rPr>
          <w:rFonts w:hint="eastAsia" w:ascii="宋体" w:hAnsi="宋体" w:cs="宋体"/>
          <w:color w:val="auto"/>
          <w:szCs w:val="21"/>
          <w:highlight w:val="none"/>
        </w:rPr>
        <w:t>18.3 其他保险</w:t>
      </w:r>
    </w:p>
    <w:p w14:paraId="0FE791C8">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关于其他保险的约定：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77DFAF2">
      <w:pPr>
        <w:spacing w:line="360" w:lineRule="auto"/>
        <w:ind w:firstLine="420"/>
        <w:jc w:val="left"/>
        <w:rPr>
          <w:rFonts w:ascii="宋体" w:hAnsi="宋体" w:cs="宋体"/>
          <w:color w:val="auto"/>
          <w:szCs w:val="21"/>
          <w:highlight w:val="none"/>
          <w:u w:val="single"/>
        </w:rPr>
      </w:pPr>
      <w:r>
        <w:rPr>
          <w:rFonts w:hint="eastAsia" w:ascii="宋体" w:hAnsi="宋体" w:cs="宋体"/>
          <w:color w:val="auto"/>
          <w:szCs w:val="21"/>
          <w:highlight w:val="none"/>
        </w:rPr>
        <w:t>承包人是否应为其施工设备等办理财产保险：</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8BDC278">
      <w:pPr>
        <w:spacing w:after="120" w:line="360" w:lineRule="auto"/>
        <w:rPr>
          <w:rFonts w:ascii="宋体" w:hAnsi="宋体" w:cs="宋体"/>
          <w:color w:val="auto"/>
          <w:szCs w:val="21"/>
          <w:highlight w:val="none"/>
        </w:rPr>
      </w:pPr>
      <w:r>
        <w:rPr>
          <w:rFonts w:hint="eastAsia" w:ascii="宋体" w:hAnsi="宋体" w:cs="宋体"/>
          <w:color w:val="auto"/>
          <w:szCs w:val="21"/>
          <w:highlight w:val="none"/>
        </w:rPr>
        <w:t>18.7 通知义务</w:t>
      </w:r>
    </w:p>
    <w:p w14:paraId="25878176">
      <w:pPr>
        <w:spacing w:line="360" w:lineRule="auto"/>
        <w:ind w:firstLine="420"/>
        <w:jc w:val="left"/>
        <w:rPr>
          <w:rFonts w:ascii="宋体" w:hAnsi="宋体" w:cs="宋体"/>
          <w:color w:val="auto"/>
          <w:szCs w:val="21"/>
          <w:highlight w:val="none"/>
          <w:u w:val="single"/>
        </w:rPr>
      </w:pPr>
      <w:r>
        <w:rPr>
          <w:rFonts w:hint="eastAsia" w:ascii="宋体" w:hAnsi="宋体" w:cs="宋体"/>
          <w:color w:val="auto"/>
          <w:szCs w:val="21"/>
          <w:highlight w:val="none"/>
        </w:rPr>
        <w:t>关于变更保险合同时的通知义务的约定：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9C138A9">
      <w:pPr>
        <w:keepNext/>
        <w:keepLines/>
        <w:spacing w:before="120" w:after="120" w:line="360" w:lineRule="auto"/>
        <w:outlineLvl w:val="3"/>
        <w:rPr>
          <w:rFonts w:ascii="宋体" w:hAnsi="宋体" w:cs="宋体"/>
          <w:bCs/>
          <w:color w:val="auto"/>
          <w:szCs w:val="21"/>
          <w:highlight w:val="none"/>
        </w:rPr>
      </w:pPr>
      <w:r>
        <w:rPr>
          <w:rFonts w:hint="eastAsia" w:ascii="宋体" w:hAnsi="宋体" w:cs="宋体"/>
          <w:bCs/>
          <w:color w:val="auto"/>
          <w:szCs w:val="21"/>
          <w:highlight w:val="none"/>
        </w:rPr>
        <w:t>20. 争议解决</w:t>
      </w:r>
    </w:p>
    <w:p w14:paraId="653BCDFE">
      <w:pPr>
        <w:spacing w:after="120" w:line="360" w:lineRule="auto"/>
        <w:rPr>
          <w:rFonts w:ascii="宋体" w:hAnsi="宋体" w:cs="宋体"/>
          <w:color w:val="auto"/>
          <w:szCs w:val="21"/>
          <w:highlight w:val="none"/>
        </w:rPr>
      </w:pPr>
      <w:r>
        <w:rPr>
          <w:rFonts w:hint="eastAsia" w:ascii="宋体" w:hAnsi="宋体" w:cs="宋体"/>
          <w:color w:val="auto"/>
          <w:szCs w:val="21"/>
          <w:highlight w:val="none"/>
        </w:rPr>
        <w:t>20.3 争议评审</w:t>
      </w:r>
    </w:p>
    <w:p w14:paraId="56EF5F81">
      <w:pPr>
        <w:spacing w:line="360" w:lineRule="auto"/>
        <w:ind w:left="149" w:firstLine="315"/>
        <w:jc w:val="left"/>
        <w:rPr>
          <w:rFonts w:ascii="宋体" w:hAnsi="宋体" w:cs="宋体"/>
          <w:color w:val="auto"/>
          <w:szCs w:val="21"/>
          <w:highlight w:val="none"/>
          <w:u w:val="single"/>
        </w:rPr>
      </w:pPr>
      <w:r>
        <w:rPr>
          <w:rFonts w:hint="eastAsia" w:ascii="宋体" w:hAnsi="宋体" w:cs="宋体"/>
          <w:color w:val="auto"/>
          <w:szCs w:val="21"/>
          <w:highlight w:val="none"/>
        </w:rPr>
        <w:t>合同当事人是否同意将工程争议提交争议评审小组决定：</w:t>
      </w:r>
      <w:r>
        <w:rPr>
          <w:rFonts w:hint="eastAsia" w:ascii="宋体" w:hAnsi="宋体" w:cs="宋体"/>
          <w:color w:val="auto"/>
          <w:szCs w:val="21"/>
          <w:highlight w:val="none"/>
          <w:u w:val="single"/>
        </w:rPr>
        <w:t xml:space="preserve">    </w:t>
      </w:r>
    </w:p>
    <w:p w14:paraId="43EFD4FC">
      <w:pPr>
        <w:spacing w:line="360" w:lineRule="auto"/>
        <w:jc w:val="left"/>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BFF475C">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20.3.1 争议评审小组的确定</w:t>
      </w:r>
    </w:p>
    <w:p w14:paraId="057DB4A9">
      <w:pPr>
        <w:spacing w:line="360" w:lineRule="auto"/>
        <w:ind w:firstLine="420"/>
        <w:jc w:val="left"/>
        <w:rPr>
          <w:rFonts w:ascii="宋体" w:hAnsi="宋体" w:cs="宋体"/>
          <w:color w:val="auto"/>
          <w:szCs w:val="21"/>
          <w:highlight w:val="none"/>
          <w:u w:val="single"/>
        </w:rPr>
      </w:pPr>
      <w:r>
        <w:rPr>
          <w:rFonts w:hint="eastAsia" w:ascii="宋体" w:hAnsi="宋体" w:cs="宋体"/>
          <w:color w:val="auto"/>
          <w:szCs w:val="21"/>
          <w:highlight w:val="none"/>
        </w:rPr>
        <w:t>争议评审小组成员的确定：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A815652">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选定争议评审员的期限：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30732CB">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争议评审小组成员的报酬承担方式：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F390D64">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其他事项的约定：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6BECDC4">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20.3.2 争议评审小组的决定</w:t>
      </w:r>
    </w:p>
    <w:p w14:paraId="1E7B6A99">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合同当事人关于本项的约定：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90C7689">
      <w:pPr>
        <w:spacing w:after="120" w:line="360" w:lineRule="auto"/>
        <w:rPr>
          <w:rFonts w:ascii="宋体" w:hAnsi="宋体" w:cs="宋体"/>
          <w:color w:val="auto"/>
          <w:szCs w:val="21"/>
          <w:highlight w:val="none"/>
        </w:rPr>
      </w:pPr>
      <w:r>
        <w:rPr>
          <w:rFonts w:hint="eastAsia" w:ascii="宋体" w:hAnsi="宋体" w:cs="宋体"/>
          <w:color w:val="auto"/>
          <w:szCs w:val="21"/>
          <w:highlight w:val="none"/>
        </w:rPr>
        <w:t>20.4仲裁或诉讼</w:t>
      </w:r>
    </w:p>
    <w:p w14:paraId="699215AC">
      <w:pPr>
        <w:spacing w:after="120" w:line="360" w:lineRule="auto"/>
        <w:ind w:firstLine="420"/>
        <w:rPr>
          <w:rFonts w:ascii="宋体" w:hAnsi="宋体" w:cs="宋体"/>
          <w:color w:val="auto"/>
          <w:szCs w:val="21"/>
          <w:highlight w:val="none"/>
        </w:rPr>
      </w:pPr>
      <w:r>
        <w:rPr>
          <w:rFonts w:hint="eastAsia" w:ascii="宋体" w:hAnsi="宋体" w:cs="宋体"/>
          <w:color w:val="auto"/>
          <w:szCs w:val="21"/>
          <w:highlight w:val="none"/>
        </w:rPr>
        <w:t>因合同及合同有关事项发生的争议，按下列第</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种方式解决：</w:t>
      </w:r>
    </w:p>
    <w:p w14:paraId="59AD83AF">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（1）向</w:t>
      </w:r>
      <w:r>
        <w:rPr>
          <w:rFonts w:hint="eastAsia" w:ascii="宋体" w:hAnsi="宋体" w:cs="宋体"/>
          <w:color w:val="auto"/>
          <w:szCs w:val="21"/>
          <w:highlight w:val="none"/>
          <w:u w:val="single"/>
        </w:rPr>
        <w:t xml:space="preserve">   防城港    </w:t>
      </w:r>
      <w:r>
        <w:rPr>
          <w:rFonts w:hint="eastAsia" w:ascii="宋体" w:hAnsi="宋体" w:cs="宋体"/>
          <w:color w:val="auto"/>
          <w:szCs w:val="21"/>
          <w:highlight w:val="none"/>
        </w:rPr>
        <w:t>仲裁委员会申请仲裁；</w:t>
      </w:r>
    </w:p>
    <w:p w14:paraId="26153536">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防城港市   </w:t>
      </w:r>
      <w:r>
        <w:rPr>
          <w:rFonts w:hint="eastAsia" w:ascii="宋体" w:hAnsi="宋体" w:cs="宋体"/>
          <w:color w:val="auto"/>
          <w:szCs w:val="21"/>
          <w:highlight w:val="none"/>
        </w:rPr>
        <w:t>人民法院起诉。</w:t>
      </w:r>
    </w:p>
    <w:p w14:paraId="606CF2FF">
      <w:pPr>
        <w:spacing w:line="360" w:lineRule="auto"/>
        <w:rPr>
          <w:rFonts w:ascii="宋体" w:hAnsi="宋体" w:cs="宋体"/>
          <w:b/>
          <w:color w:val="auto"/>
          <w:sz w:val="24"/>
          <w:highlight w:val="none"/>
        </w:rPr>
      </w:pPr>
      <w:r>
        <w:rPr>
          <w:rFonts w:hint="eastAsia" w:ascii="宋体" w:hAnsi="宋体" w:cs="宋体"/>
          <w:b/>
          <w:bCs/>
          <w:color w:val="auto"/>
          <w:highlight w:val="none"/>
        </w:rPr>
        <w:br w:type="page" w:clear="all"/>
      </w:r>
      <w:r>
        <w:rPr>
          <w:rFonts w:hint="eastAsia" w:ascii="宋体" w:hAnsi="宋体" w:cs="宋体"/>
          <w:b/>
          <w:color w:val="auto"/>
          <w:sz w:val="24"/>
          <w:highlight w:val="none"/>
        </w:rPr>
        <w:t>附件1</w:t>
      </w:r>
    </w:p>
    <w:p w14:paraId="68360892">
      <w:pPr>
        <w:spacing w:line="360" w:lineRule="auto"/>
        <w:ind w:firstLine="562"/>
        <w:jc w:val="center"/>
        <w:rPr>
          <w:rFonts w:ascii="宋体" w:hAnsi="宋体" w:cs="宋体"/>
          <w:color w:val="auto"/>
          <w:szCs w:val="20"/>
          <w:highlight w:val="none"/>
        </w:rPr>
      </w:pPr>
      <w:r>
        <w:rPr>
          <w:rFonts w:hint="eastAsia" w:ascii="宋体" w:hAnsi="宋体" w:cs="宋体"/>
          <w:b/>
          <w:color w:val="auto"/>
          <w:sz w:val="28"/>
          <w:szCs w:val="28"/>
          <w:highlight w:val="none"/>
        </w:rPr>
        <w:t>工程质量保修书</w:t>
      </w:r>
    </w:p>
    <w:p w14:paraId="4DDAAFEC">
      <w:pPr>
        <w:numPr>
          <w:ilvl w:val="0"/>
          <w:numId w:val="0"/>
        </w:numPr>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rPr>
        <w:t>发包人(全称)：</w:t>
      </w:r>
      <w:r>
        <w:rPr>
          <w:rFonts w:hint="eastAsia" w:ascii="宋体" w:hAnsi="宋体" w:cs="宋体"/>
          <w:color w:val="auto"/>
          <w:szCs w:val="20"/>
          <w:highlight w:val="none"/>
          <w:u w:val="single"/>
          <w:lang w:val="en-US" w:eastAsia="zh-CN"/>
        </w:rPr>
        <w:t xml:space="preserve">                        </w:t>
      </w:r>
    </w:p>
    <w:p w14:paraId="574BD669">
      <w:pPr>
        <w:numPr>
          <w:ilvl w:val="0"/>
          <w:numId w:val="0"/>
        </w:numPr>
        <w:spacing w:line="360" w:lineRule="auto"/>
        <w:ind w:firstLine="420" w:firstLineChars="200"/>
        <w:rPr>
          <w:rFonts w:hint="eastAsia" w:ascii="宋体" w:hAnsi="宋体" w:cs="宋体"/>
          <w:color w:val="auto"/>
          <w:szCs w:val="20"/>
          <w:highlight w:val="none"/>
          <w:u w:val="single"/>
          <w:lang w:val="en-US" w:eastAsia="zh-CN"/>
        </w:rPr>
      </w:pPr>
      <w:r>
        <w:rPr>
          <w:rFonts w:hint="eastAsia" w:ascii="宋体" w:hAnsi="宋体" w:cs="宋体"/>
          <w:color w:val="auto"/>
          <w:szCs w:val="20"/>
          <w:highlight w:val="none"/>
        </w:rPr>
        <w:t>承包人(全称)：</w:t>
      </w:r>
      <w:r>
        <w:rPr>
          <w:rFonts w:hint="eastAsia" w:ascii="宋体" w:hAnsi="宋体" w:cs="宋体"/>
          <w:color w:val="auto"/>
          <w:szCs w:val="20"/>
          <w:highlight w:val="none"/>
          <w:u w:val="single"/>
          <w:lang w:val="en-US" w:eastAsia="zh-CN"/>
        </w:rPr>
        <w:t xml:space="preserve">                        </w:t>
      </w:r>
    </w:p>
    <w:p w14:paraId="50A40587">
      <w:pPr>
        <w:numPr>
          <w:ilvl w:val="0"/>
          <w:numId w:val="0"/>
        </w:numPr>
        <w:spacing w:line="360" w:lineRule="auto"/>
        <w:ind w:firstLine="420" w:firstLineChars="200"/>
        <w:rPr>
          <w:rFonts w:hint="eastAsia" w:ascii="宋体" w:hAnsi="宋体" w:cs="宋体"/>
          <w:color w:val="auto"/>
          <w:szCs w:val="20"/>
          <w:highlight w:val="none"/>
          <w:u w:val="single"/>
          <w:lang w:val="en-US" w:eastAsia="zh-CN"/>
        </w:rPr>
      </w:pPr>
    </w:p>
    <w:p w14:paraId="53E77FDC">
      <w:pPr>
        <w:numPr>
          <w:ilvl w:val="0"/>
          <w:numId w:val="0"/>
        </w:numPr>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rPr>
        <w:t>为保证</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rPr>
        <w:t>(工程名称)在合理使用期限内正常使用，发包人承包人协商一致签订工程质量保修书。承包人在质量保修期内按照有关管理规定及双方约定承担工程质量保修责任。</w:t>
      </w:r>
    </w:p>
    <w:p w14:paraId="6BF6BCE8">
      <w:pPr>
        <w:numPr>
          <w:ilvl w:val="0"/>
          <w:numId w:val="0"/>
        </w:numPr>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rPr>
        <w:t>一、工程质量保修范围和内容</w:t>
      </w:r>
    </w:p>
    <w:p w14:paraId="085EACDF">
      <w:pPr>
        <w:numPr>
          <w:ilvl w:val="0"/>
          <w:numId w:val="0"/>
        </w:numPr>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lang w:val="en-US" w:eastAsia="zh-CN"/>
        </w:rPr>
        <w:t>1.</w:t>
      </w:r>
      <w:r>
        <w:rPr>
          <w:rFonts w:hint="eastAsia" w:ascii="宋体" w:hAnsi="宋体" w:cs="宋体"/>
          <w:color w:val="auto"/>
          <w:szCs w:val="20"/>
          <w:highlight w:val="none"/>
        </w:rPr>
        <w:t>承包人在质量保修期内，按照有关法律、法规，规章规定和双方约定，承担本工程质量保修责任。</w:t>
      </w:r>
    </w:p>
    <w:p w14:paraId="3212ACBA">
      <w:pPr>
        <w:numPr>
          <w:ilvl w:val="0"/>
          <w:numId w:val="0"/>
        </w:numPr>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lang w:val="en-US" w:eastAsia="zh-CN"/>
        </w:rPr>
        <w:t xml:space="preserve">2. </w:t>
      </w:r>
      <w:r>
        <w:rPr>
          <w:rFonts w:hint="eastAsia" w:ascii="宋体" w:hAnsi="宋体" w:cs="宋体"/>
          <w:color w:val="auto"/>
          <w:szCs w:val="20"/>
          <w:highlight w:val="none"/>
        </w:rPr>
        <w:t>质量保修范围包括地基基础工程、主体结构工程、屋面防水工程和双方约定的其他土建工程，以及电气管线、上下水管线的安装工程，供热、供冷系统工程等项目。</w:t>
      </w:r>
    </w:p>
    <w:p w14:paraId="56B971AB">
      <w:pPr>
        <w:numPr>
          <w:ilvl w:val="0"/>
          <w:numId w:val="0"/>
        </w:numPr>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lang w:val="en-US" w:eastAsia="zh-CN"/>
        </w:rPr>
        <w:t>3.</w:t>
      </w:r>
      <w:r>
        <w:rPr>
          <w:rFonts w:hint="eastAsia" w:ascii="宋体" w:hAnsi="宋体" w:cs="宋体"/>
          <w:color w:val="auto"/>
          <w:szCs w:val="20"/>
          <w:highlight w:val="none"/>
        </w:rPr>
        <w:t>具体质量保修内容双方约定如下：</w:t>
      </w:r>
    </w:p>
    <w:p w14:paraId="4279159E">
      <w:pPr>
        <w:numPr>
          <w:ilvl w:val="0"/>
          <w:numId w:val="0"/>
        </w:numPr>
        <w:spacing w:line="360" w:lineRule="auto"/>
        <w:ind w:firstLine="540" w:firstLineChars="0"/>
        <w:rPr>
          <w:rFonts w:ascii="宋体" w:hAnsi="宋体" w:cs="宋体"/>
          <w:bCs/>
          <w:color w:val="auto"/>
          <w:szCs w:val="20"/>
          <w:highlight w:val="none"/>
        </w:rPr>
      </w:pPr>
      <w:r>
        <w:rPr>
          <w:rFonts w:hint="eastAsia" w:ascii="宋体" w:hAnsi="宋体" w:cs="宋体"/>
          <w:bCs/>
          <w:color w:val="auto"/>
          <w:szCs w:val="20"/>
          <w:highlight w:val="none"/>
        </w:rPr>
        <w:t>二、质量保修期</w:t>
      </w:r>
    </w:p>
    <w:p w14:paraId="17169CFF">
      <w:pPr>
        <w:numPr>
          <w:ilvl w:val="0"/>
          <w:numId w:val="0"/>
        </w:numPr>
        <w:spacing w:line="360" w:lineRule="auto"/>
        <w:ind w:firstLine="540" w:firstLineChars="0"/>
        <w:rPr>
          <w:rFonts w:ascii="宋体" w:hAnsi="宋体" w:cs="宋体"/>
          <w:bCs/>
          <w:color w:val="auto"/>
          <w:szCs w:val="20"/>
          <w:highlight w:val="none"/>
        </w:rPr>
      </w:pPr>
      <w:r>
        <w:rPr>
          <w:rFonts w:hint="eastAsia" w:ascii="宋体" w:hAnsi="宋体" w:cs="宋体"/>
          <w:bCs/>
          <w:color w:val="auto"/>
          <w:sz w:val="21"/>
          <w:szCs w:val="20"/>
          <w:highlight w:val="none"/>
          <w:lang w:val="en-US" w:eastAsia="zh-CN" w:bidi="ar-SA"/>
        </w:rPr>
        <w:t>1.</w:t>
      </w:r>
      <w:r>
        <w:rPr>
          <w:rFonts w:hint="eastAsia" w:ascii="宋体" w:hAnsi="宋体" w:cs="宋体"/>
          <w:bCs/>
          <w:color w:val="auto"/>
          <w:szCs w:val="20"/>
          <w:highlight w:val="none"/>
        </w:rPr>
        <w:t>质量保修期从工程实际竣工验收通过之日算起。分单项竣工验收的工程，按单项工程分别计算质量保修期。</w:t>
      </w:r>
    </w:p>
    <w:p w14:paraId="302D4FB1">
      <w:pPr>
        <w:numPr>
          <w:ilvl w:val="0"/>
          <w:numId w:val="0"/>
        </w:numPr>
        <w:spacing w:line="360" w:lineRule="auto"/>
        <w:ind w:firstLine="540" w:firstLineChars="0"/>
        <w:rPr>
          <w:rFonts w:ascii="宋体" w:hAnsi="宋体" w:cs="宋体"/>
          <w:bCs/>
          <w:color w:val="auto"/>
          <w:szCs w:val="20"/>
          <w:highlight w:val="none"/>
        </w:rPr>
      </w:pPr>
      <w:r>
        <w:rPr>
          <w:rFonts w:hint="eastAsia" w:ascii="宋体" w:hAnsi="宋体" w:cs="宋体"/>
          <w:bCs/>
          <w:color w:val="auto"/>
          <w:sz w:val="21"/>
          <w:szCs w:val="20"/>
          <w:highlight w:val="none"/>
          <w:lang w:val="en-US" w:eastAsia="zh-CN" w:bidi="ar-SA"/>
        </w:rPr>
        <w:t>2.</w:t>
      </w:r>
      <w:r>
        <w:rPr>
          <w:rFonts w:hint="eastAsia" w:ascii="宋体" w:hAnsi="宋体" w:cs="宋体"/>
          <w:bCs/>
          <w:color w:val="auto"/>
          <w:szCs w:val="20"/>
          <w:highlight w:val="none"/>
        </w:rPr>
        <w:t>双方根据国家有关规定，结合具体工程约定质量保修期如下：</w:t>
      </w:r>
    </w:p>
    <w:p w14:paraId="32527718">
      <w:pPr>
        <w:numPr>
          <w:ilvl w:val="0"/>
          <w:numId w:val="0"/>
        </w:numPr>
        <w:tabs>
          <w:tab w:val="left" w:pos="906"/>
        </w:tabs>
        <w:spacing w:line="360" w:lineRule="auto"/>
        <w:ind w:left="532" w:leftChars="0"/>
        <w:rPr>
          <w:rFonts w:ascii="宋体" w:hAnsi="宋体" w:cs="宋体"/>
          <w:bCs/>
          <w:color w:val="auto"/>
          <w:szCs w:val="20"/>
          <w:highlight w:val="none"/>
        </w:rPr>
      </w:pPr>
      <w:r>
        <w:rPr>
          <w:rFonts w:hint="eastAsia" w:ascii="宋体" w:hAnsi="宋体" w:cs="宋体"/>
          <w:bCs/>
          <w:color w:val="auto"/>
          <w:szCs w:val="20"/>
          <w:highlight w:val="none"/>
          <w:lang w:val="en-US" w:eastAsia="zh-CN"/>
        </w:rPr>
        <w:t>3.</w:t>
      </w:r>
      <w:r>
        <w:rPr>
          <w:rFonts w:hint="eastAsia" w:ascii="宋体" w:hAnsi="宋体" w:cs="宋体"/>
          <w:bCs/>
          <w:color w:val="auto"/>
          <w:szCs w:val="20"/>
          <w:highlight w:val="none"/>
        </w:rPr>
        <w:t>地基基础工程和主体结构工程为设计文件规定的该工程合理使用年限；</w:t>
      </w:r>
    </w:p>
    <w:p w14:paraId="228E8CC3">
      <w:pPr>
        <w:numPr>
          <w:ilvl w:val="0"/>
          <w:numId w:val="0"/>
        </w:numPr>
        <w:tabs>
          <w:tab w:val="left" w:pos="906"/>
        </w:tabs>
        <w:spacing w:line="360" w:lineRule="auto"/>
        <w:ind w:left="532" w:leftChars="0"/>
        <w:rPr>
          <w:rFonts w:ascii="宋体" w:hAnsi="宋体" w:cs="宋体"/>
          <w:bCs/>
          <w:color w:val="auto"/>
          <w:szCs w:val="20"/>
          <w:highlight w:val="none"/>
        </w:rPr>
      </w:pPr>
      <w:r>
        <w:rPr>
          <w:rFonts w:hint="eastAsia" w:ascii="宋体" w:hAnsi="宋体" w:cs="宋体"/>
          <w:bCs/>
          <w:color w:val="auto"/>
          <w:szCs w:val="20"/>
          <w:highlight w:val="none"/>
          <w:lang w:val="en-US" w:eastAsia="zh-CN"/>
        </w:rPr>
        <w:t>4.</w:t>
      </w:r>
      <w:r>
        <w:rPr>
          <w:rFonts w:hint="eastAsia" w:ascii="宋体" w:hAnsi="宋体" w:cs="宋体"/>
          <w:bCs/>
          <w:color w:val="auto"/>
          <w:szCs w:val="20"/>
          <w:highlight w:val="none"/>
        </w:rPr>
        <w:t>房建工程为</w:t>
      </w:r>
      <w:r>
        <w:rPr>
          <w:rFonts w:hint="eastAsia" w:ascii="宋体" w:hAnsi="宋体" w:cs="宋体"/>
          <w:bCs/>
          <w:color w:val="auto"/>
          <w:szCs w:val="20"/>
          <w:highlight w:val="none"/>
          <w:u w:val="single"/>
        </w:rPr>
        <w:t xml:space="preserve"> 2 </w:t>
      </w:r>
      <w:r>
        <w:rPr>
          <w:rFonts w:hint="eastAsia" w:ascii="宋体" w:hAnsi="宋体" w:cs="宋体"/>
          <w:bCs/>
          <w:color w:val="auto"/>
          <w:szCs w:val="20"/>
          <w:highlight w:val="none"/>
        </w:rPr>
        <w:t>年；</w:t>
      </w:r>
    </w:p>
    <w:p w14:paraId="7143BEEF">
      <w:pPr>
        <w:numPr>
          <w:ilvl w:val="0"/>
          <w:numId w:val="0"/>
        </w:numPr>
        <w:tabs>
          <w:tab w:val="left" w:pos="906"/>
        </w:tabs>
        <w:spacing w:line="360" w:lineRule="auto"/>
        <w:ind w:left="532" w:leftChars="0"/>
        <w:rPr>
          <w:rFonts w:ascii="宋体" w:hAnsi="宋体" w:cs="宋体"/>
          <w:bCs/>
          <w:color w:val="auto"/>
          <w:szCs w:val="20"/>
          <w:highlight w:val="none"/>
        </w:rPr>
      </w:pPr>
      <w:r>
        <w:rPr>
          <w:rFonts w:hint="eastAsia" w:ascii="宋体" w:hAnsi="宋体" w:cs="宋体"/>
          <w:bCs/>
          <w:color w:val="auto"/>
          <w:szCs w:val="20"/>
          <w:highlight w:val="none"/>
          <w:lang w:val="en-US" w:eastAsia="zh-CN"/>
        </w:rPr>
        <w:t>5.</w:t>
      </w:r>
      <w:r>
        <w:rPr>
          <w:rFonts w:hint="eastAsia" w:ascii="宋体" w:hAnsi="宋体" w:cs="宋体"/>
          <w:bCs/>
          <w:color w:val="auto"/>
          <w:szCs w:val="20"/>
          <w:highlight w:val="none"/>
        </w:rPr>
        <w:t>屋面防水工程、有防水要求的卫生间、房间和外墙面的防渗漏为</w:t>
      </w:r>
      <w:r>
        <w:rPr>
          <w:rFonts w:hint="eastAsia" w:ascii="宋体" w:hAnsi="宋体" w:cs="宋体"/>
          <w:bCs/>
          <w:color w:val="auto"/>
          <w:szCs w:val="20"/>
          <w:highlight w:val="none"/>
          <w:u w:val="single"/>
        </w:rPr>
        <w:t>5</w:t>
      </w:r>
      <w:r>
        <w:rPr>
          <w:rFonts w:hint="eastAsia" w:ascii="宋体" w:hAnsi="宋体" w:cs="宋体"/>
          <w:bCs/>
          <w:color w:val="auto"/>
          <w:szCs w:val="20"/>
          <w:highlight w:val="none"/>
        </w:rPr>
        <w:t>年;</w:t>
      </w:r>
    </w:p>
    <w:p w14:paraId="46454187">
      <w:pPr>
        <w:numPr>
          <w:ilvl w:val="0"/>
          <w:numId w:val="0"/>
        </w:numPr>
        <w:tabs>
          <w:tab w:val="left" w:pos="906"/>
        </w:tabs>
        <w:spacing w:line="360" w:lineRule="auto"/>
        <w:ind w:left="532" w:leftChars="0"/>
        <w:rPr>
          <w:rFonts w:ascii="宋体" w:hAnsi="宋体" w:cs="宋体"/>
          <w:bCs/>
          <w:color w:val="auto"/>
          <w:szCs w:val="20"/>
          <w:highlight w:val="none"/>
        </w:rPr>
      </w:pPr>
      <w:r>
        <w:rPr>
          <w:rFonts w:hint="eastAsia" w:ascii="宋体" w:hAnsi="宋体" w:cs="宋体"/>
          <w:bCs/>
          <w:color w:val="auto"/>
          <w:szCs w:val="20"/>
          <w:highlight w:val="none"/>
          <w:lang w:val="en-US" w:eastAsia="zh-CN"/>
        </w:rPr>
        <w:t>6.</w:t>
      </w:r>
      <w:r>
        <w:rPr>
          <w:rFonts w:hint="eastAsia" w:ascii="宋体" w:hAnsi="宋体" w:cs="宋体"/>
          <w:bCs/>
          <w:color w:val="auto"/>
          <w:szCs w:val="20"/>
          <w:highlight w:val="none"/>
        </w:rPr>
        <w:t>供热及供冷系统为</w:t>
      </w:r>
      <w:r>
        <w:rPr>
          <w:rFonts w:hint="eastAsia" w:ascii="宋体" w:hAnsi="宋体" w:cs="宋体"/>
          <w:bCs/>
          <w:color w:val="auto"/>
          <w:szCs w:val="20"/>
          <w:highlight w:val="none"/>
          <w:u w:val="single"/>
        </w:rPr>
        <w:t xml:space="preserve"> 2 </w:t>
      </w:r>
      <w:r>
        <w:rPr>
          <w:rFonts w:hint="eastAsia" w:ascii="宋体" w:hAnsi="宋体" w:cs="宋体"/>
          <w:bCs/>
          <w:color w:val="auto"/>
          <w:szCs w:val="20"/>
          <w:highlight w:val="none"/>
        </w:rPr>
        <w:t>个采暖期及供冷期；</w:t>
      </w:r>
    </w:p>
    <w:p w14:paraId="7B3BC268">
      <w:pPr>
        <w:numPr>
          <w:ilvl w:val="0"/>
          <w:numId w:val="0"/>
        </w:numPr>
        <w:tabs>
          <w:tab w:val="left" w:pos="906"/>
        </w:tabs>
        <w:spacing w:line="360" w:lineRule="auto"/>
        <w:ind w:left="532" w:leftChars="0"/>
        <w:rPr>
          <w:rFonts w:ascii="宋体" w:hAnsi="宋体" w:cs="宋体"/>
          <w:bCs/>
          <w:color w:val="auto"/>
          <w:szCs w:val="20"/>
          <w:highlight w:val="none"/>
        </w:rPr>
      </w:pPr>
      <w:r>
        <w:rPr>
          <w:rFonts w:hint="eastAsia" w:ascii="宋体" w:hAnsi="宋体" w:cs="宋体"/>
          <w:bCs/>
          <w:color w:val="auto"/>
          <w:szCs w:val="20"/>
          <w:highlight w:val="none"/>
          <w:lang w:val="en-US" w:eastAsia="zh-CN"/>
        </w:rPr>
        <w:t>7.</w:t>
      </w:r>
      <w:r>
        <w:rPr>
          <w:rFonts w:hint="eastAsia" w:ascii="宋体" w:hAnsi="宋体" w:cs="宋体"/>
          <w:bCs/>
          <w:color w:val="auto"/>
          <w:szCs w:val="20"/>
          <w:highlight w:val="none"/>
        </w:rPr>
        <w:t>电气管线、给排水管道、设备安装[含电气（器）、通风、照明、消防、防雷等设备]为</w:t>
      </w:r>
      <w:r>
        <w:rPr>
          <w:rFonts w:hint="eastAsia" w:ascii="宋体" w:hAnsi="宋体" w:cs="宋体"/>
          <w:bCs/>
          <w:color w:val="auto"/>
          <w:szCs w:val="20"/>
          <w:highlight w:val="none"/>
          <w:u w:val="single"/>
        </w:rPr>
        <w:t xml:space="preserve"> 2 </w:t>
      </w:r>
      <w:r>
        <w:rPr>
          <w:rFonts w:hint="eastAsia" w:ascii="宋体" w:hAnsi="宋体" w:cs="宋体"/>
          <w:bCs/>
          <w:color w:val="auto"/>
          <w:szCs w:val="20"/>
          <w:highlight w:val="none"/>
        </w:rPr>
        <w:t>年；</w:t>
      </w:r>
    </w:p>
    <w:p w14:paraId="098363D6">
      <w:pPr>
        <w:numPr>
          <w:ilvl w:val="0"/>
          <w:numId w:val="0"/>
        </w:numPr>
        <w:tabs>
          <w:tab w:val="left" w:pos="906"/>
        </w:tabs>
        <w:spacing w:line="360" w:lineRule="auto"/>
        <w:ind w:left="532" w:leftChars="0"/>
        <w:rPr>
          <w:rFonts w:ascii="宋体" w:hAnsi="宋体" w:cs="宋体"/>
          <w:bCs/>
          <w:color w:val="auto"/>
          <w:szCs w:val="20"/>
          <w:highlight w:val="none"/>
        </w:rPr>
      </w:pPr>
      <w:r>
        <w:rPr>
          <w:rFonts w:hint="eastAsia" w:ascii="宋体" w:hAnsi="宋体" w:cs="宋体"/>
          <w:bCs/>
          <w:color w:val="auto"/>
          <w:szCs w:val="20"/>
          <w:highlight w:val="none"/>
          <w:lang w:val="en-US" w:eastAsia="zh-CN"/>
        </w:rPr>
        <w:t>8.</w:t>
      </w:r>
      <w:r>
        <w:rPr>
          <w:rFonts w:hint="eastAsia" w:ascii="宋体" w:hAnsi="宋体" w:cs="宋体"/>
          <w:bCs/>
          <w:color w:val="auto"/>
          <w:szCs w:val="20"/>
          <w:highlight w:val="none"/>
        </w:rPr>
        <w:t>装修工程为</w:t>
      </w:r>
      <w:r>
        <w:rPr>
          <w:rFonts w:hint="eastAsia" w:ascii="宋体" w:hAnsi="宋体" w:cs="宋体"/>
          <w:bCs/>
          <w:color w:val="auto"/>
          <w:szCs w:val="20"/>
          <w:highlight w:val="none"/>
          <w:u w:val="single"/>
        </w:rPr>
        <w:t xml:space="preserve"> 2 </w:t>
      </w:r>
      <w:r>
        <w:rPr>
          <w:rFonts w:hint="eastAsia" w:ascii="宋体" w:hAnsi="宋体" w:cs="宋体"/>
          <w:bCs/>
          <w:color w:val="auto"/>
          <w:szCs w:val="20"/>
          <w:highlight w:val="none"/>
        </w:rPr>
        <w:t>年；</w:t>
      </w:r>
    </w:p>
    <w:p w14:paraId="5D62F437">
      <w:pPr>
        <w:numPr>
          <w:ilvl w:val="0"/>
          <w:numId w:val="0"/>
        </w:numPr>
        <w:tabs>
          <w:tab w:val="left" w:pos="906"/>
        </w:tabs>
        <w:spacing w:line="360" w:lineRule="auto"/>
        <w:ind w:left="532" w:leftChars="0"/>
        <w:rPr>
          <w:rFonts w:ascii="宋体" w:hAnsi="宋体" w:cs="宋体"/>
          <w:bCs/>
          <w:color w:val="auto"/>
          <w:szCs w:val="20"/>
          <w:highlight w:val="none"/>
        </w:rPr>
      </w:pPr>
      <w:r>
        <w:rPr>
          <w:rFonts w:hint="eastAsia" w:ascii="宋体" w:hAnsi="宋体" w:cs="宋体"/>
          <w:bCs/>
          <w:color w:val="auto"/>
          <w:szCs w:val="20"/>
          <w:highlight w:val="none"/>
          <w:lang w:val="en-US" w:eastAsia="zh-CN"/>
        </w:rPr>
        <w:t>9.</w:t>
      </w:r>
      <w:r>
        <w:rPr>
          <w:rFonts w:hint="eastAsia" w:ascii="宋体" w:hAnsi="宋体" w:cs="宋体"/>
          <w:bCs/>
          <w:color w:val="auto"/>
          <w:szCs w:val="20"/>
          <w:highlight w:val="none"/>
        </w:rPr>
        <w:t>住宅小区内的给排水设施、道路等配套工程为</w:t>
      </w:r>
      <w:r>
        <w:rPr>
          <w:rFonts w:hint="eastAsia" w:ascii="宋体" w:hAnsi="宋体" w:cs="宋体"/>
          <w:bCs/>
          <w:color w:val="auto"/>
          <w:szCs w:val="20"/>
          <w:highlight w:val="none"/>
          <w:u w:val="single"/>
        </w:rPr>
        <w:t>2</w:t>
      </w:r>
      <w:r>
        <w:rPr>
          <w:rFonts w:hint="eastAsia" w:ascii="宋体" w:hAnsi="宋体" w:cs="宋体"/>
          <w:bCs/>
          <w:color w:val="auto"/>
          <w:szCs w:val="20"/>
          <w:highlight w:val="none"/>
        </w:rPr>
        <w:t>年；</w:t>
      </w:r>
    </w:p>
    <w:p w14:paraId="703CA4C6">
      <w:pPr>
        <w:numPr>
          <w:ilvl w:val="0"/>
          <w:numId w:val="0"/>
        </w:numPr>
        <w:tabs>
          <w:tab w:val="left" w:pos="906"/>
        </w:tabs>
        <w:spacing w:line="360" w:lineRule="auto"/>
        <w:ind w:left="532" w:leftChars="0"/>
        <w:rPr>
          <w:rFonts w:ascii="宋体" w:hAnsi="宋体" w:cs="宋体"/>
          <w:bCs/>
          <w:color w:val="auto"/>
          <w:szCs w:val="20"/>
          <w:highlight w:val="none"/>
        </w:rPr>
      </w:pPr>
      <w:r>
        <w:rPr>
          <w:rFonts w:hint="eastAsia" w:ascii="宋体" w:hAnsi="宋体" w:cs="宋体"/>
          <w:bCs/>
          <w:color w:val="auto"/>
          <w:szCs w:val="20"/>
          <w:highlight w:val="none"/>
          <w:lang w:val="en-US" w:eastAsia="zh-CN"/>
        </w:rPr>
        <w:t>10.</w:t>
      </w:r>
      <w:r>
        <w:rPr>
          <w:rFonts w:hint="eastAsia" w:ascii="宋体" w:hAnsi="宋体" w:cs="宋体"/>
          <w:bCs/>
          <w:color w:val="auto"/>
          <w:szCs w:val="20"/>
          <w:highlight w:val="none"/>
        </w:rPr>
        <w:t>在没有明文规定下，参照建设工程质量保修条例，双方协商为设计文件规定的该工程的合理使用年限内保修；</w:t>
      </w:r>
    </w:p>
    <w:p w14:paraId="1E977BAB">
      <w:pPr>
        <w:numPr>
          <w:ilvl w:val="0"/>
          <w:numId w:val="0"/>
        </w:numPr>
        <w:tabs>
          <w:tab w:val="left" w:pos="906"/>
        </w:tabs>
        <w:spacing w:line="360" w:lineRule="auto"/>
        <w:ind w:left="532" w:leftChars="0"/>
        <w:rPr>
          <w:rFonts w:ascii="宋体" w:hAnsi="宋体" w:cs="宋体"/>
          <w:bCs/>
          <w:color w:val="auto"/>
          <w:szCs w:val="20"/>
          <w:highlight w:val="none"/>
        </w:rPr>
      </w:pPr>
      <w:r>
        <w:rPr>
          <w:rFonts w:hint="eastAsia" w:ascii="宋体" w:hAnsi="宋体" w:cs="宋体"/>
          <w:bCs/>
          <w:color w:val="auto"/>
          <w:szCs w:val="20"/>
          <w:highlight w:val="none"/>
          <w:lang w:val="en-US" w:eastAsia="zh-CN"/>
        </w:rPr>
        <w:t>11.</w:t>
      </w:r>
      <w:r>
        <w:rPr>
          <w:rFonts w:hint="eastAsia" w:ascii="宋体" w:hAnsi="宋体" w:cs="宋体"/>
          <w:bCs/>
          <w:color w:val="auto"/>
          <w:szCs w:val="20"/>
          <w:highlight w:val="none"/>
        </w:rPr>
        <w:t>绿化工程为1个养护期；</w:t>
      </w:r>
    </w:p>
    <w:p w14:paraId="00ECAB0C">
      <w:pPr>
        <w:numPr>
          <w:ilvl w:val="0"/>
          <w:numId w:val="0"/>
        </w:numPr>
        <w:tabs>
          <w:tab w:val="left" w:pos="906"/>
        </w:tabs>
        <w:spacing w:line="360" w:lineRule="auto"/>
        <w:ind w:left="532" w:leftChars="0"/>
        <w:rPr>
          <w:rFonts w:ascii="宋体" w:hAnsi="宋体" w:cs="宋体"/>
          <w:bCs/>
          <w:color w:val="auto"/>
          <w:szCs w:val="20"/>
          <w:highlight w:val="none"/>
        </w:rPr>
      </w:pPr>
      <w:r>
        <w:rPr>
          <w:rFonts w:hint="eastAsia" w:ascii="宋体" w:hAnsi="宋体" w:cs="宋体"/>
          <w:bCs/>
          <w:color w:val="auto"/>
          <w:szCs w:val="20"/>
          <w:highlight w:val="none"/>
          <w:lang w:val="en-US" w:eastAsia="zh-CN"/>
        </w:rPr>
        <w:t>12.</w:t>
      </w:r>
      <w:r>
        <w:rPr>
          <w:rFonts w:hint="eastAsia" w:ascii="宋体" w:hAnsi="宋体" w:cs="宋体"/>
          <w:bCs/>
          <w:color w:val="auto"/>
          <w:szCs w:val="20"/>
          <w:highlight w:val="none"/>
        </w:rPr>
        <w:t>市政工程为1年；</w:t>
      </w:r>
    </w:p>
    <w:p w14:paraId="649AB7A9">
      <w:pPr>
        <w:numPr>
          <w:ilvl w:val="0"/>
          <w:numId w:val="0"/>
        </w:numPr>
        <w:tabs>
          <w:tab w:val="left" w:pos="906"/>
        </w:tabs>
        <w:spacing w:line="360" w:lineRule="auto"/>
        <w:ind w:left="532" w:leftChars="0"/>
        <w:rPr>
          <w:rFonts w:ascii="宋体" w:hAnsi="宋体" w:cs="宋体"/>
          <w:bCs/>
          <w:color w:val="auto"/>
          <w:szCs w:val="20"/>
          <w:highlight w:val="none"/>
        </w:rPr>
      </w:pPr>
      <w:r>
        <w:rPr>
          <w:rFonts w:hint="eastAsia" w:ascii="宋体" w:hAnsi="宋体" w:cs="宋体"/>
          <w:bCs/>
          <w:color w:val="auto"/>
          <w:szCs w:val="20"/>
          <w:highlight w:val="none"/>
          <w:lang w:val="en-US" w:eastAsia="zh-CN"/>
        </w:rPr>
        <w:t>13.</w:t>
      </w:r>
      <w:r>
        <w:rPr>
          <w:rFonts w:hint="eastAsia" w:ascii="宋体" w:hAnsi="宋体" w:cs="宋体"/>
          <w:bCs/>
          <w:color w:val="auto"/>
          <w:szCs w:val="20"/>
          <w:highlight w:val="none"/>
        </w:rPr>
        <w:t>配电工程为1年；</w:t>
      </w:r>
    </w:p>
    <w:p w14:paraId="2B6B3013">
      <w:pPr>
        <w:numPr>
          <w:ilvl w:val="0"/>
          <w:numId w:val="0"/>
        </w:numPr>
        <w:tabs>
          <w:tab w:val="left" w:pos="906"/>
        </w:tabs>
        <w:spacing w:line="360" w:lineRule="auto"/>
        <w:ind w:left="532" w:leftChars="0"/>
        <w:rPr>
          <w:rFonts w:ascii="宋体" w:hAnsi="宋体" w:cs="宋体"/>
          <w:bCs/>
          <w:color w:val="auto"/>
          <w:szCs w:val="20"/>
          <w:highlight w:val="none"/>
        </w:rPr>
      </w:pPr>
      <w:r>
        <w:rPr>
          <w:rFonts w:hint="eastAsia" w:ascii="宋体" w:hAnsi="宋体" w:cs="宋体"/>
          <w:bCs/>
          <w:color w:val="auto"/>
          <w:szCs w:val="20"/>
          <w:highlight w:val="none"/>
          <w:lang w:val="en-US" w:eastAsia="zh-CN"/>
        </w:rPr>
        <w:t>14.</w:t>
      </w:r>
      <w:r>
        <w:rPr>
          <w:rFonts w:hint="eastAsia" w:ascii="宋体" w:hAnsi="宋体" w:cs="宋体"/>
          <w:bCs/>
          <w:color w:val="auto"/>
          <w:szCs w:val="20"/>
          <w:highlight w:val="none"/>
        </w:rPr>
        <w:t>水利水电工程为1年；</w:t>
      </w:r>
    </w:p>
    <w:p w14:paraId="6C8DFF3D">
      <w:pPr>
        <w:numPr>
          <w:ilvl w:val="0"/>
          <w:numId w:val="0"/>
        </w:numPr>
        <w:tabs>
          <w:tab w:val="left" w:pos="906"/>
        </w:tabs>
        <w:spacing w:line="360" w:lineRule="auto"/>
        <w:ind w:left="532" w:leftChars="0"/>
        <w:rPr>
          <w:rFonts w:ascii="宋体" w:hAnsi="宋体" w:cs="宋体"/>
          <w:bCs/>
          <w:color w:val="auto"/>
          <w:szCs w:val="20"/>
          <w:highlight w:val="none"/>
        </w:rPr>
      </w:pPr>
      <w:r>
        <w:rPr>
          <w:rFonts w:hint="eastAsia" w:ascii="宋体" w:hAnsi="宋体" w:cs="宋体"/>
          <w:bCs/>
          <w:color w:val="auto"/>
          <w:szCs w:val="20"/>
          <w:highlight w:val="none"/>
          <w:lang w:val="en-US" w:eastAsia="zh-CN"/>
        </w:rPr>
        <w:t>15.</w:t>
      </w:r>
      <w:r>
        <w:rPr>
          <w:rFonts w:hint="eastAsia" w:ascii="宋体" w:hAnsi="宋体" w:cs="宋体"/>
          <w:bCs/>
          <w:color w:val="auto"/>
          <w:szCs w:val="20"/>
          <w:highlight w:val="none"/>
        </w:rPr>
        <w:t>危岩治理工程为1年。</w:t>
      </w:r>
    </w:p>
    <w:p w14:paraId="5745FFA4">
      <w:pPr>
        <w:numPr>
          <w:ilvl w:val="0"/>
          <w:numId w:val="0"/>
        </w:numPr>
        <w:tabs>
          <w:tab w:val="left" w:pos="906"/>
        </w:tabs>
        <w:spacing w:line="360" w:lineRule="auto"/>
        <w:ind w:left="532" w:leftChars="0"/>
        <w:rPr>
          <w:rFonts w:hint="eastAsia" w:ascii="宋体" w:hAnsi="宋体" w:cs="宋体"/>
          <w:bCs/>
          <w:color w:val="auto"/>
          <w:szCs w:val="21"/>
          <w:highlight w:val="none"/>
          <w:u w:val="single"/>
        </w:rPr>
      </w:pPr>
      <w:r>
        <w:rPr>
          <w:rFonts w:hint="eastAsia" w:ascii="宋体" w:hAnsi="宋体" w:cs="宋体"/>
          <w:bCs/>
          <w:color w:val="auto"/>
          <w:szCs w:val="21"/>
          <w:highlight w:val="none"/>
          <w:lang w:val="en-US" w:eastAsia="zh-CN"/>
        </w:rPr>
        <w:t>16.</w:t>
      </w:r>
      <w:r>
        <w:rPr>
          <w:rFonts w:hint="eastAsia" w:ascii="宋体" w:hAnsi="宋体" w:cs="宋体"/>
          <w:bCs/>
          <w:color w:val="auto"/>
          <w:szCs w:val="21"/>
          <w:highlight w:val="none"/>
        </w:rPr>
        <w:t>按国家规定的工程保修期限，约定本项目的保修期限：</w:t>
      </w:r>
      <w:r>
        <w:rPr>
          <w:rFonts w:hint="eastAsia" w:ascii="宋体" w:hAnsi="宋体" w:cs="宋体"/>
          <w:bCs/>
          <w:color w:val="auto"/>
          <w:szCs w:val="21"/>
          <w:highlight w:val="none"/>
          <w:u w:val="single"/>
        </w:rPr>
        <w:t>沥青坑槽修补（面积≤5㎡）</w:t>
      </w:r>
    </w:p>
    <w:p w14:paraId="09BD6872">
      <w:pPr>
        <w:numPr>
          <w:ilvl w:val="0"/>
          <w:numId w:val="0"/>
        </w:numPr>
        <w:tabs>
          <w:tab w:val="left" w:pos="906"/>
        </w:tabs>
        <w:spacing w:line="360" w:lineRule="auto"/>
        <w:rPr>
          <w:rFonts w:ascii="宋体" w:hAnsi="宋体" w:cs="宋体"/>
          <w:bCs/>
          <w:color w:val="auto"/>
          <w:szCs w:val="20"/>
          <w:highlight w:val="none"/>
        </w:rPr>
      </w:pPr>
      <w:r>
        <w:rPr>
          <w:rFonts w:hint="eastAsia" w:ascii="宋体" w:hAnsi="宋体" w:cs="宋体"/>
          <w:bCs/>
          <w:color w:val="auto"/>
          <w:szCs w:val="21"/>
          <w:highlight w:val="none"/>
          <w:u w:val="single"/>
        </w:rPr>
        <w:t>保修期6个月，沥青摊铺、人行道维修及其它维修项目保修期1年。</w:t>
      </w:r>
    </w:p>
    <w:p w14:paraId="31D271CB">
      <w:pPr>
        <w:numPr>
          <w:ilvl w:val="0"/>
          <w:numId w:val="0"/>
        </w:numPr>
        <w:spacing w:line="360" w:lineRule="auto"/>
        <w:ind w:firstLine="540" w:firstLineChars="0"/>
        <w:rPr>
          <w:rFonts w:ascii="宋体" w:hAnsi="宋体" w:cs="宋体"/>
          <w:color w:val="auto"/>
          <w:szCs w:val="20"/>
          <w:highlight w:val="none"/>
        </w:rPr>
      </w:pPr>
      <w:r>
        <w:rPr>
          <w:rFonts w:hint="eastAsia" w:ascii="宋体" w:hAnsi="宋体" w:cs="宋体"/>
          <w:color w:val="auto"/>
          <w:szCs w:val="20"/>
          <w:highlight w:val="none"/>
        </w:rPr>
        <w:t>三、质量保修保质责任</w:t>
      </w:r>
    </w:p>
    <w:p w14:paraId="127D2DD0">
      <w:pPr>
        <w:numPr>
          <w:ilvl w:val="0"/>
          <w:numId w:val="0"/>
        </w:numPr>
        <w:spacing w:line="360" w:lineRule="auto"/>
        <w:ind w:firstLine="412" w:firstLineChars="0"/>
        <w:rPr>
          <w:rFonts w:ascii="宋体" w:hAnsi="宋体" w:cs="宋体"/>
          <w:color w:val="auto"/>
          <w:szCs w:val="20"/>
          <w:highlight w:val="none"/>
        </w:rPr>
      </w:pPr>
      <w:r>
        <w:rPr>
          <w:rFonts w:hint="eastAsia" w:ascii="宋体" w:hAnsi="宋体" w:cs="宋体"/>
          <w:color w:val="auto"/>
          <w:szCs w:val="20"/>
          <w:highlight w:val="none"/>
          <w:lang w:val="en-US" w:eastAsia="zh-CN"/>
        </w:rPr>
        <w:t>1.</w:t>
      </w:r>
      <w:r>
        <w:rPr>
          <w:rFonts w:hint="eastAsia" w:ascii="宋体" w:hAnsi="宋体" w:cs="宋体"/>
          <w:color w:val="auto"/>
          <w:szCs w:val="20"/>
          <w:highlight w:val="none"/>
        </w:rPr>
        <w:t>属于保修范围和内容的项目，承包人应在接到修理通知之日后2天内派人修理。承包人不在约定期限内派人修理，发包人可委托其他人员修理，保修费用从质量保修金内扣除。</w:t>
      </w:r>
    </w:p>
    <w:p w14:paraId="1ED8E95D">
      <w:pPr>
        <w:numPr>
          <w:ilvl w:val="0"/>
          <w:numId w:val="0"/>
        </w:numPr>
        <w:spacing w:line="360" w:lineRule="auto"/>
        <w:ind w:firstLine="412" w:firstLineChars="0"/>
        <w:rPr>
          <w:rFonts w:ascii="宋体" w:hAnsi="宋体" w:cs="宋体"/>
          <w:color w:val="auto"/>
          <w:szCs w:val="20"/>
          <w:highlight w:val="none"/>
        </w:rPr>
      </w:pPr>
      <w:r>
        <w:rPr>
          <w:rFonts w:hint="eastAsia" w:ascii="宋体" w:hAnsi="宋体" w:cs="宋体"/>
          <w:color w:val="auto"/>
          <w:szCs w:val="20"/>
          <w:highlight w:val="none"/>
          <w:lang w:val="en-US" w:eastAsia="zh-CN"/>
        </w:rPr>
        <w:t>2.</w:t>
      </w:r>
      <w:r>
        <w:rPr>
          <w:rFonts w:hint="eastAsia" w:ascii="宋体" w:hAnsi="宋体" w:cs="宋体"/>
          <w:color w:val="auto"/>
          <w:szCs w:val="20"/>
          <w:highlight w:val="none"/>
        </w:rPr>
        <w:t>发生须紧急抢修事故的，承包人接到事故通知后，应立即到达事故现场抢修。非承包人施工质量引起的事故，抢修费用由发包人承担。</w:t>
      </w:r>
    </w:p>
    <w:p w14:paraId="7D6CABEA">
      <w:pPr>
        <w:numPr>
          <w:ilvl w:val="0"/>
          <w:numId w:val="0"/>
        </w:numPr>
        <w:spacing w:line="360" w:lineRule="auto"/>
        <w:ind w:firstLine="412" w:firstLineChars="0"/>
        <w:rPr>
          <w:rFonts w:ascii="宋体" w:hAnsi="宋体" w:cs="宋体"/>
          <w:color w:val="auto"/>
          <w:szCs w:val="20"/>
          <w:highlight w:val="none"/>
        </w:rPr>
      </w:pPr>
      <w:r>
        <w:rPr>
          <w:rFonts w:hint="eastAsia" w:ascii="宋体" w:hAnsi="宋体" w:cs="宋体"/>
          <w:color w:val="auto"/>
          <w:szCs w:val="20"/>
          <w:highlight w:val="none"/>
          <w:lang w:val="en-US" w:eastAsia="zh-CN"/>
        </w:rPr>
        <w:t>3.</w:t>
      </w:r>
      <w:r>
        <w:rPr>
          <w:rFonts w:hint="eastAsia" w:ascii="宋体" w:hAnsi="宋体" w:cs="宋体"/>
          <w:color w:val="auto"/>
          <w:szCs w:val="20"/>
          <w:highlight w:val="none"/>
        </w:rPr>
        <w:t>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14:paraId="11D03C6B">
      <w:pPr>
        <w:numPr>
          <w:ilvl w:val="0"/>
          <w:numId w:val="0"/>
        </w:numPr>
        <w:spacing w:line="360" w:lineRule="auto"/>
        <w:ind w:firstLine="456" w:firstLineChars="0"/>
        <w:rPr>
          <w:rFonts w:ascii="宋体" w:hAnsi="宋体" w:cs="宋体"/>
          <w:color w:val="auto"/>
          <w:szCs w:val="20"/>
          <w:highlight w:val="none"/>
        </w:rPr>
      </w:pPr>
      <w:r>
        <w:rPr>
          <w:rFonts w:hint="eastAsia" w:ascii="宋体" w:hAnsi="宋体" w:cs="宋体"/>
          <w:color w:val="auto"/>
          <w:szCs w:val="20"/>
          <w:highlight w:val="none"/>
          <w:lang w:val="en-US" w:eastAsia="zh-CN"/>
        </w:rPr>
        <w:t>4.</w:t>
      </w:r>
      <w:r>
        <w:rPr>
          <w:rFonts w:hint="eastAsia" w:ascii="宋体" w:hAnsi="宋体" w:cs="宋体"/>
          <w:color w:val="auto"/>
          <w:szCs w:val="20"/>
          <w:highlight w:val="none"/>
        </w:rPr>
        <w:t>保修完成后，由发包人组织有关单位人员验收。</w:t>
      </w:r>
    </w:p>
    <w:p w14:paraId="44E963F9">
      <w:pPr>
        <w:numPr>
          <w:ilvl w:val="0"/>
          <w:numId w:val="0"/>
        </w:numPr>
        <w:spacing w:line="360" w:lineRule="auto"/>
        <w:ind w:firstLine="456" w:firstLineChars="0"/>
        <w:rPr>
          <w:rFonts w:ascii="宋体" w:hAnsi="宋体" w:cs="宋体"/>
          <w:b w:val="0"/>
          <w:bCs w:val="0"/>
          <w:color w:val="auto"/>
          <w:szCs w:val="20"/>
          <w:highlight w:val="none"/>
        </w:rPr>
      </w:pPr>
      <w:r>
        <w:rPr>
          <w:rFonts w:hint="eastAsia" w:ascii="宋体" w:hAnsi="宋体" w:cs="宋体"/>
          <w:b w:val="0"/>
          <w:bCs w:val="0"/>
          <w:color w:val="auto"/>
          <w:szCs w:val="20"/>
          <w:highlight w:val="none"/>
        </w:rPr>
        <w:t>四、质量保修金的支付</w:t>
      </w:r>
    </w:p>
    <w:p w14:paraId="5AFD2685">
      <w:pPr>
        <w:numPr>
          <w:ilvl w:val="0"/>
          <w:numId w:val="0"/>
        </w:numPr>
        <w:spacing w:line="360" w:lineRule="auto"/>
        <w:ind w:firstLine="456" w:firstLineChars="0"/>
        <w:rPr>
          <w:rFonts w:ascii="宋体" w:hAnsi="宋体" w:cs="宋体"/>
          <w:b w:val="0"/>
          <w:bCs w:val="0"/>
          <w:color w:val="auto"/>
          <w:szCs w:val="20"/>
          <w:highlight w:val="none"/>
        </w:rPr>
      </w:pPr>
      <w:r>
        <w:rPr>
          <w:rFonts w:hint="eastAsia" w:ascii="宋体" w:hAnsi="宋体" w:cs="宋体"/>
          <w:b w:val="0"/>
          <w:bCs w:val="0"/>
          <w:color w:val="auto"/>
          <w:szCs w:val="20"/>
          <w:highlight w:val="none"/>
          <w:lang w:val="en-US" w:eastAsia="zh-CN"/>
        </w:rPr>
        <w:t>1.</w:t>
      </w:r>
      <w:r>
        <w:rPr>
          <w:rFonts w:hint="eastAsia" w:ascii="宋体" w:hAnsi="宋体" w:cs="宋体"/>
          <w:b w:val="0"/>
          <w:bCs w:val="0"/>
          <w:color w:val="auto"/>
          <w:szCs w:val="20"/>
          <w:highlight w:val="none"/>
        </w:rPr>
        <w:t>本工程约定的工程质量保修金为工程结算价</w:t>
      </w:r>
      <w:r>
        <w:rPr>
          <w:rFonts w:hint="eastAsia" w:ascii="宋体" w:hAnsi="宋体" w:cs="宋体"/>
          <w:b w:val="0"/>
          <w:bCs w:val="0"/>
          <w:color w:val="auto"/>
          <w:szCs w:val="20"/>
          <w:highlight w:val="none"/>
          <w:u w:val="single"/>
        </w:rPr>
        <w:t xml:space="preserve"> 3</w:t>
      </w:r>
      <w:r>
        <w:rPr>
          <w:rFonts w:hint="eastAsia" w:ascii="宋体" w:hAnsi="宋体" w:cs="宋体"/>
          <w:b w:val="0"/>
          <w:bCs w:val="0"/>
          <w:color w:val="auto"/>
          <w:szCs w:val="20"/>
          <w:highlight w:val="none"/>
          <w:lang w:val="en-US" w:eastAsia="zh-CN"/>
        </w:rPr>
        <w:t>%</w:t>
      </w:r>
      <w:r>
        <w:rPr>
          <w:rFonts w:hint="eastAsia" w:ascii="宋体" w:hAnsi="宋体" w:cs="宋体"/>
          <w:b w:val="0"/>
          <w:bCs w:val="0"/>
          <w:color w:val="auto"/>
          <w:szCs w:val="20"/>
          <w:highlight w:val="none"/>
        </w:rPr>
        <w:t>。</w:t>
      </w:r>
    </w:p>
    <w:p w14:paraId="36A8218C">
      <w:pPr>
        <w:numPr>
          <w:ilvl w:val="0"/>
          <w:numId w:val="0"/>
        </w:numPr>
        <w:spacing w:line="360" w:lineRule="auto"/>
        <w:ind w:firstLine="456" w:firstLineChars="0"/>
        <w:rPr>
          <w:rFonts w:ascii="宋体" w:hAnsi="宋体" w:cs="宋体"/>
          <w:b w:val="0"/>
          <w:bCs w:val="0"/>
          <w:color w:val="auto"/>
          <w:szCs w:val="20"/>
          <w:highlight w:val="none"/>
        </w:rPr>
      </w:pPr>
      <w:r>
        <w:rPr>
          <w:rFonts w:hint="eastAsia" w:ascii="宋体" w:hAnsi="宋体" w:cs="宋体"/>
          <w:b w:val="0"/>
          <w:bCs w:val="0"/>
          <w:color w:val="auto"/>
          <w:szCs w:val="20"/>
          <w:highlight w:val="none"/>
          <w:lang w:val="en-US" w:eastAsia="zh-CN"/>
        </w:rPr>
        <w:t>2.</w:t>
      </w:r>
      <w:r>
        <w:rPr>
          <w:rFonts w:hint="eastAsia" w:ascii="宋体" w:hAnsi="宋体" w:cs="宋体"/>
          <w:b w:val="0"/>
          <w:bCs w:val="0"/>
          <w:color w:val="auto"/>
          <w:szCs w:val="20"/>
          <w:highlight w:val="none"/>
        </w:rPr>
        <w:t>质量保修金不计利息。</w:t>
      </w:r>
    </w:p>
    <w:p w14:paraId="32794C29">
      <w:pPr>
        <w:numPr>
          <w:ilvl w:val="0"/>
          <w:numId w:val="0"/>
        </w:numPr>
        <w:spacing w:line="360" w:lineRule="auto"/>
        <w:ind w:firstLine="456" w:firstLineChars="0"/>
        <w:rPr>
          <w:rFonts w:ascii="宋体" w:hAnsi="宋体" w:cs="宋体"/>
          <w:color w:val="auto"/>
          <w:szCs w:val="20"/>
          <w:highlight w:val="none"/>
        </w:rPr>
      </w:pPr>
      <w:r>
        <w:rPr>
          <w:rFonts w:hint="eastAsia" w:ascii="宋体" w:hAnsi="宋体" w:cs="宋体"/>
          <w:color w:val="auto"/>
          <w:szCs w:val="20"/>
          <w:highlight w:val="none"/>
        </w:rPr>
        <w:t>五、质量保修金的返还</w:t>
      </w:r>
    </w:p>
    <w:p w14:paraId="0C41B329">
      <w:pPr>
        <w:numPr>
          <w:ilvl w:val="0"/>
          <w:numId w:val="0"/>
        </w:numPr>
        <w:spacing w:line="360" w:lineRule="auto"/>
        <w:ind w:firstLine="456" w:firstLineChars="0"/>
        <w:rPr>
          <w:rFonts w:ascii="宋体" w:hAnsi="宋体" w:cs="宋体"/>
          <w:color w:val="auto"/>
          <w:szCs w:val="20"/>
          <w:highlight w:val="none"/>
        </w:rPr>
      </w:pPr>
      <w:r>
        <w:rPr>
          <w:rFonts w:hint="eastAsia" w:ascii="宋体" w:hAnsi="宋体" w:cs="宋体"/>
          <w:color w:val="auto"/>
          <w:szCs w:val="20"/>
          <w:highlight w:val="none"/>
        </w:rPr>
        <w:t>发包人在应付款中扣出，在工程竣工保修期满后14天内，将保修金（不计利息）余额退回承包人。在保修期内承包人应按保修内容进行保修，若承包人接到发包人保修通知书在二天内未派人进行修理的，发包人则安排其它公司修理，在保修期内发生的修理费用由承包人负责或由发包人从保修金中扣出。</w:t>
      </w:r>
    </w:p>
    <w:p w14:paraId="4B478DF4">
      <w:pPr>
        <w:numPr>
          <w:ilvl w:val="0"/>
          <w:numId w:val="0"/>
        </w:numPr>
        <w:spacing w:line="360" w:lineRule="auto"/>
        <w:ind w:firstLine="456" w:firstLineChars="0"/>
        <w:rPr>
          <w:rFonts w:ascii="宋体" w:hAnsi="宋体" w:cs="宋体"/>
          <w:color w:val="auto"/>
          <w:szCs w:val="20"/>
          <w:highlight w:val="none"/>
        </w:rPr>
      </w:pPr>
      <w:r>
        <w:rPr>
          <w:rFonts w:hint="eastAsia" w:ascii="宋体" w:hAnsi="宋体" w:cs="宋体"/>
          <w:color w:val="auto"/>
          <w:szCs w:val="20"/>
          <w:highlight w:val="none"/>
        </w:rPr>
        <w:t>六、其他</w:t>
      </w:r>
    </w:p>
    <w:p w14:paraId="06422879">
      <w:pPr>
        <w:numPr>
          <w:ilvl w:val="0"/>
          <w:numId w:val="0"/>
        </w:numPr>
        <w:spacing w:line="360" w:lineRule="auto"/>
        <w:ind w:firstLine="456" w:firstLineChars="0"/>
        <w:rPr>
          <w:rFonts w:hint="eastAsia" w:ascii="宋体" w:hAnsi="宋体" w:cs="宋体"/>
          <w:color w:val="auto"/>
          <w:szCs w:val="20"/>
          <w:highlight w:val="none"/>
          <w:u w:val="single"/>
          <w:lang w:val="en-US" w:eastAsia="zh-CN"/>
        </w:rPr>
      </w:pPr>
      <w:r>
        <w:rPr>
          <w:rFonts w:hint="eastAsia" w:ascii="宋体" w:hAnsi="宋体" w:cs="宋体"/>
          <w:color w:val="auto"/>
          <w:szCs w:val="20"/>
          <w:highlight w:val="none"/>
          <w:lang w:val="en-US" w:eastAsia="zh-CN"/>
        </w:rPr>
        <w:t>1.</w:t>
      </w:r>
      <w:r>
        <w:rPr>
          <w:rFonts w:hint="eastAsia" w:ascii="宋体" w:hAnsi="宋体" w:cs="宋体"/>
          <w:color w:val="auto"/>
          <w:szCs w:val="20"/>
          <w:highlight w:val="none"/>
        </w:rPr>
        <w:t>双方约定的其他工程质量保修事项：</w:t>
      </w:r>
      <w:r>
        <w:rPr>
          <w:rFonts w:hint="eastAsia" w:ascii="宋体" w:hAnsi="宋体" w:cs="宋体"/>
          <w:color w:val="auto"/>
          <w:szCs w:val="20"/>
          <w:highlight w:val="none"/>
          <w:lang w:val="en-US" w:eastAsia="zh-CN"/>
        </w:rPr>
        <w:t xml:space="preserve"> </w:t>
      </w:r>
      <w:r>
        <w:rPr>
          <w:rFonts w:hint="eastAsia" w:ascii="宋体" w:hAnsi="宋体" w:cs="宋体"/>
          <w:color w:val="auto"/>
          <w:szCs w:val="20"/>
          <w:highlight w:val="none"/>
          <w:u w:val="single"/>
          <w:lang w:val="en-US" w:eastAsia="zh-CN"/>
        </w:rPr>
        <w:t xml:space="preserve">                 </w:t>
      </w:r>
    </w:p>
    <w:p w14:paraId="203D240D">
      <w:pPr>
        <w:numPr>
          <w:ilvl w:val="0"/>
          <w:numId w:val="0"/>
        </w:numPr>
        <w:spacing w:line="360" w:lineRule="auto"/>
        <w:ind w:firstLine="456" w:firstLineChars="0"/>
        <w:rPr>
          <w:rFonts w:hint="eastAsia" w:ascii="宋体" w:hAnsi="宋体" w:cs="宋体"/>
          <w:color w:val="auto"/>
          <w:szCs w:val="20"/>
          <w:highlight w:val="none"/>
        </w:rPr>
      </w:pPr>
      <w:r>
        <w:rPr>
          <w:rFonts w:hint="eastAsia" w:ascii="宋体" w:hAnsi="宋体" w:cs="宋体"/>
          <w:color w:val="auto"/>
          <w:szCs w:val="20"/>
          <w:highlight w:val="none"/>
          <w:lang w:val="en-US" w:eastAsia="zh-CN"/>
        </w:rPr>
        <w:t>2.</w:t>
      </w:r>
      <w:r>
        <w:rPr>
          <w:rFonts w:hint="eastAsia" w:ascii="宋体" w:hAnsi="宋体" w:cs="宋体"/>
          <w:color w:val="auto"/>
          <w:szCs w:val="20"/>
          <w:highlight w:val="none"/>
        </w:rPr>
        <w:t>本工程质量保修书作为施工合同附件，由施工合同发包人</w:t>
      </w:r>
      <w:r>
        <w:rPr>
          <w:rFonts w:hint="eastAsia" w:ascii="宋体" w:hAnsi="宋体" w:cs="宋体"/>
          <w:color w:val="auto"/>
          <w:szCs w:val="20"/>
          <w:highlight w:val="none"/>
          <w:lang w:eastAsia="zh-CN"/>
        </w:rPr>
        <w:t>、</w:t>
      </w:r>
      <w:r>
        <w:rPr>
          <w:rFonts w:hint="eastAsia" w:ascii="宋体" w:hAnsi="宋体" w:cs="宋体"/>
          <w:color w:val="auto"/>
          <w:szCs w:val="20"/>
          <w:highlight w:val="none"/>
        </w:rPr>
        <w:t>承包人双方共同签署。</w:t>
      </w:r>
    </w:p>
    <w:p w14:paraId="06722E59">
      <w:pPr>
        <w:numPr>
          <w:ilvl w:val="0"/>
          <w:numId w:val="0"/>
        </w:numPr>
        <w:spacing w:line="360" w:lineRule="auto"/>
        <w:ind w:firstLine="456" w:firstLineChars="0"/>
        <w:rPr>
          <w:rFonts w:hint="eastAsia" w:ascii="宋体" w:hAnsi="宋体" w:cs="宋体"/>
          <w:color w:val="auto"/>
          <w:szCs w:val="20"/>
          <w:highlight w:val="none"/>
        </w:rPr>
      </w:pPr>
    </w:p>
    <w:p w14:paraId="778E6780">
      <w:pPr>
        <w:numPr>
          <w:ilvl w:val="0"/>
          <w:numId w:val="0"/>
        </w:numPr>
        <w:spacing w:line="360" w:lineRule="auto"/>
        <w:ind w:firstLine="456" w:firstLineChars="0"/>
        <w:rPr>
          <w:rFonts w:hint="eastAsia" w:ascii="宋体" w:hAnsi="宋体" w:cs="宋体"/>
          <w:color w:val="auto"/>
          <w:szCs w:val="20"/>
          <w:highlight w:val="none"/>
        </w:rPr>
      </w:pPr>
    </w:p>
    <w:p w14:paraId="3E424419">
      <w:pPr>
        <w:numPr>
          <w:ilvl w:val="0"/>
          <w:numId w:val="0"/>
        </w:numPr>
        <w:tabs>
          <w:tab w:val="left" w:pos="4500"/>
        </w:tabs>
        <w:spacing w:line="360" w:lineRule="auto"/>
        <w:ind w:firstLine="540" w:firstLineChars="0"/>
        <w:rPr>
          <w:rFonts w:ascii="宋体" w:hAnsi="宋体" w:cs="宋体"/>
          <w:color w:val="auto"/>
          <w:szCs w:val="20"/>
          <w:highlight w:val="none"/>
        </w:rPr>
      </w:pPr>
      <w:r>
        <w:rPr>
          <w:rFonts w:hint="eastAsia" w:ascii="宋体" w:hAnsi="宋体" w:cs="宋体"/>
          <w:color w:val="auto"/>
          <w:szCs w:val="20"/>
          <w:highlight w:val="none"/>
        </w:rPr>
        <w:t xml:space="preserve">发  包  人(公章)： </w:t>
      </w:r>
      <w:r>
        <w:rPr>
          <w:rFonts w:hint="eastAsia" w:ascii="宋体" w:hAnsi="宋体" w:cs="宋体"/>
          <w:color w:val="auto"/>
          <w:szCs w:val="20"/>
          <w:highlight w:val="none"/>
        </w:rPr>
        <w:tab/>
      </w:r>
      <w:r>
        <w:rPr>
          <w:rFonts w:hint="eastAsia" w:ascii="宋体" w:hAnsi="宋体" w:cs="宋体"/>
          <w:color w:val="auto"/>
          <w:szCs w:val="20"/>
          <w:highlight w:val="none"/>
        </w:rPr>
        <w:t xml:space="preserve"> 承  包  人(公章)：</w:t>
      </w:r>
    </w:p>
    <w:p w14:paraId="283FBC9E">
      <w:pPr>
        <w:numPr>
          <w:ilvl w:val="0"/>
          <w:numId w:val="0"/>
        </w:numPr>
        <w:tabs>
          <w:tab w:val="left" w:pos="4500"/>
        </w:tabs>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rPr>
        <w:t xml:space="preserve">法定代表人(签字)： </w:t>
      </w:r>
      <w:r>
        <w:rPr>
          <w:rFonts w:hint="eastAsia" w:ascii="宋体" w:hAnsi="宋体" w:cs="宋体"/>
          <w:color w:val="auto"/>
          <w:szCs w:val="20"/>
          <w:highlight w:val="none"/>
        </w:rPr>
        <w:tab/>
      </w:r>
      <w:r>
        <w:rPr>
          <w:rFonts w:hint="eastAsia" w:ascii="宋体" w:hAnsi="宋体" w:cs="宋体"/>
          <w:color w:val="auto"/>
          <w:szCs w:val="20"/>
          <w:highlight w:val="none"/>
        </w:rPr>
        <w:t xml:space="preserve"> 法定代表人(签字)：</w:t>
      </w:r>
    </w:p>
    <w:p w14:paraId="259D3350">
      <w:pPr>
        <w:spacing w:line="360" w:lineRule="auto"/>
        <w:ind w:firstLine="480"/>
        <w:jc w:val="both"/>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或委托代理人（签字）：                 或委托代理人（签字）：</w:t>
      </w:r>
    </w:p>
    <w:p w14:paraId="7C7CB92E">
      <w:pPr>
        <w:spacing w:line="360" w:lineRule="auto"/>
        <w:ind w:firstLine="480"/>
        <w:jc w:val="center"/>
        <w:rPr>
          <w:rFonts w:hint="eastAsia" w:ascii="宋体" w:hAnsi="宋体" w:cs="宋体"/>
          <w:color w:val="auto"/>
          <w:highlight w:val="none"/>
        </w:rPr>
      </w:pPr>
      <w:r>
        <w:rPr>
          <w:rFonts w:hint="eastAsia" w:ascii="宋体" w:hAnsi="宋体" w:cs="宋体"/>
          <w:color w:val="auto"/>
          <w:highlight w:val="none"/>
        </w:rPr>
        <w:tab/>
      </w:r>
      <w:r>
        <w:rPr>
          <w:rFonts w:hint="eastAsia" w:ascii="宋体" w:hAnsi="宋体" w:cs="宋体"/>
          <w:color w:val="auto"/>
          <w:highlight w:val="none"/>
        </w:rPr>
        <w:t xml:space="preserve"> </w:t>
      </w:r>
    </w:p>
    <w:p w14:paraId="7D022970">
      <w:pPr>
        <w:spacing w:line="360" w:lineRule="auto"/>
        <w:ind w:firstLine="480"/>
        <w:jc w:val="center"/>
        <w:rPr>
          <w:rFonts w:ascii="宋体" w:hAnsi="宋体" w:cs="宋体"/>
          <w:color w:val="auto"/>
          <w:highlight w:val="none"/>
        </w:rPr>
      </w:pPr>
      <w:r>
        <w:rPr>
          <w:rFonts w:hint="eastAsia" w:ascii="宋体" w:hAnsi="宋体" w:cs="宋体"/>
          <w:color w:val="auto"/>
          <w:highlight w:val="none"/>
          <w:lang w:val="en-US" w:eastAsia="zh-CN"/>
        </w:rPr>
        <w:t xml:space="preserve">               </w:t>
      </w:r>
      <w:r>
        <w:rPr>
          <w:rFonts w:hint="eastAsia" w:ascii="宋体" w:hAnsi="宋体" w:cs="宋体"/>
          <w:color w:val="auto"/>
          <w:highlight w:val="none"/>
        </w:rPr>
        <w:t>年    月    日</w:t>
      </w:r>
    </w:p>
    <w:p w14:paraId="0DAABBEB">
      <w:pPr>
        <w:spacing w:line="360" w:lineRule="exact"/>
        <w:ind w:firstLine="420"/>
        <w:rPr>
          <w:rFonts w:hint="eastAsia" w:ascii="宋体" w:hAnsi="宋体"/>
          <w:color w:val="auto"/>
          <w:highlight w:val="none"/>
        </w:rPr>
      </w:pPr>
    </w:p>
    <w:p w14:paraId="64332B3B">
      <w:pPr>
        <w:spacing w:line="360" w:lineRule="exact"/>
        <w:ind w:firstLine="420"/>
        <w:rPr>
          <w:rFonts w:hint="eastAsia" w:ascii="宋体" w:hAnsi="宋体"/>
          <w:color w:val="auto"/>
          <w:highlight w:val="none"/>
        </w:rPr>
      </w:pPr>
    </w:p>
    <w:p w14:paraId="4A97968A">
      <w:pPr>
        <w:spacing w:line="360" w:lineRule="auto"/>
        <w:ind w:firstLine="562"/>
        <w:rPr>
          <w:rFonts w:hint="eastAsia" w:ascii="宋体" w:hAnsi="宋体" w:cs="宋体"/>
          <w:b/>
          <w:color w:val="auto"/>
          <w:sz w:val="28"/>
          <w:szCs w:val="28"/>
          <w:highlight w:val="none"/>
        </w:rPr>
      </w:pPr>
      <w:r>
        <w:rPr>
          <w:rFonts w:hint="eastAsia" w:ascii="宋体" w:hAnsi="宋体" w:cs="宋体"/>
          <w:b/>
          <w:color w:val="auto"/>
          <w:sz w:val="28"/>
          <w:szCs w:val="28"/>
          <w:highlight w:val="none"/>
        </w:rPr>
        <w:t>附件2：《防城港市市本级市政设施日常维修养护管理考核办法（试行）》详见第二章采购需求</w:t>
      </w:r>
    </w:p>
    <w:p w14:paraId="26EF4CA7">
      <w:pPr>
        <w:pStyle w:val="231"/>
        <w:spacing w:line="360" w:lineRule="exact"/>
        <w:ind w:firstLine="420"/>
        <w:rPr>
          <w:rFonts w:hint="eastAsia" w:ascii="宋体" w:hAnsi="宋体" w:eastAsia="宋体" w:cs="宋体"/>
          <w:b/>
          <w:bCs/>
          <w:color w:val="auto"/>
          <w:sz w:val="21"/>
          <w:szCs w:val="21"/>
          <w:highlight w:val="none"/>
          <w:shd w:val="clear" w:color="auto" w:fill="FFFFFF"/>
        </w:rPr>
      </w:pPr>
    </w:p>
    <w:p w14:paraId="299E4959">
      <w:pPr>
        <w:pStyle w:val="231"/>
        <w:spacing w:line="360" w:lineRule="exact"/>
        <w:rPr>
          <w:rFonts w:hint="eastAsia" w:hAnsi="宋体"/>
          <w:b/>
          <w:bCs/>
          <w:color w:val="auto"/>
          <w:highlight w:val="none"/>
          <w:shd w:val="clear" w:color="auto" w:fill="FFFFFF"/>
        </w:rPr>
      </w:pPr>
    </w:p>
    <w:p w14:paraId="27C9D564">
      <w:pPr>
        <w:pStyle w:val="194"/>
        <w:jc w:val="center"/>
        <w:rPr>
          <w:rFonts w:hint="eastAsia"/>
          <w:color w:val="auto"/>
          <w:highlight w:val="none"/>
        </w:rPr>
      </w:pPr>
      <w:r>
        <w:rPr>
          <w:rFonts w:hint="eastAsia"/>
          <w:color w:val="auto"/>
          <w:highlight w:val="none"/>
        </w:rPr>
        <w:t>第六章　投标文件格式</w:t>
      </w:r>
    </w:p>
    <w:p w14:paraId="10B232AD">
      <w:pPr>
        <w:rPr>
          <w:rFonts w:hint="eastAsia"/>
          <w:b/>
          <w:color w:val="auto"/>
          <w:sz w:val="28"/>
          <w:szCs w:val="28"/>
          <w:highlight w:val="none"/>
        </w:rPr>
      </w:pPr>
      <w:r>
        <w:rPr>
          <w:rFonts w:hint="eastAsia"/>
          <w:b/>
          <w:color w:val="auto"/>
          <w:sz w:val="28"/>
          <w:szCs w:val="28"/>
          <w:highlight w:val="none"/>
        </w:rPr>
        <w:t>一、报价文件格式</w:t>
      </w:r>
    </w:p>
    <w:p w14:paraId="30060875">
      <w:pPr>
        <w:spacing w:before="120" w:after="50" w:line="360" w:lineRule="auto"/>
        <w:ind w:left="142"/>
        <w:jc w:val="left"/>
        <w:rPr>
          <w:rFonts w:hint="eastAsia" w:ascii="宋体" w:hAnsi="宋体"/>
          <w:color w:val="auto"/>
          <w:sz w:val="24"/>
          <w:szCs w:val="20"/>
          <w:highlight w:val="none"/>
        </w:rPr>
      </w:pPr>
      <w:r>
        <w:rPr>
          <w:rFonts w:hint="eastAsia" w:ascii="宋体" w:hAnsi="宋体"/>
          <w:b/>
          <w:color w:val="auto"/>
          <w:sz w:val="24"/>
          <w:highlight w:val="none"/>
        </w:rPr>
        <w:t xml:space="preserve">1. 报价文件封面格式： </w:t>
      </w:r>
    </w:p>
    <w:p w14:paraId="0A56D12A">
      <w:pPr>
        <w:spacing w:before="120" w:after="50" w:line="360" w:lineRule="auto"/>
        <w:ind w:left="142"/>
        <w:jc w:val="center"/>
        <w:rPr>
          <w:rFonts w:hint="eastAsia" w:ascii="宋体" w:hAnsi="宋体"/>
          <w:bCs/>
          <w:color w:val="auto"/>
          <w:sz w:val="48"/>
          <w:szCs w:val="48"/>
          <w:highlight w:val="none"/>
        </w:rPr>
      </w:pPr>
      <w:r>
        <w:rPr>
          <w:rFonts w:hint="eastAsia" w:ascii="宋体" w:hAnsi="宋体"/>
          <w:bCs/>
          <w:color w:val="auto"/>
          <w:sz w:val="48"/>
          <w:szCs w:val="48"/>
          <w:highlight w:val="none"/>
        </w:rPr>
        <w:t>电子投标文件</w:t>
      </w:r>
    </w:p>
    <w:p w14:paraId="5CED8C2F">
      <w:pPr>
        <w:spacing w:before="120" w:after="50" w:line="400" w:lineRule="exact"/>
        <w:rPr>
          <w:rFonts w:hint="eastAsia" w:ascii="宋体" w:hAnsi="宋体"/>
          <w:bCs/>
          <w:color w:val="auto"/>
          <w:sz w:val="32"/>
          <w:szCs w:val="20"/>
          <w:highlight w:val="none"/>
        </w:rPr>
      </w:pPr>
      <w:r>
        <w:rPr>
          <w:rFonts w:hint="eastAsia" w:ascii="宋体" w:hAnsi="宋体"/>
          <w:color w:val="auto"/>
          <w:sz w:val="24"/>
          <w:highlight w:val="none"/>
        </w:rPr>
        <w:t xml:space="preserve">                 </w:t>
      </w:r>
    </w:p>
    <w:p w14:paraId="2B6A6DDA">
      <w:pPr>
        <w:spacing w:before="120" w:after="50" w:line="400" w:lineRule="exact"/>
        <w:jc w:val="center"/>
        <w:rPr>
          <w:rFonts w:hint="eastAsia" w:ascii="宋体" w:hAnsi="宋体"/>
          <w:bCs/>
          <w:color w:val="auto"/>
          <w:sz w:val="24"/>
          <w:szCs w:val="20"/>
          <w:highlight w:val="none"/>
        </w:rPr>
      </w:pPr>
    </w:p>
    <w:p w14:paraId="552E7A8E">
      <w:pPr>
        <w:spacing w:before="120"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w:t>
      </w:r>
    </w:p>
    <w:p w14:paraId="1429EC87">
      <w:pPr>
        <w:spacing w:before="120" w:after="50" w:line="400" w:lineRule="exact"/>
        <w:rPr>
          <w:rFonts w:hint="eastAsia" w:ascii="宋体" w:hAnsi="宋体"/>
          <w:bCs/>
          <w:color w:val="auto"/>
          <w:sz w:val="24"/>
          <w:szCs w:val="20"/>
          <w:highlight w:val="none"/>
        </w:rPr>
      </w:pPr>
    </w:p>
    <w:p w14:paraId="0A09865A">
      <w:pPr>
        <w:spacing w:before="120" w:after="50" w:line="400" w:lineRule="exact"/>
        <w:rPr>
          <w:rFonts w:hint="eastAsia" w:ascii="宋体" w:hAnsi="宋体"/>
          <w:bCs/>
          <w:color w:val="auto"/>
          <w:sz w:val="24"/>
          <w:szCs w:val="20"/>
          <w:highlight w:val="none"/>
        </w:rPr>
      </w:pPr>
    </w:p>
    <w:p w14:paraId="6771E172">
      <w:pPr>
        <w:spacing w:before="120" w:after="50" w:line="400" w:lineRule="exact"/>
        <w:rPr>
          <w:rFonts w:hint="eastAsia" w:ascii="宋体" w:hAnsi="宋体"/>
          <w:bCs/>
          <w:color w:val="auto"/>
          <w:sz w:val="24"/>
          <w:szCs w:val="20"/>
          <w:highlight w:val="none"/>
        </w:rPr>
      </w:pPr>
    </w:p>
    <w:p w14:paraId="49F74B2E">
      <w:pPr>
        <w:spacing w:before="120" w:after="50" w:line="400" w:lineRule="exact"/>
        <w:ind w:firstLine="360"/>
        <w:rPr>
          <w:rFonts w:hint="eastAsia" w:ascii="宋体" w:hAnsi="宋体"/>
          <w:bCs/>
          <w:color w:val="auto"/>
          <w:sz w:val="24"/>
          <w:highlight w:val="none"/>
        </w:rPr>
      </w:pPr>
      <w:r>
        <w:rPr>
          <w:rFonts w:hint="eastAsia" w:ascii="宋体" w:hAnsi="宋体"/>
          <w:bCs/>
          <w:color w:val="auto"/>
          <w:sz w:val="24"/>
          <w:highlight w:val="none"/>
        </w:rPr>
        <w:t xml:space="preserve">项目名称： </w:t>
      </w:r>
    </w:p>
    <w:p w14:paraId="7F0C1052">
      <w:pPr>
        <w:spacing w:before="120" w:after="50" w:line="400" w:lineRule="exact"/>
        <w:ind w:firstLine="360"/>
        <w:rPr>
          <w:rFonts w:hint="eastAsia" w:ascii="宋体" w:hAnsi="宋体"/>
          <w:bCs/>
          <w:color w:val="auto"/>
          <w:sz w:val="24"/>
          <w:highlight w:val="none"/>
        </w:rPr>
      </w:pPr>
      <w:r>
        <w:rPr>
          <w:rFonts w:hint="eastAsia" w:ascii="宋体" w:hAnsi="宋体"/>
          <w:bCs/>
          <w:color w:val="auto"/>
          <w:sz w:val="24"/>
          <w:highlight w:val="none"/>
        </w:rPr>
        <w:t xml:space="preserve">项目编号： </w:t>
      </w:r>
    </w:p>
    <w:p w14:paraId="34C86DFC">
      <w:pPr>
        <w:spacing w:before="120" w:after="50" w:line="400" w:lineRule="exact"/>
        <w:ind w:firstLine="360"/>
        <w:rPr>
          <w:rFonts w:hint="eastAsia" w:ascii="宋体" w:hAnsi="宋体"/>
          <w:bCs/>
          <w:color w:val="auto"/>
          <w:sz w:val="24"/>
          <w:highlight w:val="none"/>
        </w:rPr>
      </w:pPr>
      <w:r>
        <w:rPr>
          <w:rFonts w:hint="eastAsia" w:ascii="宋体" w:hAnsi="宋体"/>
          <w:bCs/>
          <w:color w:val="auto"/>
          <w:sz w:val="24"/>
          <w:highlight w:val="none"/>
        </w:rPr>
        <w:t>投标人名称：</w:t>
      </w:r>
    </w:p>
    <w:p w14:paraId="30EFBD83">
      <w:pPr>
        <w:spacing w:before="120" w:after="50" w:line="400" w:lineRule="exact"/>
        <w:ind w:firstLine="360"/>
        <w:rPr>
          <w:rFonts w:hint="eastAsia" w:ascii="宋体" w:hAnsi="宋体"/>
          <w:bCs/>
          <w:color w:val="auto"/>
          <w:sz w:val="24"/>
          <w:highlight w:val="none"/>
        </w:rPr>
      </w:pPr>
      <w:r>
        <w:rPr>
          <w:rFonts w:hint="eastAsia" w:ascii="宋体" w:hAnsi="宋体"/>
          <w:bCs/>
          <w:color w:val="auto"/>
          <w:sz w:val="24"/>
          <w:highlight w:val="none"/>
        </w:rPr>
        <w:t>投标人地址：</w:t>
      </w:r>
    </w:p>
    <w:p w14:paraId="3B84C8C9">
      <w:pPr>
        <w:pStyle w:val="199"/>
        <w:spacing w:before="50" w:after="50" w:line="400" w:lineRule="exact"/>
        <w:ind w:firstLine="960"/>
        <w:rPr>
          <w:rFonts w:hint="eastAsia" w:ascii="宋体" w:hAnsi="宋体"/>
          <w:bCs/>
          <w:color w:val="auto"/>
          <w:sz w:val="24"/>
          <w:szCs w:val="24"/>
          <w:highlight w:val="none"/>
        </w:rPr>
      </w:pPr>
    </w:p>
    <w:p w14:paraId="3C5B6AA0">
      <w:pPr>
        <w:pStyle w:val="199"/>
        <w:spacing w:before="50" w:after="50" w:line="400" w:lineRule="exact"/>
        <w:ind w:firstLine="960"/>
        <w:rPr>
          <w:rFonts w:hint="eastAsia" w:ascii="宋体" w:hAnsi="宋体"/>
          <w:bCs/>
          <w:color w:val="auto"/>
          <w:sz w:val="24"/>
          <w:szCs w:val="24"/>
          <w:highlight w:val="none"/>
        </w:rPr>
      </w:pPr>
    </w:p>
    <w:p w14:paraId="716D6C83">
      <w:pPr>
        <w:spacing w:before="120" w:after="50" w:line="400" w:lineRule="exact"/>
        <w:rPr>
          <w:rFonts w:hint="eastAsia" w:ascii="宋体" w:hAnsi="宋体"/>
          <w:color w:val="auto"/>
          <w:sz w:val="30"/>
          <w:szCs w:val="20"/>
          <w:highlight w:val="none"/>
        </w:rPr>
      </w:pPr>
      <w:r>
        <w:rPr>
          <w:rFonts w:hint="eastAsia" w:ascii="宋体" w:hAnsi="宋体"/>
          <w:color w:val="auto"/>
          <w:sz w:val="24"/>
          <w:highlight w:val="none"/>
        </w:rPr>
        <w:t xml:space="preserve">                                   年  月  日</w:t>
      </w:r>
    </w:p>
    <w:p w14:paraId="52321166">
      <w:pPr>
        <w:spacing w:before="120" w:after="50" w:line="360" w:lineRule="auto"/>
        <w:jc w:val="left"/>
        <w:rPr>
          <w:rFonts w:hint="eastAsia" w:ascii="宋体" w:hAnsi="宋体"/>
          <w:color w:val="auto"/>
          <w:sz w:val="24"/>
          <w:szCs w:val="20"/>
          <w:highlight w:val="none"/>
        </w:rPr>
      </w:pPr>
      <w:r>
        <w:rPr>
          <w:rFonts w:ascii="宋体" w:hAnsi="宋体"/>
          <w:b/>
          <w:color w:val="auto"/>
          <w:sz w:val="24"/>
          <w:highlight w:val="none"/>
        </w:rPr>
        <w:br w:type="page" w:clear="all"/>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7688C7FA">
      <w:pPr>
        <w:spacing w:before="50" w:after="120" w:line="360" w:lineRule="auto"/>
        <w:jc w:val="left"/>
        <w:rPr>
          <w:rFonts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20DA3323">
      <w:pPr>
        <w:spacing w:before="120" w:after="50"/>
        <w:rPr>
          <w:rFonts w:hint="eastAsia" w:ascii="宋体" w:hAnsi="宋体"/>
          <w:b/>
          <w:color w:val="auto"/>
          <w:sz w:val="24"/>
          <w:highlight w:val="none"/>
        </w:rPr>
      </w:pPr>
    </w:p>
    <w:p w14:paraId="2C63AC19">
      <w:pPr>
        <w:spacing w:before="120" w:after="50"/>
        <w:rPr>
          <w:rFonts w:hint="eastAsia" w:ascii="宋体" w:hAnsi="宋体"/>
          <w:b/>
          <w:color w:val="auto"/>
          <w:sz w:val="24"/>
          <w:highlight w:val="none"/>
        </w:rPr>
      </w:pPr>
    </w:p>
    <w:p w14:paraId="00C45365">
      <w:pPr>
        <w:spacing w:before="120" w:after="50"/>
        <w:rPr>
          <w:rFonts w:hint="eastAsia" w:ascii="宋体" w:hAnsi="宋体"/>
          <w:b/>
          <w:color w:val="auto"/>
          <w:sz w:val="24"/>
          <w:highlight w:val="none"/>
        </w:rPr>
      </w:pPr>
    </w:p>
    <w:p w14:paraId="36DEC981">
      <w:pPr>
        <w:spacing w:before="120" w:after="50"/>
        <w:ind w:left="142"/>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3. 投标函格式：</w:t>
      </w:r>
    </w:p>
    <w:p w14:paraId="062682FB">
      <w:pPr>
        <w:spacing w:before="120" w:after="50"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投 标 函</w:t>
      </w:r>
    </w:p>
    <w:p w14:paraId="7FC24754">
      <w:pPr>
        <w:spacing w:line="360" w:lineRule="auto"/>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采购人名称</w:t>
      </w:r>
      <w:r>
        <w:rPr>
          <w:rFonts w:hint="eastAsia" w:ascii="宋体" w:hAnsi="宋体"/>
          <w:color w:val="auto"/>
          <w:szCs w:val="21"/>
          <w:highlight w:val="none"/>
        </w:rPr>
        <w:t>：</w:t>
      </w:r>
    </w:p>
    <w:p w14:paraId="66F3CB41">
      <w:pPr>
        <w:spacing w:line="360" w:lineRule="auto"/>
        <w:ind w:firstLine="480"/>
        <w:rPr>
          <w:rFonts w:hint="eastAsia" w:ascii="宋体" w:hAnsi="宋体"/>
          <w:color w:val="auto"/>
          <w:szCs w:val="21"/>
          <w:highlight w:val="none"/>
        </w:rPr>
      </w:pPr>
      <w:r>
        <w:rPr>
          <w:rFonts w:hint="eastAsia" w:ascii="宋体" w:hAnsi="宋体"/>
          <w:color w:val="auto"/>
          <w:szCs w:val="21"/>
          <w:highlight w:val="none"/>
        </w:rPr>
        <w:t>根据贵方</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）的招标文件，签字代表______</w:t>
      </w:r>
      <w:r>
        <w:rPr>
          <w:rFonts w:hint="eastAsia" w:ascii="宋体" w:hAnsi="宋体"/>
          <w:color w:val="auto"/>
          <w:szCs w:val="21"/>
          <w:highlight w:val="none"/>
          <w:u w:val="single"/>
        </w:rPr>
        <w:t xml:space="preserve">     </w:t>
      </w:r>
      <w:r>
        <w:rPr>
          <w:rFonts w:hint="eastAsia" w:ascii="宋体" w:hAnsi="宋体"/>
          <w:color w:val="auto"/>
          <w:szCs w:val="21"/>
          <w:highlight w:val="none"/>
        </w:rPr>
        <w:t>（姓名）经正式授权并代表投标人</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（投标人名称）提交投标文件。</w:t>
      </w:r>
    </w:p>
    <w:p w14:paraId="1DFB5700">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据此函，我方宣布同意如下：</w:t>
      </w:r>
    </w:p>
    <w:p w14:paraId="3CA3D3F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6500DEF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2.我方在投标之前已经完全理解并接受招标文件的各项规定和要求，对招标文件的合理性、合法性不再有异议。</w:t>
      </w:r>
    </w:p>
    <w:p w14:paraId="0A7FD87C">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3.本投标有效期自投标截止之日起</w:t>
      </w:r>
      <w:r>
        <w:rPr>
          <w:rFonts w:ascii="宋体" w:hAnsi="宋体"/>
          <w:color w:val="auto"/>
          <w:szCs w:val="21"/>
          <w:highlight w:val="none"/>
          <w:u w:val="single"/>
        </w:rPr>
        <w:t xml:space="preserve">    </w:t>
      </w:r>
      <w:r>
        <w:rPr>
          <w:rFonts w:hint="eastAsia" w:ascii="宋体" w:hAnsi="宋体"/>
          <w:color w:val="auto"/>
          <w:szCs w:val="21"/>
          <w:highlight w:val="none"/>
        </w:rPr>
        <w:t>日。</w:t>
      </w:r>
    </w:p>
    <w:p w14:paraId="0A504C1A">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4.如中标，本投标文件至本项目合同履行完毕止均保持有效，我方将按“招标文件”及政府采购法律、法规的规定履行合同责任和义务。</w:t>
      </w:r>
    </w:p>
    <w:p w14:paraId="5F9B2F9F">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5.我方同意按照贵方要求提供与投标有关的一切数据或者资料。</w:t>
      </w:r>
    </w:p>
    <w:p w14:paraId="37505B3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6.我方向贵方提交的所有投标文件、资料都是准确的和真实的。</w:t>
      </w:r>
    </w:p>
    <w:p w14:paraId="2A193CF9">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7.以上事项如有虚假或者隐瞒，我方愿意承担一切后果，并不再寻求任何旨在减轻或者免除法律责任的辩解。</w:t>
      </w:r>
    </w:p>
    <w:p w14:paraId="3228209A">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8.根据</w:t>
      </w:r>
      <w:r>
        <w:rPr>
          <w:rFonts w:ascii="宋体" w:hAnsi="宋体"/>
          <w:color w:val="auto"/>
          <w:szCs w:val="21"/>
          <w:highlight w:val="none"/>
        </w:rPr>
        <w:t>《中华人民共和国政府采购法实施条例》第五十条要求对政府采购合同进行公告</w:t>
      </w:r>
      <w:r>
        <w:rPr>
          <w:rFonts w:hint="eastAsia" w:ascii="宋体" w:hAnsi="宋体"/>
          <w:color w:val="auto"/>
          <w:szCs w:val="21"/>
          <w:highlight w:val="none"/>
        </w:rPr>
        <w:t>，</w:t>
      </w:r>
      <w:r>
        <w:rPr>
          <w:rFonts w:ascii="宋体" w:hAnsi="宋体"/>
          <w:color w:val="auto"/>
          <w:szCs w:val="21"/>
          <w:highlight w:val="none"/>
        </w:rPr>
        <w:t>但政府采购合同中涉及国家秘密、商业秘密的内容除外。</w:t>
      </w:r>
      <w:r>
        <w:rPr>
          <w:rFonts w:hint="eastAsia" w:ascii="宋体" w:hAnsi="宋体"/>
          <w:color w:val="auto"/>
          <w:szCs w:val="21"/>
          <w:highlight w:val="none"/>
        </w:rPr>
        <w:t>我方就对本次投标文件进行注明如下：（两项内容中必须选择一项）</w:t>
      </w:r>
    </w:p>
    <w:p w14:paraId="604A331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□我方本次投标文件</w:t>
      </w:r>
      <w:r>
        <w:rPr>
          <w:rFonts w:ascii="宋体" w:hAnsi="宋体" w:cs="宋体"/>
          <w:color w:val="auto"/>
          <w:szCs w:val="21"/>
          <w:highlight w:val="none"/>
        </w:rPr>
        <w:t>内容中</w:t>
      </w:r>
      <w:r>
        <w:rPr>
          <w:rFonts w:hint="eastAsia" w:ascii="宋体" w:hAnsi="宋体"/>
          <w:color w:val="auto"/>
          <w:szCs w:val="21"/>
          <w:highlight w:val="none"/>
        </w:rPr>
        <w:t>未</w:t>
      </w:r>
      <w:r>
        <w:rPr>
          <w:rFonts w:ascii="宋体" w:hAnsi="宋体" w:cs="宋体"/>
          <w:color w:val="auto"/>
          <w:szCs w:val="21"/>
          <w:highlight w:val="none"/>
        </w:rPr>
        <w:t>涉及商业秘密</w:t>
      </w:r>
      <w:r>
        <w:rPr>
          <w:rFonts w:hint="eastAsia" w:ascii="宋体" w:hAnsi="宋体" w:cs="宋体"/>
          <w:color w:val="auto"/>
          <w:szCs w:val="21"/>
          <w:highlight w:val="none"/>
        </w:rPr>
        <w:t>；</w:t>
      </w:r>
    </w:p>
    <w:p w14:paraId="15495B2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□我方本次投标文件</w:t>
      </w:r>
      <w:r>
        <w:rPr>
          <w:rFonts w:ascii="宋体" w:hAnsi="宋体" w:cs="宋体"/>
          <w:color w:val="auto"/>
          <w:szCs w:val="21"/>
          <w:highlight w:val="none"/>
        </w:rPr>
        <w:t>涉及商业秘密</w:t>
      </w:r>
      <w:r>
        <w:rPr>
          <w:rFonts w:hint="eastAsia" w:ascii="宋体" w:hAnsi="宋体" w:cs="宋体"/>
          <w:color w:val="auto"/>
          <w:szCs w:val="21"/>
          <w:highlight w:val="none"/>
        </w:rPr>
        <w:t>的</w:t>
      </w:r>
      <w:r>
        <w:rPr>
          <w:rFonts w:ascii="宋体" w:hAnsi="宋体" w:cs="宋体"/>
          <w:color w:val="auto"/>
          <w:szCs w:val="21"/>
          <w:highlight w:val="none"/>
        </w:rPr>
        <w:t>内容</w:t>
      </w:r>
      <w:r>
        <w:rPr>
          <w:rFonts w:hint="eastAsia" w:ascii="宋体" w:hAnsi="宋体" w:cs="宋体"/>
          <w:color w:val="auto"/>
          <w:szCs w:val="21"/>
          <w:highlight w:val="none"/>
        </w:rPr>
        <w:t>有：</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C542B9F">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9.与本项目有关的一切正式往来信函请寄：</w:t>
      </w:r>
    </w:p>
    <w:p w14:paraId="7DBFEA5D">
      <w:pPr>
        <w:spacing w:line="360" w:lineRule="auto"/>
        <w:ind w:firstLine="420"/>
        <w:rPr>
          <w:rFonts w:hint="eastAsia" w:ascii="宋体" w:hAnsi="宋体"/>
          <w:color w:val="auto"/>
          <w:szCs w:val="21"/>
          <w:highlight w:val="none"/>
          <w:u w:val="singl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r>
        <w:rPr>
          <w:rFonts w:hint="eastAsia" w:ascii="宋体" w:hAnsi="宋体"/>
          <w:color w:val="auto"/>
          <w:szCs w:val="21"/>
          <w:highlight w:val="none"/>
        </w:rPr>
        <w:t>邮编：</w:t>
      </w:r>
      <w:r>
        <w:rPr>
          <w:rFonts w:hint="eastAsia" w:ascii="宋体" w:hAnsi="宋体"/>
          <w:color w:val="auto"/>
          <w:szCs w:val="21"/>
          <w:highlight w:val="none"/>
          <w:u w:val="single"/>
        </w:rPr>
        <w:t xml:space="preserve">            </w:t>
      </w:r>
    </w:p>
    <w:p w14:paraId="28E0C60F">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r>
        <w:rPr>
          <w:rFonts w:hint="eastAsia" w:ascii="宋体" w:hAnsi="宋体"/>
          <w:color w:val="auto"/>
          <w:szCs w:val="21"/>
          <w:highlight w:val="none"/>
        </w:rPr>
        <w:t>电话：</w:t>
      </w:r>
      <w:r>
        <w:rPr>
          <w:rFonts w:hint="eastAsia" w:ascii="宋体" w:hAnsi="宋体"/>
          <w:color w:val="auto"/>
          <w:szCs w:val="21"/>
          <w:highlight w:val="none"/>
          <w:u w:val="single"/>
        </w:rPr>
        <w:t xml:space="preserve">        </w:t>
      </w:r>
      <w:r>
        <w:rPr>
          <w:rFonts w:hint="eastAsia" w:ascii="宋体" w:hAnsi="宋体"/>
          <w:color w:val="auto"/>
          <w:szCs w:val="21"/>
          <w:highlight w:val="none"/>
        </w:rPr>
        <w:t>传真：</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3E2DB65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投标人名称：</w:t>
      </w:r>
      <w:r>
        <w:rPr>
          <w:rFonts w:hint="eastAsia" w:ascii="宋体" w:hAnsi="宋体"/>
          <w:color w:val="auto"/>
          <w:szCs w:val="21"/>
          <w:highlight w:val="none"/>
          <w:u w:val="single"/>
        </w:rPr>
        <w:t xml:space="preserve">                </w:t>
      </w:r>
    </w:p>
    <w:p w14:paraId="3DD23AEC">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银行账号：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1C83E65">
      <w:pPr>
        <w:spacing w:line="360" w:lineRule="auto"/>
        <w:ind w:firstLine="420"/>
        <w:jc w:val="left"/>
        <w:rPr>
          <w:rFonts w:hint="eastAsia" w:ascii="宋体" w:hAnsi="宋体"/>
          <w:color w:val="auto"/>
          <w:szCs w:val="21"/>
          <w:highlight w:val="none"/>
        </w:rPr>
      </w:pPr>
    </w:p>
    <w:p w14:paraId="509AE598">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 xml:space="preserve">                法定代表人或者委托代理人（签字或者电子签名）： </w:t>
      </w:r>
    </w:p>
    <w:p w14:paraId="476576B6">
      <w:pPr>
        <w:pStyle w:val="231"/>
        <w:spacing w:before="295" w:after="295" w:line="360" w:lineRule="auto"/>
        <w:jc w:val="center"/>
        <w:rPr>
          <w:rFonts w:hint="eastAsia" w:hAnsi="宋体"/>
          <w:color w:val="auto"/>
          <w:sz w:val="21"/>
          <w:highlight w:val="none"/>
          <w:u w:val="single"/>
        </w:rPr>
      </w:pPr>
      <w:r>
        <w:rPr>
          <w:rFonts w:hint="eastAsia" w:hAnsi="宋体"/>
          <w:color w:val="auto"/>
          <w:sz w:val="21"/>
          <w:highlight w:val="none"/>
        </w:rPr>
        <w:t xml:space="preserve"> </w:t>
      </w:r>
      <w:r>
        <w:rPr>
          <w:rFonts w:hAnsi="宋体"/>
          <w:color w:val="auto"/>
          <w:sz w:val="21"/>
          <w:highlight w:val="none"/>
        </w:rPr>
        <w:t xml:space="preserve">                                    </w:t>
      </w:r>
      <w:r>
        <w:rPr>
          <w:rFonts w:hint="eastAsia" w:hAnsi="宋体"/>
          <w:color w:val="auto"/>
          <w:sz w:val="21"/>
          <w:highlight w:val="none"/>
        </w:rPr>
        <w:t>投标人名称（电子签章）：</w:t>
      </w:r>
    </w:p>
    <w:p w14:paraId="099B27CE">
      <w:pPr>
        <w:pStyle w:val="231"/>
        <w:spacing w:before="295" w:after="295" w:line="360" w:lineRule="auto"/>
        <w:rPr>
          <w:rFonts w:hint="eastAsia" w:hAnsi="宋体"/>
          <w:color w:val="auto"/>
          <w:sz w:val="21"/>
          <w:highlight w:val="none"/>
        </w:rPr>
      </w:pPr>
      <w:r>
        <w:rPr>
          <w:rFonts w:hint="eastAsia" w:hAnsi="宋体"/>
          <w:color w:val="auto"/>
          <w:sz w:val="21"/>
          <w:highlight w:val="none"/>
        </w:rPr>
        <w:t xml:space="preserve">                                                </w:t>
      </w:r>
      <w:r>
        <w:rPr>
          <w:rFonts w:hint="eastAsia" w:hAnsi="宋体"/>
          <w:color w:val="auto"/>
          <w:sz w:val="21"/>
          <w:highlight w:val="none"/>
          <w:u w:val="single"/>
        </w:rPr>
        <w:t xml:space="preserve">      </w:t>
      </w:r>
      <w:r>
        <w:rPr>
          <w:rFonts w:hint="eastAsia" w:hAnsi="宋体"/>
          <w:color w:val="auto"/>
          <w:sz w:val="21"/>
          <w:highlight w:val="none"/>
        </w:rPr>
        <w:t>年</w:t>
      </w:r>
      <w:r>
        <w:rPr>
          <w:rFonts w:hint="eastAsia" w:hAnsi="宋体"/>
          <w:color w:val="auto"/>
          <w:sz w:val="21"/>
          <w:highlight w:val="none"/>
          <w:u w:val="single"/>
        </w:rPr>
        <w:t xml:space="preserve">    </w:t>
      </w:r>
      <w:r>
        <w:rPr>
          <w:rFonts w:hint="eastAsia" w:hAnsi="宋体"/>
          <w:color w:val="auto"/>
          <w:sz w:val="21"/>
          <w:highlight w:val="none"/>
        </w:rPr>
        <w:t>月</w:t>
      </w:r>
      <w:r>
        <w:rPr>
          <w:rFonts w:hint="eastAsia" w:hAnsi="宋体"/>
          <w:color w:val="auto"/>
          <w:sz w:val="21"/>
          <w:highlight w:val="none"/>
          <w:u w:val="single"/>
        </w:rPr>
        <w:t xml:space="preserve">     </w:t>
      </w:r>
      <w:r>
        <w:rPr>
          <w:rFonts w:hint="eastAsia" w:hAnsi="宋体"/>
          <w:color w:val="auto"/>
          <w:sz w:val="21"/>
          <w:highlight w:val="none"/>
        </w:rPr>
        <w:t>日</w:t>
      </w:r>
    </w:p>
    <w:p w14:paraId="2B3274DA">
      <w:pPr>
        <w:spacing w:before="120" w:after="50"/>
        <w:jc w:val="left"/>
        <w:rPr>
          <w:rFonts w:hint="eastAsia" w:ascii="宋体" w:hAnsi="宋体"/>
          <w:b/>
          <w:color w:val="auto"/>
          <w:sz w:val="24"/>
          <w:szCs w:val="20"/>
          <w:highlight w:val="none"/>
        </w:rPr>
      </w:pPr>
      <w:r>
        <w:rPr>
          <w:rFonts w:hAnsi="宋体"/>
          <w:color w:val="auto"/>
          <w:highlight w:val="none"/>
          <w:u w:val="single"/>
        </w:rPr>
        <w:br w:type="page" w:clear="all"/>
      </w:r>
      <w:r>
        <w:rPr>
          <w:rFonts w:hint="eastAsia" w:ascii="宋体" w:hAnsi="宋体"/>
          <w:b/>
          <w:color w:val="auto"/>
          <w:sz w:val="24"/>
          <w:highlight w:val="none"/>
        </w:rPr>
        <w:t>4. 开标一览表</w:t>
      </w:r>
    </w:p>
    <w:p w14:paraId="0DDF2532">
      <w:pPr>
        <w:spacing w:before="50" w:after="50"/>
        <w:jc w:val="center"/>
        <w:rPr>
          <w:rFonts w:hint="eastAsia" w:ascii="宋体" w:hAnsi="宋体"/>
          <w:b/>
          <w:color w:val="auto"/>
          <w:sz w:val="30"/>
          <w:highlight w:val="none"/>
        </w:rPr>
      </w:pPr>
      <w:r>
        <w:rPr>
          <w:rFonts w:hint="eastAsia" w:ascii="宋体" w:hAnsi="宋体"/>
          <w:b/>
          <w:color w:val="auto"/>
          <w:sz w:val="30"/>
          <w:highlight w:val="none"/>
        </w:rPr>
        <w:t>开标一览表</w:t>
      </w:r>
    </w:p>
    <w:p w14:paraId="0BC4A461">
      <w:pPr>
        <w:spacing w:before="50" w:after="50"/>
        <w:jc w:val="center"/>
        <w:rPr>
          <w:rFonts w:hint="eastAsia" w:ascii="宋体" w:hAnsi="宋体"/>
          <w:b/>
          <w:color w:val="auto"/>
          <w:sz w:val="30"/>
          <w:szCs w:val="20"/>
          <w:highlight w:val="none"/>
        </w:rPr>
      </w:pPr>
    </w:p>
    <w:p w14:paraId="4CF211EA">
      <w:pPr>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6EF48228">
      <w:pPr>
        <w:spacing w:before="50" w:after="50" w:line="360" w:lineRule="auto"/>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单位：</w:t>
      </w:r>
      <w:r>
        <w:rPr>
          <w:rFonts w:hint="eastAsia" w:ascii="宋体" w:hAnsi="宋体" w:eastAsia="宋体" w:cs="宋体"/>
          <w:color w:val="auto"/>
          <w:sz w:val="21"/>
          <w:szCs w:val="21"/>
          <w:highlight w:val="none"/>
        </w:rPr>
        <w:t>%</w:t>
      </w:r>
    </w:p>
    <w:tbl>
      <w:tblPr>
        <w:tblStyle w:val="30"/>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5"/>
        <w:gridCol w:w="1981"/>
        <w:gridCol w:w="2612"/>
        <w:gridCol w:w="1499"/>
      </w:tblGrid>
      <w:tr w14:paraId="1CF9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238E1E5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555" w:type="dxa"/>
            <w:tcBorders>
              <w:top w:val="single" w:color="auto" w:sz="4" w:space="0"/>
              <w:left w:val="single" w:color="auto" w:sz="4" w:space="0"/>
              <w:bottom w:val="single" w:color="auto" w:sz="4" w:space="0"/>
              <w:right w:val="single" w:color="auto" w:sz="4" w:space="0"/>
            </w:tcBorders>
            <w:noWrap w:val="0"/>
            <w:vAlign w:val="center"/>
          </w:tcPr>
          <w:p w14:paraId="50D0C69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41080C08">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734E023C">
            <w:pPr>
              <w:tabs>
                <w:tab w:val="left" w:pos="1418"/>
              </w:tabs>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投标报价（系数）</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2C2C8899">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备注</w:t>
            </w:r>
          </w:p>
        </w:tc>
      </w:tr>
      <w:tr w14:paraId="304BB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06DAB81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555" w:type="dxa"/>
            <w:tcBorders>
              <w:top w:val="single" w:color="auto" w:sz="4" w:space="0"/>
              <w:left w:val="single" w:color="auto" w:sz="4" w:space="0"/>
              <w:bottom w:val="single" w:color="auto" w:sz="4" w:space="0"/>
              <w:right w:val="single" w:color="auto" w:sz="4" w:space="0"/>
            </w:tcBorders>
            <w:noWrap w:val="0"/>
            <w:vAlign w:val="center"/>
          </w:tcPr>
          <w:p w14:paraId="05C52203">
            <w:pPr>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2026-2028年市管市政设施维修养护服务采购项目</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5A9D3FD8">
            <w:pPr>
              <w:tabs>
                <w:tab w:val="left" w:pos="1418"/>
              </w:tabs>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2B5E11A9">
            <w:pPr>
              <w:tabs>
                <w:tab w:val="left" w:pos="1418"/>
              </w:tabs>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187E1C57">
            <w:pPr>
              <w:spacing w:line="360" w:lineRule="auto"/>
              <w:jc w:val="center"/>
              <w:rPr>
                <w:rFonts w:hint="eastAsia" w:ascii="宋体" w:hAnsi="宋体" w:eastAsia="宋体" w:cs="宋体"/>
                <w:color w:val="auto"/>
                <w:sz w:val="21"/>
                <w:szCs w:val="21"/>
                <w:highlight w:val="none"/>
              </w:rPr>
            </w:pPr>
          </w:p>
        </w:tc>
      </w:tr>
      <w:tr w14:paraId="7D1CB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9464" w:type="dxa"/>
            <w:gridSpan w:val="5"/>
            <w:tcBorders>
              <w:top w:val="single" w:color="auto" w:sz="4" w:space="0"/>
              <w:left w:val="single" w:color="auto" w:sz="4" w:space="0"/>
              <w:bottom w:val="single" w:color="auto" w:sz="4" w:space="0"/>
              <w:right w:val="single" w:color="auto" w:sz="4" w:space="0"/>
            </w:tcBorders>
            <w:noWrap w:val="0"/>
            <w:vAlign w:val="center"/>
          </w:tcPr>
          <w:p w14:paraId="6A88CB15">
            <w:pPr>
              <w:spacing w:line="360" w:lineRule="auto"/>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服务期限：</w:t>
            </w:r>
          </w:p>
        </w:tc>
      </w:tr>
      <w:tr w14:paraId="05CF3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9464" w:type="dxa"/>
            <w:gridSpan w:val="5"/>
            <w:tcBorders>
              <w:top w:val="single" w:color="auto" w:sz="4" w:space="0"/>
              <w:left w:val="single" w:color="auto" w:sz="4" w:space="0"/>
              <w:bottom w:val="single" w:color="auto" w:sz="4" w:space="0"/>
              <w:right w:val="single" w:color="auto" w:sz="4" w:space="0"/>
            </w:tcBorders>
            <w:noWrap w:val="0"/>
            <w:vAlign w:val="center"/>
          </w:tcPr>
          <w:p w14:paraId="047A4EA7">
            <w:pPr>
              <w:spacing w:line="40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备注：</w:t>
            </w:r>
          </w:p>
          <w:p w14:paraId="4F9F760A">
            <w:pPr>
              <w:keepNext w:val="0"/>
              <w:keepLines w:val="0"/>
              <w:pageBreakBefore w:val="0"/>
              <w:widowControl w:val="0"/>
              <w:bidi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（1）本项目投标报价采用系数报价。投标人须对服务期内所承接的所有项目，在经委托第三方审核机构或报送市财政投资评审中心审定的结算价款的基础上进行系数报价。</w:t>
            </w:r>
            <w:r>
              <w:rPr>
                <w:rFonts w:hint="eastAsia" w:ascii="宋体" w:hAnsi="宋体" w:eastAsia="宋体" w:cs="宋体"/>
                <w:b/>
                <w:bCs/>
                <w:color w:val="auto"/>
                <w:sz w:val="21"/>
                <w:szCs w:val="21"/>
                <w:highlight w:val="none"/>
                <w:lang w:val="en-US" w:eastAsia="zh-CN"/>
              </w:rPr>
              <w:t>系数报价保留两位小数。</w:t>
            </w:r>
          </w:p>
          <w:p w14:paraId="027C830B">
            <w:pPr>
              <w:keepNext w:val="0"/>
              <w:keepLines w:val="0"/>
              <w:pageBreakBefore w:val="0"/>
              <w:widowControl w:val="0"/>
              <w:bidi w:val="0"/>
              <w:spacing w:line="40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（2）报价范围：系数≤100%，投标人投标系数不在报价范围的，其报价无效，按投标无效处理。</w:t>
            </w:r>
          </w:p>
          <w:p w14:paraId="1D756D5D">
            <w:pPr>
              <w:keepNext w:val="0"/>
              <w:keepLines w:val="0"/>
              <w:pageBreakBefore w:val="0"/>
              <w:widowControl w:val="0"/>
              <w:bidi w:val="0"/>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投标人只能有一个有效系数报价，否则，其投标将被拒绝。</w:t>
            </w:r>
          </w:p>
          <w:p w14:paraId="3A112FAD">
            <w:pPr>
              <w:keepNext w:val="0"/>
              <w:keepLines w:val="0"/>
              <w:pageBreakBefore w:val="0"/>
              <w:widowControl w:val="0"/>
              <w:bidi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投标人所报的系数报价在合同执行过程中固定不变，不得以任何理由予以变更。</w:t>
            </w:r>
          </w:p>
          <w:p w14:paraId="09A1B297">
            <w:pPr>
              <w:keepNext w:val="0"/>
              <w:keepLines w:val="0"/>
              <w:pageBreakBefore w:val="0"/>
              <w:widowControl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投标报价是合同期内用于计算具体项目结算金额的系数，具体项目的结算金额包括了为实施和完成合同工程所需的劳务、材料、机械、质检、安装、缺陷修复、管理、保险、税费、利润等费用，以及合同明示的所有责任、义务和一般风险。</w:t>
            </w:r>
          </w:p>
        </w:tc>
      </w:tr>
    </w:tbl>
    <w:p w14:paraId="3C45E929">
      <w:pPr>
        <w:spacing w:before="50" w:after="50" w:line="360" w:lineRule="auto"/>
        <w:rPr>
          <w:rFonts w:hint="eastAsia" w:ascii="宋体" w:hAnsi="宋体"/>
          <w:color w:val="auto"/>
          <w:sz w:val="24"/>
          <w:highlight w:val="none"/>
          <w:u w:val="single"/>
        </w:rPr>
      </w:pPr>
    </w:p>
    <w:p w14:paraId="2C5577D9">
      <w:pPr>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注： </w:t>
      </w:r>
    </w:p>
    <w:p w14:paraId="1CA1DC71">
      <w:pPr>
        <w:spacing w:line="360" w:lineRule="auto"/>
        <w:ind w:firstLine="480"/>
        <w:jc w:val="left"/>
        <w:rPr>
          <w:rFonts w:hint="eastAsia" w:ascii="宋体" w:hAnsi="宋体"/>
          <w:b/>
          <w:color w:val="auto"/>
          <w:sz w:val="24"/>
          <w:highlight w:val="none"/>
        </w:rPr>
      </w:pPr>
      <w:r>
        <w:rPr>
          <w:rFonts w:hint="eastAsia" w:ascii="宋体" w:hAnsi="宋体"/>
          <w:color w:val="auto"/>
          <w:sz w:val="24"/>
          <w:highlight w:val="none"/>
        </w:rPr>
        <w:t>报价一经涂改，应在涂改处加盖投标人公章</w:t>
      </w:r>
      <w:r>
        <w:rPr>
          <w:rFonts w:hint="eastAsia" w:ascii="宋体" w:hAnsi="宋体" w:cs="仿宋_GB2312"/>
          <w:color w:val="auto"/>
          <w:sz w:val="24"/>
          <w:highlight w:val="none"/>
        </w:rPr>
        <w:t>或者加盖电子签章</w:t>
      </w:r>
      <w:r>
        <w:rPr>
          <w:rFonts w:hint="eastAsia" w:ascii="宋体" w:hAnsi="宋体"/>
          <w:color w:val="auto"/>
          <w:sz w:val="24"/>
          <w:highlight w:val="none"/>
        </w:rPr>
        <w:t>或者由法定代表人或者委托代理人签字（或者电子签名）</w:t>
      </w:r>
      <w:r>
        <w:rPr>
          <w:rFonts w:hint="eastAsia" w:ascii="宋体" w:hAnsi="宋体"/>
          <w:b/>
          <w:color w:val="auto"/>
          <w:sz w:val="24"/>
          <w:highlight w:val="none"/>
        </w:rPr>
        <w:t>，否则其投标作无效标处理。</w:t>
      </w:r>
    </w:p>
    <w:p w14:paraId="13157FDE">
      <w:pPr>
        <w:spacing w:line="360" w:lineRule="auto"/>
        <w:ind w:firstLine="482"/>
        <w:rPr>
          <w:rFonts w:hint="eastAsia" w:ascii="宋体" w:hAnsi="宋体"/>
          <w:b/>
          <w:color w:val="auto"/>
          <w:sz w:val="24"/>
          <w:highlight w:val="none"/>
        </w:rPr>
      </w:pPr>
    </w:p>
    <w:p w14:paraId="2F89F0F0">
      <w:pPr>
        <w:spacing w:line="360" w:lineRule="auto"/>
        <w:ind w:left="-2" w:right="-817"/>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 </w:t>
      </w:r>
    </w:p>
    <w:p w14:paraId="3211CC56">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57BC7A4E">
      <w:pPr>
        <w:spacing w:line="360" w:lineRule="auto"/>
        <w:ind w:left="-3" w:right="-817" w:hanging="28"/>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19049BE6">
      <w:pPr>
        <w:spacing w:before="50" w:after="50" w:line="360" w:lineRule="auto"/>
        <w:ind w:left="-6" w:right="-817" w:hanging="25"/>
        <w:rPr>
          <w:rFonts w:hint="eastAsia" w:ascii="宋体" w:hAnsi="宋体"/>
          <w:color w:val="auto"/>
          <w:szCs w:val="21"/>
          <w:highlight w:val="none"/>
        </w:rPr>
      </w:pPr>
    </w:p>
    <w:p w14:paraId="36D8A7C9">
      <w:pPr>
        <w:pStyle w:val="222"/>
        <w:rPr>
          <w:rFonts w:hint="eastAsia" w:ascii="宋体" w:hAnsi="宋体"/>
          <w:color w:val="auto"/>
          <w:szCs w:val="21"/>
          <w:highlight w:val="none"/>
        </w:rPr>
      </w:pPr>
    </w:p>
    <w:p w14:paraId="392154E4">
      <w:pPr>
        <w:pStyle w:val="222"/>
        <w:rPr>
          <w:rFonts w:hint="eastAsia" w:ascii="宋体" w:hAnsi="宋体"/>
          <w:color w:val="auto"/>
          <w:szCs w:val="21"/>
          <w:highlight w:val="none"/>
        </w:rPr>
      </w:pPr>
    </w:p>
    <w:p w14:paraId="4582FF65">
      <w:pPr>
        <w:spacing w:line="360" w:lineRule="auto"/>
        <w:ind w:left="-6" w:right="-817" w:hanging="25"/>
        <w:rPr>
          <w:rFonts w:hint="eastAsia" w:ascii="宋体" w:hAnsi="宋体"/>
          <w:color w:val="auto"/>
          <w:szCs w:val="21"/>
          <w:highlight w:val="none"/>
        </w:rPr>
      </w:pPr>
    </w:p>
    <w:p w14:paraId="314E2085">
      <w:pPr>
        <w:spacing w:line="360" w:lineRule="auto"/>
        <w:ind w:left="3" w:right="-817" w:hanging="34"/>
        <w:rPr>
          <w:rFonts w:hint="eastAsia"/>
          <w:b/>
          <w:color w:val="auto"/>
          <w:sz w:val="28"/>
          <w:szCs w:val="28"/>
          <w:highlight w:val="none"/>
        </w:rPr>
      </w:pPr>
      <w:r>
        <w:rPr>
          <w:rFonts w:hint="eastAsia"/>
          <w:b/>
          <w:color w:val="auto"/>
          <w:sz w:val="28"/>
          <w:szCs w:val="28"/>
          <w:highlight w:val="none"/>
        </w:rPr>
        <w:t>二、资格证明文件格式</w:t>
      </w:r>
    </w:p>
    <w:p w14:paraId="242FBCAD">
      <w:pPr>
        <w:spacing w:before="12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1.资格证明文件封面格式： </w:t>
      </w:r>
    </w:p>
    <w:p w14:paraId="1952A652">
      <w:pPr>
        <w:spacing w:before="120" w:after="50"/>
        <w:jc w:val="center"/>
        <w:rPr>
          <w:rFonts w:hint="eastAsia" w:ascii="宋体" w:hAnsi="宋体"/>
          <w:bCs/>
          <w:color w:val="auto"/>
          <w:sz w:val="48"/>
          <w:szCs w:val="48"/>
          <w:highlight w:val="none"/>
        </w:rPr>
      </w:pPr>
      <w:r>
        <w:rPr>
          <w:rFonts w:hint="eastAsia" w:ascii="宋体" w:hAnsi="宋体"/>
          <w:bCs/>
          <w:color w:val="auto"/>
          <w:sz w:val="48"/>
          <w:szCs w:val="48"/>
          <w:highlight w:val="none"/>
        </w:rPr>
        <w:t>电子投标文件</w:t>
      </w:r>
    </w:p>
    <w:p w14:paraId="77FCE84A">
      <w:pPr>
        <w:spacing w:before="120" w:after="50"/>
        <w:rPr>
          <w:rFonts w:hint="eastAsia" w:ascii="宋体" w:hAnsi="宋体"/>
          <w:color w:val="auto"/>
          <w:sz w:val="24"/>
          <w:szCs w:val="20"/>
          <w:highlight w:val="none"/>
        </w:rPr>
      </w:pPr>
      <w:r>
        <w:rPr>
          <w:rFonts w:hint="eastAsia" w:ascii="宋体" w:hAnsi="宋体"/>
          <w:color w:val="auto"/>
          <w:sz w:val="24"/>
          <w:highlight w:val="none"/>
        </w:rPr>
        <w:t xml:space="preserve">                 </w:t>
      </w:r>
    </w:p>
    <w:p w14:paraId="32445D38">
      <w:pPr>
        <w:spacing w:before="12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w:t>
      </w:r>
    </w:p>
    <w:p w14:paraId="63F0AFA4">
      <w:pPr>
        <w:spacing w:before="120" w:after="50"/>
        <w:rPr>
          <w:rFonts w:ascii="宋体" w:hAnsi="宋体"/>
          <w:bCs/>
          <w:color w:val="auto"/>
          <w:sz w:val="24"/>
          <w:szCs w:val="20"/>
          <w:highlight w:val="none"/>
        </w:rPr>
      </w:pPr>
    </w:p>
    <w:p w14:paraId="6218A899">
      <w:pPr>
        <w:spacing w:before="120" w:after="50"/>
        <w:rPr>
          <w:rFonts w:ascii="宋体" w:hAnsi="宋体"/>
          <w:bCs/>
          <w:color w:val="auto"/>
          <w:sz w:val="24"/>
          <w:szCs w:val="20"/>
          <w:highlight w:val="none"/>
        </w:rPr>
      </w:pPr>
    </w:p>
    <w:p w14:paraId="68B533C3">
      <w:pPr>
        <w:spacing w:before="120" w:after="50"/>
        <w:rPr>
          <w:rFonts w:ascii="宋体" w:hAnsi="宋体"/>
          <w:bCs/>
          <w:color w:val="auto"/>
          <w:sz w:val="24"/>
          <w:szCs w:val="20"/>
          <w:highlight w:val="none"/>
        </w:rPr>
      </w:pPr>
    </w:p>
    <w:p w14:paraId="3F522129">
      <w:pPr>
        <w:spacing w:before="120" w:after="50"/>
        <w:rPr>
          <w:rFonts w:ascii="宋体" w:hAnsi="宋体"/>
          <w:bCs/>
          <w:color w:val="auto"/>
          <w:sz w:val="24"/>
          <w:szCs w:val="20"/>
          <w:highlight w:val="none"/>
        </w:rPr>
      </w:pPr>
    </w:p>
    <w:p w14:paraId="699C56EC">
      <w:pPr>
        <w:spacing w:before="120" w:after="50"/>
        <w:rPr>
          <w:rFonts w:ascii="宋体" w:hAnsi="宋体"/>
          <w:bCs/>
          <w:color w:val="auto"/>
          <w:sz w:val="24"/>
          <w:szCs w:val="20"/>
          <w:highlight w:val="none"/>
        </w:rPr>
      </w:pPr>
    </w:p>
    <w:p w14:paraId="4593307F">
      <w:pPr>
        <w:spacing w:before="120" w:after="50"/>
        <w:rPr>
          <w:rFonts w:ascii="宋体" w:hAnsi="宋体"/>
          <w:bCs/>
          <w:color w:val="auto"/>
          <w:sz w:val="24"/>
          <w:szCs w:val="20"/>
          <w:highlight w:val="none"/>
        </w:rPr>
      </w:pPr>
    </w:p>
    <w:p w14:paraId="72780459">
      <w:pPr>
        <w:spacing w:before="120" w:after="50"/>
        <w:rPr>
          <w:rFonts w:hint="eastAsia" w:ascii="宋体" w:hAnsi="宋体"/>
          <w:bCs/>
          <w:color w:val="auto"/>
          <w:sz w:val="24"/>
          <w:szCs w:val="20"/>
          <w:highlight w:val="none"/>
        </w:rPr>
      </w:pPr>
    </w:p>
    <w:p w14:paraId="558ECEEC">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项目名称：</w:t>
      </w:r>
    </w:p>
    <w:p w14:paraId="13C17026">
      <w:pPr>
        <w:spacing w:before="120" w:after="50"/>
        <w:ind w:firstLine="540"/>
        <w:rPr>
          <w:rFonts w:hint="eastAsia" w:ascii="宋体" w:hAnsi="宋体"/>
          <w:bCs/>
          <w:color w:val="auto"/>
          <w:sz w:val="24"/>
          <w:szCs w:val="20"/>
          <w:highlight w:val="none"/>
        </w:rPr>
      </w:pPr>
    </w:p>
    <w:p w14:paraId="1F009232">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项目编号：</w:t>
      </w:r>
    </w:p>
    <w:p w14:paraId="6C0057ED">
      <w:pPr>
        <w:spacing w:before="120" w:after="50"/>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2433FBEB">
      <w:pPr>
        <w:pStyle w:val="199"/>
        <w:spacing w:before="50" w:after="50"/>
        <w:ind w:firstLine="540"/>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7D51B9A4">
      <w:pPr>
        <w:pStyle w:val="199"/>
        <w:spacing w:before="50" w:after="50"/>
        <w:ind w:firstLine="540"/>
        <w:rPr>
          <w:rFonts w:hint="eastAsia" w:ascii="宋体" w:hAnsi="宋体"/>
          <w:bCs/>
          <w:color w:val="auto"/>
          <w:sz w:val="24"/>
          <w:szCs w:val="24"/>
          <w:highlight w:val="none"/>
        </w:rPr>
      </w:pPr>
    </w:p>
    <w:p w14:paraId="784D2683">
      <w:pPr>
        <w:spacing w:before="120" w:after="50"/>
        <w:ind w:firstLine="645"/>
        <w:jc w:val="center"/>
        <w:rPr>
          <w:rFonts w:hint="eastAsia" w:ascii="宋体" w:hAnsi="宋体"/>
          <w:color w:val="auto"/>
          <w:sz w:val="24"/>
          <w:highlight w:val="none"/>
        </w:rPr>
      </w:pPr>
    </w:p>
    <w:p w14:paraId="7F6E2E65">
      <w:pPr>
        <w:spacing w:before="12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4F40D099">
      <w:pPr>
        <w:spacing w:before="120" w:after="50"/>
        <w:rPr>
          <w:rFonts w:ascii="宋体" w:hAnsi="宋体"/>
          <w:color w:val="auto"/>
          <w:sz w:val="24"/>
          <w:szCs w:val="20"/>
          <w:highlight w:val="none"/>
        </w:rPr>
      </w:pPr>
      <w:r>
        <w:rPr>
          <w:rFonts w:ascii="宋体" w:hAnsi="宋体"/>
          <w:color w:val="auto"/>
          <w:sz w:val="24"/>
          <w:szCs w:val="20"/>
          <w:highlight w:val="none"/>
        </w:rPr>
        <w:t xml:space="preserve"> </w:t>
      </w:r>
    </w:p>
    <w:p w14:paraId="502BD0DC">
      <w:pPr>
        <w:spacing w:before="120" w:after="50"/>
        <w:rPr>
          <w:rFonts w:hint="eastAsia" w:ascii="宋体" w:hAnsi="宋体"/>
          <w:color w:val="auto"/>
          <w:sz w:val="24"/>
          <w:szCs w:val="20"/>
          <w:highlight w:val="none"/>
        </w:rPr>
      </w:pPr>
    </w:p>
    <w:p w14:paraId="5EAA702A">
      <w:pPr>
        <w:spacing w:before="120" w:after="50" w:line="360" w:lineRule="auto"/>
        <w:jc w:val="left"/>
        <w:rPr>
          <w:rFonts w:hint="eastAsia" w:ascii="宋体" w:hAnsi="宋体"/>
          <w:color w:val="auto"/>
          <w:sz w:val="24"/>
          <w:szCs w:val="20"/>
          <w:highlight w:val="none"/>
        </w:rPr>
      </w:pPr>
      <w:r>
        <w:rPr>
          <w:rFonts w:ascii="宋体" w:hAnsi="宋体"/>
          <w:b/>
          <w:bCs/>
          <w:color w:val="auto"/>
          <w:sz w:val="24"/>
          <w:highlight w:val="none"/>
        </w:rPr>
        <w:br w:type="page" w:clear="all"/>
      </w:r>
      <w:r>
        <w:rPr>
          <w:rFonts w:hint="eastAsia" w:ascii="宋体" w:hAnsi="宋体"/>
          <w:b/>
          <w:bCs/>
          <w:color w:val="auto"/>
          <w:sz w:val="24"/>
          <w:highlight w:val="none"/>
        </w:rPr>
        <w:t>2.资格证明文件目录</w:t>
      </w:r>
    </w:p>
    <w:p w14:paraId="1C5D27E3">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4BE7F370">
      <w:pPr>
        <w:spacing w:before="50" w:after="120"/>
        <w:jc w:val="left"/>
        <w:rPr>
          <w:rFonts w:hint="eastAsia" w:ascii="宋体" w:hAnsi="宋体"/>
          <w:color w:val="auto"/>
          <w:sz w:val="24"/>
          <w:highlight w:val="none"/>
        </w:rPr>
      </w:pPr>
    </w:p>
    <w:p w14:paraId="0C00FB8E">
      <w:pPr>
        <w:spacing w:before="50" w:after="120"/>
        <w:jc w:val="left"/>
        <w:rPr>
          <w:rFonts w:hint="eastAsia" w:ascii="宋体" w:hAnsi="宋体"/>
          <w:color w:val="auto"/>
          <w:sz w:val="24"/>
          <w:highlight w:val="none"/>
        </w:rPr>
      </w:pPr>
    </w:p>
    <w:p w14:paraId="5EC61830">
      <w:pPr>
        <w:spacing w:before="120" w:after="50"/>
        <w:jc w:val="left"/>
        <w:rPr>
          <w:rFonts w:hint="eastAsia" w:ascii="宋体" w:hAnsi="宋体"/>
          <w:b/>
          <w:color w:val="auto"/>
          <w:sz w:val="24"/>
          <w:highlight w:val="none"/>
        </w:rPr>
      </w:pPr>
    </w:p>
    <w:p w14:paraId="30302246">
      <w:pPr>
        <w:spacing w:before="120" w:after="50"/>
        <w:jc w:val="left"/>
        <w:rPr>
          <w:rFonts w:hint="eastAsia" w:ascii="宋体" w:hAnsi="宋体"/>
          <w:b/>
          <w:color w:val="auto"/>
          <w:sz w:val="24"/>
          <w:highlight w:val="none"/>
        </w:rPr>
      </w:pPr>
    </w:p>
    <w:p w14:paraId="09FC5B67">
      <w:pPr>
        <w:spacing w:before="120" w:after="50"/>
        <w:jc w:val="left"/>
        <w:rPr>
          <w:rFonts w:hint="eastAsia" w:ascii="宋体" w:hAnsi="宋体"/>
          <w:b/>
          <w:color w:val="auto"/>
          <w:sz w:val="24"/>
          <w:highlight w:val="none"/>
        </w:rPr>
      </w:pPr>
    </w:p>
    <w:p w14:paraId="7B8C37E2">
      <w:pPr>
        <w:spacing w:before="120" w:after="50"/>
        <w:jc w:val="left"/>
        <w:rPr>
          <w:rFonts w:hint="eastAsia" w:ascii="宋体" w:hAnsi="宋体"/>
          <w:b/>
          <w:color w:val="auto"/>
          <w:sz w:val="24"/>
          <w:highlight w:val="none"/>
        </w:rPr>
      </w:pPr>
    </w:p>
    <w:p w14:paraId="0B4B8F96">
      <w:pPr>
        <w:spacing w:before="120" w:after="50"/>
        <w:jc w:val="left"/>
        <w:rPr>
          <w:rFonts w:hint="eastAsia" w:ascii="宋体" w:hAnsi="宋体"/>
          <w:b/>
          <w:color w:val="auto"/>
          <w:sz w:val="24"/>
          <w:highlight w:val="none"/>
        </w:rPr>
      </w:pPr>
    </w:p>
    <w:p w14:paraId="4DA4785D">
      <w:pPr>
        <w:spacing w:before="120" w:after="50"/>
        <w:jc w:val="left"/>
        <w:rPr>
          <w:rFonts w:hint="eastAsia" w:ascii="宋体" w:hAnsi="宋体"/>
          <w:b/>
          <w:color w:val="auto"/>
          <w:sz w:val="24"/>
          <w:highlight w:val="none"/>
        </w:rPr>
      </w:pPr>
    </w:p>
    <w:p w14:paraId="66E9FD9F">
      <w:pPr>
        <w:spacing w:before="120" w:after="50"/>
        <w:jc w:val="left"/>
        <w:rPr>
          <w:rFonts w:hint="eastAsia" w:ascii="宋体" w:hAnsi="宋体"/>
          <w:b/>
          <w:color w:val="auto"/>
          <w:sz w:val="24"/>
          <w:highlight w:val="none"/>
        </w:rPr>
      </w:pPr>
    </w:p>
    <w:p w14:paraId="40AD3BCE">
      <w:pPr>
        <w:spacing w:before="120" w:after="50"/>
        <w:jc w:val="left"/>
        <w:rPr>
          <w:rFonts w:hint="eastAsia" w:ascii="宋体" w:hAnsi="宋体"/>
          <w:b/>
          <w:color w:val="auto"/>
          <w:sz w:val="24"/>
          <w:highlight w:val="none"/>
        </w:rPr>
      </w:pPr>
    </w:p>
    <w:p w14:paraId="6FA359D7">
      <w:pPr>
        <w:spacing w:before="120" w:after="50"/>
        <w:jc w:val="left"/>
        <w:rPr>
          <w:rFonts w:hint="eastAsia" w:ascii="宋体" w:hAnsi="宋体"/>
          <w:b/>
          <w:color w:val="auto"/>
          <w:sz w:val="24"/>
          <w:highlight w:val="none"/>
        </w:rPr>
      </w:pPr>
    </w:p>
    <w:p w14:paraId="1003F29E">
      <w:pPr>
        <w:spacing w:before="120" w:after="50"/>
        <w:jc w:val="left"/>
        <w:rPr>
          <w:rFonts w:hint="eastAsia" w:ascii="宋体" w:hAnsi="宋体"/>
          <w:b/>
          <w:color w:val="auto"/>
          <w:sz w:val="24"/>
          <w:highlight w:val="none"/>
        </w:rPr>
      </w:pPr>
    </w:p>
    <w:p w14:paraId="588605D9">
      <w:pPr>
        <w:spacing w:before="120" w:after="50"/>
        <w:jc w:val="left"/>
        <w:rPr>
          <w:rFonts w:hint="eastAsia" w:ascii="宋体" w:hAnsi="宋体"/>
          <w:b/>
          <w:color w:val="auto"/>
          <w:sz w:val="24"/>
          <w:highlight w:val="none"/>
        </w:rPr>
      </w:pPr>
    </w:p>
    <w:p w14:paraId="60A28B57">
      <w:pPr>
        <w:spacing w:before="120" w:after="50"/>
        <w:jc w:val="left"/>
        <w:rPr>
          <w:rFonts w:hint="eastAsia" w:ascii="宋体" w:hAnsi="宋体"/>
          <w:b/>
          <w:color w:val="auto"/>
          <w:sz w:val="24"/>
          <w:highlight w:val="none"/>
        </w:rPr>
      </w:pPr>
    </w:p>
    <w:p w14:paraId="7C4FA84A">
      <w:pPr>
        <w:spacing w:before="120" w:after="50"/>
        <w:jc w:val="left"/>
        <w:rPr>
          <w:rFonts w:hint="eastAsia" w:ascii="宋体" w:hAnsi="宋体"/>
          <w:b/>
          <w:color w:val="auto"/>
          <w:sz w:val="24"/>
          <w:highlight w:val="none"/>
        </w:rPr>
      </w:pPr>
    </w:p>
    <w:p w14:paraId="7C08357C">
      <w:pPr>
        <w:spacing w:before="120" w:after="50"/>
        <w:jc w:val="left"/>
        <w:rPr>
          <w:rFonts w:hint="eastAsia" w:ascii="宋体" w:hAnsi="宋体"/>
          <w:b/>
          <w:color w:val="auto"/>
          <w:sz w:val="24"/>
          <w:highlight w:val="none"/>
        </w:rPr>
      </w:pPr>
    </w:p>
    <w:p w14:paraId="61AC3FA0">
      <w:pPr>
        <w:spacing w:before="120" w:after="50"/>
        <w:jc w:val="left"/>
        <w:rPr>
          <w:rFonts w:hint="eastAsia" w:ascii="宋体" w:hAnsi="宋体"/>
          <w:b/>
          <w:color w:val="auto"/>
          <w:sz w:val="24"/>
          <w:highlight w:val="none"/>
        </w:rPr>
      </w:pPr>
    </w:p>
    <w:p w14:paraId="675199D8">
      <w:pPr>
        <w:spacing w:before="120" w:after="50"/>
        <w:jc w:val="left"/>
        <w:rPr>
          <w:rFonts w:hint="eastAsia" w:ascii="宋体" w:hAnsi="宋体"/>
          <w:b/>
          <w:color w:val="auto"/>
          <w:sz w:val="24"/>
          <w:highlight w:val="none"/>
        </w:rPr>
      </w:pPr>
    </w:p>
    <w:p w14:paraId="213C29B1">
      <w:pPr>
        <w:spacing w:before="120" w:after="50"/>
        <w:jc w:val="left"/>
        <w:rPr>
          <w:rFonts w:hint="eastAsia" w:ascii="宋体" w:hAnsi="宋体"/>
          <w:b/>
          <w:color w:val="auto"/>
          <w:sz w:val="24"/>
          <w:highlight w:val="none"/>
        </w:rPr>
      </w:pPr>
    </w:p>
    <w:p w14:paraId="08873DF8">
      <w:pPr>
        <w:spacing w:before="120" w:after="50"/>
        <w:jc w:val="left"/>
        <w:rPr>
          <w:rFonts w:hint="eastAsia" w:ascii="宋体" w:hAnsi="宋体"/>
          <w:b/>
          <w:color w:val="auto"/>
          <w:sz w:val="24"/>
          <w:highlight w:val="none"/>
        </w:rPr>
      </w:pPr>
    </w:p>
    <w:p w14:paraId="16940805">
      <w:pPr>
        <w:spacing w:before="120" w:after="50"/>
        <w:jc w:val="left"/>
        <w:rPr>
          <w:rFonts w:hint="eastAsia" w:ascii="宋体" w:hAnsi="宋体"/>
          <w:b/>
          <w:color w:val="auto"/>
          <w:sz w:val="24"/>
          <w:highlight w:val="none"/>
        </w:rPr>
      </w:pPr>
    </w:p>
    <w:p w14:paraId="38343EEA">
      <w:pPr>
        <w:spacing w:before="120" w:after="50"/>
        <w:jc w:val="left"/>
        <w:rPr>
          <w:rFonts w:hint="eastAsia" w:ascii="宋体" w:hAnsi="宋体"/>
          <w:b/>
          <w:color w:val="auto"/>
          <w:sz w:val="24"/>
          <w:highlight w:val="none"/>
        </w:rPr>
      </w:pPr>
    </w:p>
    <w:p w14:paraId="4BABD5A9">
      <w:pPr>
        <w:spacing w:before="120" w:after="50"/>
        <w:jc w:val="left"/>
        <w:rPr>
          <w:rFonts w:hint="eastAsia" w:ascii="宋体" w:hAnsi="宋体"/>
          <w:b/>
          <w:color w:val="auto"/>
          <w:sz w:val="24"/>
          <w:highlight w:val="none"/>
        </w:rPr>
      </w:pPr>
    </w:p>
    <w:p w14:paraId="13C776DB">
      <w:pPr>
        <w:spacing w:before="120" w:after="50"/>
        <w:jc w:val="left"/>
        <w:rPr>
          <w:rFonts w:hint="eastAsia" w:ascii="宋体" w:hAnsi="宋体"/>
          <w:b/>
          <w:color w:val="auto"/>
          <w:sz w:val="24"/>
          <w:highlight w:val="none"/>
        </w:rPr>
      </w:pPr>
    </w:p>
    <w:p w14:paraId="45344F59">
      <w:pPr>
        <w:spacing w:before="120" w:after="50"/>
        <w:jc w:val="left"/>
        <w:rPr>
          <w:rFonts w:hint="eastAsia" w:ascii="宋体" w:hAnsi="宋体"/>
          <w:b/>
          <w:color w:val="auto"/>
          <w:sz w:val="24"/>
          <w:highlight w:val="none"/>
        </w:rPr>
      </w:pPr>
    </w:p>
    <w:p w14:paraId="3D7C5ADA">
      <w:pPr>
        <w:spacing w:before="120" w:after="50"/>
        <w:jc w:val="left"/>
        <w:rPr>
          <w:rFonts w:hint="eastAsia" w:ascii="宋体" w:hAnsi="宋体"/>
          <w:b/>
          <w:color w:val="auto"/>
          <w:sz w:val="24"/>
          <w:highlight w:val="none"/>
        </w:rPr>
      </w:pPr>
    </w:p>
    <w:p w14:paraId="5CB4B5A5">
      <w:pPr>
        <w:spacing w:before="120" w:after="50"/>
        <w:jc w:val="left"/>
        <w:rPr>
          <w:rFonts w:hint="eastAsia" w:ascii="宋体" w:hAnsi="宋体"/>
          <w:b/>
          <w:color w:val="auto"/>
          <w:sz w:val="24"/>
          <w:highlight w:val="none"/>
        </w:rPr>
      </w:pPr>
    </w:p>
    <w:p w14:paraId="2ADFAF77">
      <w:pPr>
        <w:spacing w:before="120" w:after="50"/>
        <w:jc w:val="left"/>
        <w:rPr>
          <w:rFonts w:hint="eastAsia" w:ascii="宋体" w:hAnsi="宋体"/>
          <w:b/>
          <w:color w:val="auto"/>
          <w:sz w:val="24"/>
          <w:highlight w:val="none"/>
        </w:rPr>
      </w:pPr>
    </w:p>
    <w:p w14:paraId="1A965442">
      <w:pPr>
        <w:spacing w:before="120" w:after="50"/>
        <w:jc w:val="left"/>
        <w:rPr>
          <w:rFonts w:hint="eastAsia" w:ascii="宋体" w:hAnsi="宋体"/>
          <w:b/>
          <w:color w:val="auto"/>
          <w:sz w:val="24"/>
          <w:highlight w:val="none"/>
        </w:rPr>
      </w:pPr>
    </w:p>
    <w:p w14:paraId="50049FC7">
      <w:pPr>
        <w:spacing w:before="120" w:after="50"/>
        <w:jc w:val="left"/>
        <w:rPr>
          <w:rFonts w:hint="eastAsia" w:ascii="宋体" w:hAnsi="宋体"/>
          <w:b/>
          <w:color w:val="auto"/>
          <w:sz w:val="24"/>
          <w:highlight w:val="none"/>
        </w:rPr>
      </w:pPr>
    </w:p>
    <w:p w14:paraId="48B2DCDF">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3.防城港市政府采购供应商信用承诺函（格式）</w:t>
      </w:r>
    </w:p>
    <w:p w14:paraId="77407718">
      <w:pPr>
        <w:spacing w:line="320" w:lineRule="exact"/>
        <w:jc w:val="left"/>
        <w:rPr>
          <w:rFonts w:hint="eastAsia" w:ascii="宋体" w:hAnsi="宋体"/>
          <w:color w:val="auto"/>
          <w:szCs w:val="21"/>
          <w:highlight w:val="none"/>
        </w:rPr>
      </w:pPr>
    </w:p>
    <w:p w14:paraId="324BCA97">
      <w:pPr>
        <w:spacing w:line="360" w:lineRule="auto"/>
        <w:jc w:val="left"/>
        <w:rPr>
          <w:rFonts w:hint="eastAsia" w:ascii="宋体" w:hAnsi="宋体"/>
          <w:color w:val="auto"/>
          <w:sz w:val="24"/>
          <w:highlight w:val="none"/>
        </w:rPr>
      </w:pPr>
      <w:r>
        <w:rPr>
          <w:rFonts w:hint="eastAsia" w:ascii="宋体" w:hAnsi="宋体"/>
          <w:color w:val="auto"/>
          <w:sz w:val="24"/>
          <w:highlight w:val="none"/>
        </w:rPr>
        <w:t>致（采购人或采购代理机构） ：</w:t>
      </w:r>
    </w:p>
    <w:p w14:paraId="2C12EC14">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我方自愿参加</w:t>
      </w:r>
      <w:r>
        <w:rPr>
          <w:rFonts w:hint="eastAsia" w:ascii="宋体" w:hAnsi="宋体"/>
          <w:color w:val="auto"/>
          <w:sz w:val="24"/>
          <w:highlight w:val="none"/>
          <w:u w:val="single"/>
        </w:rPr>
        <w:t xml:space="preserve"> （项目名称） </w:t>
      </w:r>
      <w:r>
        <w:rPr>
          <w:rFonts w:hint="eastAsia" w:ascii="宋体" w:hAnsi="宋体"/>
          <w:color w:val="auto"/>
          <w:sz w:val="24"/>
          <w:highlight w:val="none"/>
        </w:rPr>
        <w:t>项目（</w:t>
      </w:r>
      <w:r>
        <w:rPr>
          <w:rFonts w:hint="eastAsia" w:ascii="宋体" w:hAnsi="宋体"/>
          <w:color w:val="auto"/>
          <w:sz w:val="24"/>
          <w:highlight w:val="none"/>
          <w:u w:val="single"/>
        </w:rPr>
        <w:t xml:space="preserve">项目编号：         </w:t>
      </w:r>
      <w:r>
        <w:rPr>
          <w:rFonts w:hint="eastAsia" w:ascii="宋体" w:hAnsi="宋体"/>
          <w:color w:val="auto"/>
          <w:sz w:val="24"/>
          <w:highlight w:val="none"/>
        </w:rPr>
        <w:t xml:space="preserve">）的政府采购活动，严格遵守《中华人民共和国政府采购法》及相关法律法规，依法诚信经营，无条件遵守本次政府采购活动的各项规定，并郑重承诺： </w:t>
      </w:r>
    </w:p>
    <w:p w14:paraId="53BB94D1">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 xml:space="preserve">1.我方具有符合招标文件资格要求的财务状况报告。 </w:t>
      </w:r>
    </w:p>
    <w:p w14:paraId="280C440B">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 xml:space="preserve">2.我方具有符合招标文件资格要求的依法缴纳税收和社会保障资金的良好记录。 </w:t>
      </w:r>
    </w:p>
    <w:p w14:paraId="705974B3">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 xml:space="preserve">3.我方参加政府采购活动前三年内在经营活动中没有重大违法记录。 </w:t>
      </w:r>
    </w:p>
    <w:p w14:paraId="23BF06CB">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我方对以上承诺内容的真实性负责。如有虚假，将依法承担相应责任。</w:t>
      </w:r>
    </w:p>
    <w:p w14:paraId="6A7823D8">
      <w:pPr>
        <w:spacing w:line="360" w:lineRule="auto"/>
        <w:jc w:val="left"/>
        <w:rPr>
          <w:rFonts w:hint="eastAsia" w:ascii="宋体" w:hAnsi="宋体"/>
          <w:color w:val="auto"/>
          <w:sz w:val="24"/>
          <w:highlight w:val="none"/>
        </w:rPr>
      </w:pPr>
    </w:p>
    <w:p w14:paraId="1D4CCA74">
      <w:pPr>
        <w:spacing w:line="360" w:lineRule="auto"/>
        <w:jc w:val="left"/>
        <w:rPr>
          <w:rFonts w:hint="eastAsia" w:ascii="宋体" w:hAnsi="宋体"/>
          <w:color w:val="auto"/>
          <w:sz w:val="24"/>
          <w:highlight w:val="none"/>
        </w:rPr>
      </w:pPr>
    </w:p>
    <w:p w14:paraId="2183108B">
      <w:pPr>
        <w:spacing w:line="360" w:lineRule="auto"/>
        <w:jc w:val="left"/>
        <w:rPr>
          <w:rFonts w:hint="eastAsia" w:ascii="宋体" w:hAnsi="宋体"/>
          <w:color w:val="auto"/>
          <w:sz w:val="24"/>
          <w:highlight w:val="none"/>
        </w:rPr>
      </w:pPr>
      <w:r>
        <w:rPr>
          <w:rFonts w:hint="eastAsia" w:ascii="宋体" w:hAnsi="宋体"/>
          <w:color w:val="auto"/>
          <w:sz w:val="24"/>
          <w:highlight w:val="none"/>
        </w:rPr>
        <w:t>供应商名称（电子签章）：</w:t>
      </w:r>
    </w:p>
    <w:p w14:paraId="1CF74E73">
      <w:pPr>
        <w:spacing w:line="360" w:lineRule="auto"/>
        <w:jc w:val="left"/>
        <w:rPr>
          <w:rFonts w:hint="eastAsia" w:ascii="宋体" w:hAnsi="宋体"/>
          <w:color w:val="auto"/>
          <w:sz w:val="24"/>
          <w:highlight w:val="none"/>
        </w:rPr>
      </w:pPr>
      <w:r>
        <w:rPr>
          <w:rFonts w:hint="eastAsia" w:ascii="宋体" w:hAnsi="宋体"/>
          <w:color w:val="auto"/>
          <w:sz w:val="24"/>
          <w:highlight w:val="none"/>
        </w:rPr>
        <w:t>统一社会信用代码：</w:t>
      </w:r>
    </w:p>
    <w:p w14:paraId="145E804C">
      <w:pPr>
        <w:spacing w:line="360" w:lineRule="auto"/>
        <w:jc w:val="left"/>
        <w:rPr>
          <w:rFonts w:hint="eastAsia" w:ascii="宋体" w:hAnsi="宋体"/>
          <w:color w:val="auto"/>
          <w:sz w:val="24"/>
          <w:highlight w:val="none"/>
        </w:rPr>
      </w:pPr>
      <w:r>
        <w:rPr>
          <w:rFonts w:hint="eastAsia" w:ascii="宋体" w:hAnsi="宋体"/>
          <w:color w:val="auto"/>
          <w:sz w:val="24"/>
          <w:highlight w:val="none"/>
        </w:rPr>
        <w:t>法定代表人或授权代表(签字或者电子签名)：</w:t>
      </w:r>
    </w:p>
    <w:p w14:paraId="4BEA299F">
      <w:pPr>
        <w:spacing w:line="360" w:lineRule="auto"/>
        <w:jc w:val="left"/>
        <w:rPr>
          <w:rFonts w:hint="eastAsia" w:ascii="宋体" w:hAnsi="宋体"/>
          <w:color w:val="auto"/>
          <w:sz w:val="24"/>
          <w:highlight w:val="none"/>
        </w:rPr>
      </w:pPr>
      <w:r>
        <w:rPr>
          <w:rFonts w:hint="eastAsia" w:ascii="宋体" w:hAnsi="宋体"/>
          <w:color w:val="auto"/>
          <w:sz w:val="24"/>
          <w:highlight w:val="none"/>
        </w:rPr>
        <w:t>日期： 年 月 日</w:t>
      </w:r>
    </w:p>
    <w:p w14:paraId="42E0DF58">
      <w:pPr>
        <w:spacing w:line="360" w:lineRule="auto"/>
        <w:jc w:val="left"/>
        <w:rPr>
          <w:rFonts w:hint="eastAsia" w:ascii="宋体" w:hAnsi="宋体"/>
          <w:color w:val="auto"/>
          <w:sz w:val="24"/>
          <w:highlight w:val="none"/>
        </w:rPr>
      </w:pPr>
    </w:p>
    <w:p w14:paraId="79E89572">
      <w:pPr>
        <w:spacing w:line="360" w:lineRule="auto"/>
        <w:jc w:val="left"/>
        <w:rPr>
          <w:rFonts w:hint="eastAsia" w:ascii="宋体" w:hAnsi="宋体"/>
          <w:b/>
          <w:bCs/>
          <w:color w:val="auto"/>
          <w:sz w:val="24"/>
          <w:highlight w:val="none"/>
        </w:rPr>
      </w:pPr>
      <w:r>
        <w:rPr>
          <w:rFonts w:hint="eastAsia" w:ascii="宋体" w:hAnsi="宋体"/>
          <w:color w:val="auto"/>
          <w:sz w:val="24"/>
          <w:highlight w:val="none"/>
        </w:rPr>
        <w:t>注：1.供应商须在投标文件中按此模板提供承诺函，未提供视为未实质性响应招标文件要求，</w:t>
      </w:r>
      <w:r>
        <w:rPr>
          <w:rFonts w:hint="eastAsia" w:ascii="宋体" w:hAnsi="宋体"/>
          <w:b/>
          <w:bCs/>
          <w:color w:val="auto"/>
          <w:sz w:val="24"/>
          <w:highlight w:val="none"/>
        </w:rPr>
        <w:t>按无效响应处理。</w:t>
      </w:r>
    </w:p>
    <w:p w14:paraId="519B7D49">
      <w:pPr>
        <w:spacing w:line="360" w:lineRule="auto"/>
        <w:jc w:val="left"/>
        <w:rPr>
          <w:rFonts w:hint="eastAsia" w:ascii="宋体" w:hAnsi="宋体"/>
          <w:color w:val="auto"/>
          <w:sz w:val="24"/>
          <w:highlight w:val="none"/>
        </w:rPr>
      </w:pPr>
      <w:r>
        <w:rPr>
          <w:rFonts w:hint="eastAsia" w:ascii="宋体" w:hAnsi="宋体"/>
          <w:color w:val="auto"/>
          <w:sz w:val="24"/>
          <w:highlight w:val="none"/>
        </w:rPr>
        <w:t>2.供应商的法定代表人（其他组织的为负责人）或者授权代表的签名或盖章应真实、有效，如由授权代表签名或盖章的，应提供“法定代表人授权书”。</w:t>
      </w:r>
    </w:p>
    <w:p w14:paraId="3C4C304A">
      <w:pPr>
        <w:spacing w:before="120" w:after="50"/>
        <w:jc w:val="left"/>
        <w:rPr>
          <w:rFonts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4.</w:t>
      </w:r>
      <w:r>
        <w:rPr>
          <w:rFonts w:hint="eastAsia" w:ascii="宋体" w:hAnsi="宋体"/>
          <w:b/>
          <w:color w:val="auto"/>
          <w:sz w:val="28"/>
          <w:szCs w:val="28"/>
          <w:highlight w:val="none"/>
        </w:rPr>
        <w:t>投标人直接控股股东信息表</w:t>
      </w:r>
    </w:p>
    <w:p w14:paraId="39F794AC">
      <w:pPr>
        <w:spacing w:before="50" w:after="120"/>
        <w:jc w:val="center"/>
        <w:rPr>
          <w:rFonts w:hint="eastAsia" w:ascii="宋体" w:hAnsi="宋体"/>
          <w:b/>
          <w:color w:val="auto"/>
          <w:sz w:val="28"/>
          <w:szCs w:val="28"/>
          <w:highlight w:val="none"/>
        </w:rPr>
      </w:pPr>
    </w:p>
    <w:p w14:paraId="74804684">
      <w:pPr>
        <w:spacing w:before="50" w:after="120"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30"/>
        <w:tblW w:w="0" w:type="auto"/>
        <w:jc w:val="center"/>
        <w:shd w:val="clear" w:color="auto" w:fill="FBFBFB"/>
        <w:tblLayout w:type="fixed"/>
        <w:tblCellMar>
          <w:top w:w="120" w:type="dxa"/>
          <w:left w:w="120" w:type="dxa"/>
          <w:bottom w:w="120" w:type="dxa"/>
          <w:right w:w="120" w:type="dxa"/>
        </w:tblCellMar>
      </w:tblPr>
      <w:tblGrid>
        <w:gridCol w:w="828"/>
        <w:gridCol w:w="2269"/>
        <w:gridCol w:w="1239"/>
        <w:gridCol w:w="3722"/>
        <w:gridCol w:w="1418"/>
      </w:tblGrid>
      <w:tr w14:paraId="1DC8CCFA">
        <w:tblPrEx>
          <w:shd w:val="clear" w:color="auto" w:fill="FBFBFB"/>
          <w:tblCellMar>
            <w:top w:w="120" w:type="dxa"/>
            <w:left w:w="120" w:type="dxa"/>
            <w:bottom w:w="120" w:type="dxa"/>
            <w:right w:w="120" w:type="dxa"/>
          </w:tblCellMar>
        </w:tblPrEx>
        <w:trPr>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40AA698">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3C4C994">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8A325DF">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6E66032">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84CD180">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14:paraId="6B2EAC90">
        <w:tblPrEx>
          <w:tblCellMar>
            <w:top w:w="120" w:type="dxa"/>
            <w:left w:w="120" w:type="dxa"/>
            <w:bottom w:w="120" w:type="dxa"/>
            <w:right w:w="12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2BA68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8BB3B8">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3AA1A5">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46AF84E">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0C803A">
            <w:pPr>
              <w:spacing w:line="360" w:lineRule="auto"/>
              <w:jc w:val="center"/>
              <w:rPr>
                <w:rFonts w:ascii="宋体" w:hAnsi="宋体" w:cs="宋体"/>
                <w:color w:val="auto"/>
                <w:sz w:val="24"/>
                <w:highlight w:val="none"/>
              </w:rPr>
            </w:pPr>
          </w:p>
        </w:tc>
      </w:tr>
      <w:tr w14:paraId="7876CAFF">
        <w:tblPrEx>
          <w:tblCellMar>
            <w:top w:w="120" w:type="dxa"/>
            <w:left w:w="120" w:type="dxa"/>
            <w:bottom w:w="120" w:type="dxa"/>
            <w:right w:w="12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03607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AE7B97">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D43EBF">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E9FC13">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A0D3A2">
            <w:pPr>
              <w:spacing w:line="360" w:lineRule="auto"/>
              <w:jc w:val="center"/>
              <w:rPr>
                <w:rFonts w:ascii="宋体" w:hAnsi="宋体" w:cs="宋体"/>
                <w:color w:val="auto"/>
                <w:sz w:val="24"/>
                <w:highlight w:val="none"/>
              </w:rPr>
            </w:pPr>
          </w:p>
        </w:tc>
      </w:tr>
      <w:tr w14:paraId="31686D4D">
        <w:tblPrEx>
          <w:tblCellMar>
            <w:top w:w="120" w:type="dxa"/>
            <w:left w:w="120" w:type="dxa"/>
            <w:bottom w:w="120" w:type="dxa"/>
            <w:right w:w="12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3D5F2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3C4C00">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4163F9">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9191F6">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EB52DD">
            <w:pPr>
              <w:spacing w:line="360" w:lineRule="auto"/>
              <w:jc w:val="center"/>
              <w:rPr>
                <w:rFonts w:ascii="宋体" w:hAnsi="宋体" w:cs="宋体"/>
                <w:color w:val="auto"/>
                <w:sz w:val="24"/>
                <w:highlight w:val="none"/>
              </w:rPr>
            </w:pPr>
          </w:p>
        </w:tc>
      </w:tr>
      <w:tr w14:paraId="15C00829">
        <w:tblPrEx>
          <w:tblCellMar>
            <w:top w:w="120" w:type="dxa"/>
            <w:left w:w="120" w:type="dxa"/>
            <w:bottom w:w="120" w:type="dxa"/>
            <w:right w:w="12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F34BF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8DBAB9">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8DEC38">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5C459E">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C72E94">
            <w:pPr>
              <w:spacing w:line="360" w:lineRule="auto"/>
              <w:jc w:val="center"/>
              <w:rPr>
                <w:rFonts w:ascii="宋体" w:hAnsi="宋体" w:cs="宋体"/>
                <w:color w:val="auto"/>
                <w:sz w:val="24"/>
                <w:highlight w:val="none"/>
              </w:rPr>
            </w:pPr>
          </w:p>
        </w:tc>
      </w:tr>
    </w:tbl>
    <w:p w14:paraId="5A84095B">
      <w:pPr>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54888281">
      <w:pPr>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36B7168">
      <w:pPr>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5DEA2B2A">
      <w:pPr>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
          <w:bCs/>
          <w:color w:val="auto"/>
          <w:sz w:val="24"/>
          <w:highlight w:val="none"/>
        </w:rPr>
        <w:t>直接控股股东名称</w:t>
      </w:r>
      <w:r>
        <w:rPr>
          <w:rFonts w:hint="eastAsia" w:ascii="宋体" w:hAnsi="宋体"/>
          <w:color w:val="auto"/>
          <w:sz w:val="24"/>
          <w:highlight w:val="none"/>
        </w:rPr>
        <w:t>”中填“无”。</w:t>
      </w:r>
    </w:p>
    <w:p w14:paraId="4FE13DDE">
      <w:pPr>
        <w:spacing w:line="360" w:lineRule="auto"/>
        <w:jc w:val="left"/>
        <w:rPr>
          <w:rFonts w:hint="eastAsia" w:ascii="宋体" w:hAnsi="宋体"/>
          <w:color w:val="auto"/>
          <w:sz w:val="24"/>
          <w:highlight w:val="none"/>
        </w:rPr>
      </w:pPr>
    </w:p>
    <w:p w14:paraId="1748C16F">
      <w:pPr>
        <w:spacing w:line="360" w:lineRule="auto"/>
        <w:jc w:val="left"/>
        <w:rPr>
          <w:rFonts w:hint="eastAsia" w:ascii="宋体" w:hAnsi="宋体"/>
          <w:color w:val="auto"/>
          <w:sz w:val="24"/>
          <w:highlight w:val="none"/>
        </w:rPr>
      </w:pPr>
    </w:p>
    <w:p w14:paraId="4318C4EF">
      <w:pPr>
        <w:spacing w:line="360" w:lineRule="auto"/>
        <w:jc w:val="left"/>
        <w:rPr>
          <w:rFonts w:hint="eastAsia" w:ascii="宋体" w:hAnsi="宋体"/>
          <w:color w:val="auto"/>
          <w:sz w:val="24"/>
          <w:highlight w:val="none"/>
        </w:rPr>
      </w:pPr>
    </w:p>
    <w:p w14:paraId="6F7A1DD0">
      <w:pPr>
        <w:spacing w:line="360" w:lineRule="auto"/>
        <w:ind w:left="-2" w:right="-817"/>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412EE892">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665059CD">
      <w:pPr>
        <w:spacing w:line="360" w:lineRule="auto"/>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2CCBA5B9">
      <w:pPr>
        <w:jc w:val="center"/>
        <w:rPr>
          <w:rFonts w:hint="eastAsia" w:ascii="宋体" w:hAnsi="宋体"/>
          <w:b/>
          <w:color w:val="auto"/>
          <w:sz w:val="28"/>
          <w:szCs w:val="28"/>
          <w:highlight w:val="none"/>
        </w:rPr>
      </w:pPr>
    </w:p>
    <w:p w14:paraId="2F82E722">
      <w:pPr>
        <w:spacing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br w:type="page" w:clear="all"/>
      </w:r>
      <w:r>
        <w:rPr>
          <w:rFonts w:hint="eastAsia" w:ascii="宋体" w:hAnsi="宋体"/>
          <w:b/>
          <w:color w:val="auto"/>
          <w:sz w:val="24"/>
          <w:highlight w:val="none"/>
        </w:rPr>
        <w:t>5.</w:t>
      </w:r>
      <w:r>
        <w:rPr>
          <w:color w:val="auto"/>
          <w:highlight w:val="none"/>
        </w:rPr>
        <w:t xml:space="preserve"> </w:t>
      </w:r>
      <w:r>
        <w:rPr>
          <w:rFonts w:hint="eastAsia" w:ascii="宋体" w:hAnsi="宋体"/>
          <w:b/>
          <w:color w:val="auto"/>
          <w:sz w:val="28"/>
          <w:szCs w:val="28"/>
          <w:highlight w:val="none"/>
        </w:rPr>
        <w:t>投标人直接管理关系信息表</w:t>
      </w:r>
    </w:p>
    <w:p w14:paraId="0165EA5D">
      <w:pPr>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30"/>
        <w:tblW w:w="0" w:type="auto"/>
        <w:jc w:val="center"/>
        <w:shd w:val="clear" w:color="auto" w:fill="FBFBFB"/>
        <w:tblLayout w:type="fixed"/>
        <w:tblCellMar>
          <w:top w:w="120" w:type="dxa"/>
          <w:left w:w="120" w:type="dxa"/>
          <w:bottom w:w="120" w:type="dxa"/>
          <w:right w:w="120" w:type="dxa"/>
        </w:tblCellMar>
      </w:tblPr>
      <w:tblGrid>
        <w:gridCol w:w="1005"/>
        <w:gridCol w:w="2659"/>
        <w:gridCol w:w="3924"/>
        <w:gridCol w:w="2064"/>
      </w:tblGrid>
      <w:tr w14:paraId="43770636">
        <w:tblPrEx>
          <w:shd w:val="clear" w:color="auto" w:fill="FBFBFB"/>
          <w:tblCellMar>
            <w:top w:w="120" w:type="dxa"/>
            <w:left w:w="120" w:type="dxa"/>
            <w:bottom w:w="120" w:type="dxa"/>
            <w:right w:w="120" w:type="dxa"/>
          </w:tblCellMar>
        </w:tblPrEx>
        <w:trPr>
          <w:tblHeader/>
          <w:jc w:val="cent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CCE0174">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788004C">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8D255F9">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EF4CC18">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14:paraId="0517FED3">
        <w:tblPrEx>
          <w:tblCellMar>
            <w:top w:w="120" w:type="dxa"/>
            <w:left w:w="120" w:type="dxa"/>
            <w:bottom w:w="120" w:type="dxa"/>
            <w:right w:w="12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D3C98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527BAD8">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7FB3817">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486960D">
            <w:pPr>
              <w:spacing w:line="360" w:lineRule="auto"/>
              <w:jc w:val="center"/>
              <w:rPr>
                <w:rFonts w:ascii="宋体" w:hAnsi="宋体" w:cs="宋体"/>
                <w:color w:val="auto"/>
                <w:sz w:val="24"/>
                <w:highlight w:val="none"/>
              </w:rPr>
            </w:pPr>
          </w:p>
        </w:tc>
      </w:tr>
      <w:tr w14:paraId="55E82C85">
        <w:tblPrEx>
          <w:tblCellMar>
            <w:top w:w="120" w:type="dxa"/>
            <w:left w:w="120" w:type="dxa"/>
            <w:bottom w:w="120" w:type="dxa"/>
            <w:right w:w="12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79E79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D7D910">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2774CA">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88136B">
            <w:pPr>
              <w:spacing w:line="360" w:lineRule="auto"/>
              <w:jc w:val="center"/>
              <w:rPr>
                <w:rFonts w:ascii="宋体" w:hAnsi="宋体" w:cs="宋体"/>
                <w:color w:val="auto"/>
                <w:sz w:val="24"/>
                <w:highlight w:val="none"/>
              </w:rPr>
            </w:pPr>
          </w:p>
        </w:tc>
      </w:tr>
      <w:tr w14:paraId="67C185D1">
        <w:tblPrEx>
          <w:tblCellMar>
            <w:top w:w="120" w:type="dxa"/>
            <w:left w:w="120" w:type="dxa"/>
            <w:bottom w:w="120" w:type="dxa"/>
            <w:right w:w="12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7BD01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EEFCDD">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D81A7D">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8E1A3F">
            <w:pPr>
              <w:spacing w:line="360" w:lineRule="auto"/>
              <w:jc w:val="center"/>
              <w:rPr>
                <w:rFonts w:ascii="宋体" w:hAnsi="宋体" w:cs="宋体"/>
                <w:color w:val="auto"/>
                <w:sz w:val="24"/>
                <w:highlight w:val="none"/>
              </w:rPr>
            </w:pPr>
          </w:p>
        </w:tc>
      </w:tr>
      <w:tr w14:paraId="16977E3B">
        <w:tblPrEx>
          <w:tblCellMar>
            <w:top w:w="120" w:type="dxa"/>
            <w:left w:w="120" w:type="dxa"/>
            <w:bottom w:w="120" w:type="dxa"/>
            <w:right w:w="12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1E89F9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823017E">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19E828">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C45AFC0">
            <w:pPr>
              <w:spacing w:line="360" w:lineRule="auto"/>
              <w:jc w:val="center"/>
              <w:rPr>
                <w:rFonts w:ascii="宋体" w:hAnsi="宋体" w:cs="宋体"/>
                <w:color w:val="auto"/>
                <w:sz w:val="24"/>
                <w:highlight w:val="none"/>
              </w:rPr>
            </w:pPr>
          </w:p>
        </w:tc>
      </w:tr>
    </w:tbl>
    <w:p w14:paraId="592126A5">
      <w:pPr>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36913AA6">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29C2B524">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1436722E">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
          <w:bCs/>
          <w:color w:val="auto"/>
          <w:sz w:val="24"/>
          <w:highlight w:val="none"/>
        </w:rPr>
        <w:t>直接管理关系单位名称</w:t>
      </w:r>
      <w:r>
        <w:rPr>
          <w:rFonts w:hint="eastAsia" w:ascii="宋体" w:hAnsi="宋体"/>
          <w:color w:val="auto"/>
          <w:sz w:val="24"/>
          <w:highlight w:val="none"/>
        </w:rPr>
        <w:t>”中填“无”。</w:t>
      </w:r>
    </w:p>
    <w:p w14:paraId="58702514">
      <w:pPr>
        <w:spacing w:line="360" w:lineRule="auto"/>
        <w:jc w:val="left"/>
        <w:rPr>
          <w:rFonts w:hint="eastAsia" w:ascii="宋体" w:hAnsi="宋体"/>
          <w:color w:val="auto"/>
          <w:sz w:val="24"/>
          <w:highlight w:val="none"/>
        </w:rPr>
      </w:pPr>
    </w:p>
    <w:p w14:paraId="4409F39F">
      <w:pPr>
        <w:spacing w:line="360" w:lineRule="auto"/>
        <w:jc w:val="left"/>
        <w:rPr>
          <w:rFonts w:hint="eastAsia" w:ascii="宋体" w:hAnsi="宋体"/>
          <w:color w:val="auto"/>
          <w:sz w:val="24"/>
          <w:highlight w:val="none"/>
        </w:rPr>
      </w:pPr>
    </w:p>
    <w:p w14:paraId="52921119">
      <w:pPr>
        <w:spacing w:line="360" w:lineRule="auto"/>
        <w:jc w:val="left"/>
        <w:rPr>
          <w:rFonts w:hint="eastAsia" w:ascii="宋体" w:hAnsi="宋体"/>
          <w:color w:val="auto"/>
          <w:sz w:val="24"/>
          <w:highlight w:val="none"/>
        </w:rPr>
      </w:pPr>
    </w:p>
    <w:p w14:paraId="2C49B848">
      <w:pPr>
        <w:spacing w:line="360" w:lineRule="auto"/>
        <w:jc w:val="left"/>
        <w:rPr>
          <w:rFonts w:hint="eastAsia"/>
          <w:color w:val="auto"/>
          <w:sz w:val="24"/>
          <w:highlight w:val="none"/>
        </w:rPr>
      </w:pPr>
    </w:p>
    <w:p w14:paraId="0661201E">
      <w:pPr>
        <w:spacing w:line="360" w:lineRule="auto"/>
        <w:ind w:left="-2" w:right="-817"/>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0E183028">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0CD8A69F">
      <w:pPr>
        <w:spacing w:line="360" w:lineRule="auto"/>
        <w:ind w:right="480" w:firstLine="240"/>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5F7DB866">
      <w:pPr>
        <w:spacing w:before="120" w:after="50"/>
        <w:jc w:val="left"/>
        <w:rPr>
          <w:rFonts w:hint="eastAsia" w:ascii="宋体" w:hAnsi="宋体"/>
          <w:color w:val="auto"/>
          <w:sz w:val="24"/>
          <w:highlight w:val="none"/>
        </w:rPr>
      </w:pPr>
    </w:p>
    <w:p w14:paraId="2C4B5F8C">
      <w:pPr>
        <w:spacing w:before="50" w:after="120"/>
        <w:jc w:val="left"/>
        <w:rPr>
          <w:rFonts w:hint="eastAsia" w:ascii="宋体" w:hAnsi="宋体"/>
          <w:color w:val="auto"/>
          <w:szCs w:val="21"/>
          <w:highlight w:val="none"/>
        </w:rPr>
      </w:pPr>
    </w:p>
    <w:p w14:paraId="22BA9CAA">
      <w:pPr>
        <w:spacing w:before="120" w:after="50"/>
        <w:jc w:val="left"/>
        <w:rPr>
          <w:rFonts w:hint="eastAsia" w:ascii="宋体" w:hAnsi="宋体"/>
          <w:b/>
          <w:color w:val="auto"/>
          <w:sz w:val="24"/>
          <w:szCs w:val="20"/>
          <w:highlight w:val="none"/>
        </w:rPr>
      </w:pPr>
    </w:p>
    <w:p w14:paraId="40EA9EBF">
      <w:pPr>
        <w:spacing w:before="120" w:after="50"/>
        <w:ind w:left="142"/>
        <w:jc w:val="left"/>
        <w:rPr>
          <w:rFonts w:hint="eastAsia" w:ascii="宋体" w:hAnsi="宋体"/>
          <w:b/>
          <w:color w:val="auto"/>
          <w:sz w:val="24"/>
          <w:highlight w:val="none"/>
        </w:rPr>
      </w:pPr>
    </w:p>
    <w:p w14:paraId="25E34827">
      <w:pPr>
        <w:spacing w:before="120" w:after="50"/>
        <w:ind w:left="142"/>
        <w:jc w:val="left"/>
        <w:rPr>
          <w:rFonts w:hint="eastAsia" w:ascii="宋体" w:hAnsi="宋体"/>
          <w:b/>
          <w:color w:val="auto"/>
          <w:sz w:val="24"/>
          <w:highlight w:val="none"/>
        </w:rPr>
      </w:pPr>
    </w:p>
    <w:p w14:paraId="0D7F0FA1">
      <w:pPr>
        <w:spacing w:before="120" w:after="50"/>
        <w:ind w:left="142"/>
        <w:jc w:val="left"/>
        <w:rPr>
          <w:rFonts w:hint="eastAsia" w:ascii="宋体" w:hAnsi="宋体"/>
          <w:b/>
          <w:color w:val="auto"/>
          <w:sz w:val="24"/>
          <w:highlight w:val="none"/>
        </w:rPr>
      </w:pPr>
    </w:p>
    <w:p w14:paraId="135DE7CA">
      <w:pPr>
        <w:spacing w:before="120" w:after="50"/>
        <w:ind w:left="142"/>
        <w:jc w:val="left"/>
        <w:rPr>
          <w:rFonts w:hint="eastAsia" w:ascii="宋体" w:hAnsi="宋体"/>
          <w:b/>
          <w:color w:val="auto"/>
          <w:sz w:val="24"/>
          <w:highlight w:val="none"/>
        </w:rPr>
      </w:pPr>
    </w:p>
    <w:p w14:paraId="55032CDE">
      <w:pPr>
        <w:spacing w:before="120" w:after="50"/>
        <w:ind w:left="142"/>
        <w:jc w:val="left"/>
        <w:rPr>
          <w:rFonts w:hint="eastAsia" w:ascii="宋体" w:hAnsi="宋体"/>
          <w:b/>
          <w:color w:val="auto"/>
          <w:sz w:val="24"/>
          <w:highlight w:val="none"/>
        </w:rPr>
      </w:pPr>
    </w:p>
    <w:p w14:paraId="42AD4CA9">
      <w:pPr>
        <w:spacing w:before="120" w:after="50"/>
        <w:ind w:left="142"/>
        <w:jc w:val="left"/>
        <w:rPr>
          <w:rFonts w:hint="eastAsia" w:ascii="宋体" w:hAnsi="宋体"/>
          <w:b/>
          <w:color w:val="auto"/>
          <w:sz w:val="24"/>
          <w:szCs w:val="20"/>
          <w:highlight w:val="none"/>
        </w:rPr>
      </w:pPr>
      <w:r>
        <w:rPr>
          <w:rFonts w:hint="eastAsia" w:ascii="宋体" w:hAnsi="宋体"/>
          <w:b/>
          <w:color w:val="auto"/>
          <w:sz w:val="24"/>
          <w:highlight w:val="none"/>
        </w:rPr>
        <w:t>6.投标声明</w:t>
      </w:r>
    </w:p>
    <w:p w14:paraId="3F62F51C">
      <w:pPr>
        <w:spacing w:before="50" w:after="120"/>
        <w:jc w:val="left"/>
        <w:rPr>
          <w:rFonts w:hint="eastAsia" w:ascii="宋体" w:hAnsi="宋体"/>
          <w:color w:val="auto"/>
          <w:highlight w:val="none"/>
        </w:rPr>
      </w:pPr>
    </w:p>
    <w:p w14:paraId="56E3AE11">
      <w:pPr>
        <w:spacing w:before="50" w:after="120"/>
        <w:jc w:val="center"/>
        <w:rPr>
          <w:rFonts w:hint="eastAsia" w:ascii="宋体" w:hAnsi="宋体"/>
          <w:b/>
          <w:color w:val="auto"/>
          <w:sz w:val="32"/>
          <w:szCs w:val="32"/>
          <w:highlight w:val="none"/>
        </w:rPr>
      </w:pPr>
      <w:r>
        <w:rPr>
          <w:rFonts w:hint="eastAsia" w:ascii="宋体" w:hAnsi="宋体"/>
          <w:b/>
          <w:color w:val="auto"/>
          <w:sz w:val="32"/>
          <w:szCs w:val="32"/>
          <w:highlight w:val="none"/>
        </w:rPr>
        <w:t>投标声明</w:t>
      </w:r>
    </w:p>
    <w:p w14:paraId="2A6A22CB">
      <w:pPr>
        <w:spacing w:line="400" w:lineRule="exact"/>
        <w:contextualSpacing/>
        <w:jc w:val="left"/>
        <w:rPr>
          <w:rFonts w:hint="eastAsia"/>
          <w:color w:val="auto"/>
          <w:sz w:val="24"/>
          <w:highlight w:val="none"/>
        </w:rPr>
      </w:pPr>
      <w:r>
        <w:rPr>
          <w:rFonts w:hint="eastAsia"/>
          <w:color w:val="auto"/>
          <w:sz w:val="24"/>
          <w:highlight w:val="none"/>
          <w:u w:val="single"/>
        </w:rPr>
        <w:t>（采购人名称）</w:t>
      </w:r>
      <w:r>
        <w:rPr>
          <w:rFonts w:hint="eastAsia"/>
          <w:color w:val="auto"/>
          <w:sz w:val="24"/>
          <w:highlight w:val="none"/>
        </w:rPr>
        <w:t>：</w:t>
      </w:r>
    </w:p>
    <w:p w14:paraId="155EA1F9">
      <w:pPr>
        <w:spacing w:line="400" w:lineRule="exact"/>
        <w:ind w:firstLine="523"/>
        <w:contextualSpacing/>
        <w:jc w:val="left"/>
        <w:rPr>
          <w:rFonts w:hint="eastAsia"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5450ADD4">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4E19EF2">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54BB284F">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2F5F47F9">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（一）具有独立承担民事责任的能力；</w:t>
      </w:r>
    </w:p>
    <w:p w14:paraId="10853729">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（二）具有良好的商业信誉和健全的财务会计制度；</w:t>
      </w:r>
    </w:p>
    <w:p w14:paraId="799D5E1E">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（三）具有履行合同所必需的设备和专业技术能力；</w:t>
      </w:r>
    </w:p>
    <w:p w14:paraId="1D1E37AD">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（四）有依法缴纳税收和社会保障资金的良好记录；</w:t>
      </w:r>
    </w:p>
    <w:p w14:paraId="61C3DAB4">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69CA5B35">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（六）法律、行政法规规定的其他条件。</w:t>
      </w:r>
    </w:p>
    <w:p w14:paraId="6842C2D9">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7FD852FC">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特此承诺。</w:t>
      </w:r>
    </w:p>
    <w:p w14:paraId="550B8DF6">
      <w:pPr>
        <w:spacing w:before="50" w:after="50"/>
        <w:ind w:firstLine="1063"/>
        <w:rPr>
          <w:rFonts w:ascii="宋体" w:hAnsi="宋体"/>
          <w:b/>
          <w:color w:val="auto"/>
          <w:sz w:val="24"/>
          <w:highlight w:val="none"/>
        </w:rPr>
      </w:pPr>
      <w:r>
        <w:rPr>
          <w:rFonts w:hint="eastAsia" w:ascii="宋体" w:hAnsi="宋体"/>
          <w:b/>
          <w:color w:val="auto"/>
          <w:sz w:val="24"/>
          <w:highlight w:val="none"/>
        </w:rPr>
        <w:t xml:space="preserve"> </w:t>
      </w:r>
    </w:p>
    <w:p w14:paraId="2C1F54E6">
      <w:pPr>
        <w:spacing w:before="50" w:after="50"/>
        <w:ind w:firstLine="1058"/>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02311DFA">
      <w:pPr>
        <w:spacing w:line="400" w:lineRule="exact"/>
        <w:contextualSpacing/>
        <w:jc w:val="left"/>
        <w:rPr>
          <w:rFonts w:hint="eastAsia" w:ascii="宋体" w:hAnsi="宋体"/>
          <w:color w:val="auto"/>
          <w:sz w:val="24"/>
          <w:highlight w:val="none"/>
        </w:rPr>
      </w:pPr>
    </w:p>
    <w:p w14:paraId="010C5BFD">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71683847">
      <w:pPr>
        <w:spacing w:line="400" w:lineRule="exact"/>
        <w:contextualSpacing/>
        <w:jc w:val="left"/>
        <w:rPr>
          <w:rFonts w:hint="eastAsia" w:ascii="宋体" w:hAnsi="宋体"/>
          <w:color w:val="auto"/>
          <w:highlight w:val="none"/>
        </w:rPr>
      </w:pPr>
      <w:r>
        <w:rPr>
          <w:rFonts w:hint="eastAsia" w:ascii="宋体" w:hAnsi="宋体"/>
          <w:color w:val="auto"/>
          <w:sz w:val="24"/>
          <w:highlight w:val="none"/>
        </w:rPr>
        <w:t xml:space="preserve">                                                  年    月    日</w:t>
      </w:r>
    </w:p>
    <w:p w14:paraId="2A4A312C">
      <w:pPr>
        <w:spacing w:line="400" w:lineRule="exact"/>
        <w:contextualSpacing/>
        <w:jc w:val="left"/>
        <w:rPr>
          <w:rFonts w:hint="eastAsia" w:ascii="宋体" w:hAnsi="宋体"/>
          <w:b/>
          <w:color w:val="auto"/>
          <w:sz w:val="24"/>
          <w:highlight w:val="none"/>
        </w:rPr>
      </w:pPr>
    </w:p>
    <w:p w14:paraId="50DD5E43">
      <w:pPr>
        <w:spacing w:line="400" w:lineRule="exact"/>
        <w:contextualSpacing/>
        <w:jc w:val="left"/>
        <w:rPr>
          <w:rFonts w:hint="eastAsia" w:ascii="宋体" w:hAnsi="宋体"/>
          <w:b/>
          <w:color w:val="auto"/>
          <w:sz w:val="24"/>
          <w:highlight w:val="none"/>
        </w:rPr>
      </w:pPr>
    </w:p>
    <w:p w14:paraId="1F8A1DFD">
      <w:pPr>
        <w:spacing w:line="400" w:lineRule="exact"/>
        <w:contextualSpacing/>
        <w:jc w:val="left"/>
        <w:rPr>
          <w:rFonts w:hint="eastAsia" w:ascii="宋体" w:hAnsi="宋体"/>
          <w:color w:val="auto"/>
          <w:sz w:val="24"/>
          <w:highlight w:val="none"/>
        </w:rPr>
      </w:pPr>
    </w:p>
    <w:p w14:paraId="4305BD7E">
      <w:pPr>
        <w:spacing w:line="400" w:lineRule="exact"/>
        <w:contextualSpacing/>
        <w:jc w:val="left"/>
        <w:rPr>
          <w:rFonts w:hint="eastAsia" w:ascii="宋体" w:hAnsi="宋体"/>
          <w:color w:val="auto"/>
          <w:sz w:val="24"/>
          <w:highlight w:val="none"/>
        </w:rPr>
      </w:pPr>
    </w:p>
    <w:p w14:paraId="3C8504F6">
      <w:pPr>
        <w:spacing w:line="400" w:lineRule="exact"/>
        <w:contextualSpacing/>
        <w:jc w:val="left"/>
        <w:rPr>
          <w:rFonts w:hint="eastAsia" w:ascii="宋体" w:hAnsi="宋体"/>
          <w:color w:val="auto"/>
          <w:sz w:val="24"/>
          <w:highlight w:val="none"/>
        </w:rPr>
      </w:pPr>
      <w:r>
        <w:rPr>
          <w:rFonts w:ascii="宋体" w:hAnsi="宋体"/>
          <w:color w:val="auto"/>
          <w:sz w:val="24"/>
          <w:highlight w:val="none"/>
        </w:rPr>
        <w:br w:type="page" w:clear="all"/>
      </w:r>
    </w:p>
    <w:p w14:paraId="27CD1B4F">
      <w:pPr>
        <w:rPr>
          <w:rFonts w:hint="eastAsia"/>
          <w:b/>
          <w:color w:val="auto"/>
          <w:sz w:val="28"/>
          <w:szCs w:val="28"/>
          <w:highlight w:val="none"/>
        </w:rPr>
      </w:pPr>
      <w:r>
        <w:rPr>
          <w:rFonts w:hint="eastAsia"/>
          <w:b/>
          <w:color w:val="auto"/>
          <w:sz w:val="28"/>
          <w:szCs w:val="28"/>
          <w:highlight w:val="none"/>
        </w:rPr>
        <w:t>三、商务及技术文件格式</w:t>
      </w:r>
    </w:p>
    <w:p w14:paraId="37D6DF06">
      <w:pPr>
        <w:spacing w:before="12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1.商务及技术文件封面格式： </w:t>
      </w:r>
    </w:p>
    <w:p w14:paraId="755B8745">
      <w:pPr>
        <w:spacing w:before="120" w:after="50"/>
        <w:jc w:val="center"/>
        <w:rPr>
          <w:rFonts w:hint="eastAsia" w:ascii="宋体" w:hAnsi="宋体"/>
          <w:color w:val="auto"/>
          <w:sz w:val="24"/>
          <w:highlight w:val="none"/>
        </w:rPr>
      </w:pPr>
      <w:r>
        <w:rPr>
          <w:rFonts w:hint="eastAsia" w:ascii="宋体" w:hAnsi="宋体"/>
          <w:bCs/>
          <w:color w:val="auto"/>
          <w:sz w:val="48"/>
          <w:szCs w:val="48"/>
          <w:highlight w:val="none"/>
        </w:rPr>
        <w:t>电子投标文件</w:t>
      </w:r>
    </w:p>
    <w:p w14:paraId="1F10F434">
      <w:pPr>
        <w:spacing w:before="120" w:after="50"/>
        <w:rPr>
          <w:rFonts w:hint="eastAsia" w:ascii="宋体" w:hAnsi="宋体"/>
          <w:color w:val="auto"/>
          <w:sz w:val="24"/>
          <w:szCs w:val="20"/>
          <w:highlight w:val="none"/>
        </w:rPr>
      </w:pPr>
      <w:r>
        <w:rPr>
          <w:rFonts w:hint="eastAsia" w:ascii="宋体" w:hAnsi="宋体"/>
          <w:color w:val="auto"/>
          <w:sz w:val="24"/>
          <w:highlight w:val="none"/>
        </w:rPr>
        <w:t xml:space="preserve">                </w:t>
      </w:r>
    </w:p>
    <w:p w14:paraId="5C0EE550">
      <w:pPr>
        <w:spacing w:before="120" w:after="50"/>
        <w:jc w:val="center"/>
        <w:rPr>
          <w:rFonts w:hint="eastAsia" w:ascii="宋体" w:hAnsi="宋体"/>
          <w:b/>
          <w:color w:val="auto"/>
          <w:sz w:val="24"/>
          <w:szCs w:val="20"/>
          <w:highlight w:val="none"/>
        </w:rPr>
      </w:pPr>
      <w:r>
        <w:rPr>
          <w:rFonts w:hint="eastAsia" w:ascii="宋体" w:hAnsi="宋体"/>
          <w:b/>
          <w:color w:val="auto"/>
          <w:sz w:val="32"/>
          <w:szCs w:val="32"/>
          <w:highlight w:val="none"/>
        </w:rPr>
        <w:t>商务及技术文件</w:t>
      </w:r>
    </w:p>
    <w:p w14:paraId="17256E65">
      <w:pPr>
        <w:spacing w:before="120" w:after="50"/>
        <w:rPr>
          <w:rFonts w:hint="eastAsia" w:ascii="宋体" w:hAnsi="宋体"/>
          <w:bCs/>
          <w:color w:val="auto"/>
          <w:sz w:val="24"/>
          <w:szCs w:val="20"/>
          <w:highlight w:val="none"/>
        </w:rPr>
      </w:pPr>
    </w:p>
    <w:p w14:paraId="2E227408">
      <w:pPr>
        <w:spacing w:before="120" w:after="50"/>
        <w:ind w:firstLine="540"/>
        <w:rPr>
          <w:rFonts w:hint="eastAsia" w:ascii="宋体" w:hAnsi="宋体"/>
          <w:bCs/>
          <w:color w:val="auto"/>
          <w:sz w:val="24"/>
          <w:highlight w:val="none"/>
        </w:rPr>
      </w:pPr>
    </w:p>
    <w:p w14:paraId="22C10173">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项目名称：</w:t>
      </w:r>
    </w:p>
    <w:p w14:paraId="0D0FC3D2">
      <w:pPr>
        <w:spacing w:before="120" w:after="50"/>
        <w:ind w:firstLine="540"/>
        <w:rPr>
          <w:rFonts w:hint="eastAsia" w:ascii="宋体" w:hAnsi="宋体"/>
          <w:bCs/>
          <w:color w:val="auto"/>
          <w:sz w:val="24"/>
          <w:szCs w:val="20"/>
          <w:highlight w:val="none"/>
        </w:rPr>
      </w:pPr>
    </w:p>
    <w:p w14:paraId="32405DF9">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项目编号：</w:t>
      </w:r>
    </w:p>
    <w:p w14:paraId="4793498E">
      <w:pPr>
        <w:spacing w:before="120" w:after="50"/>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6044A827">
      <w:pPr>
        <w:pStyle w:val="199"/>
        <w:spacing w:before="50" w:after="50"/>
        <w:ind w:firstLine="540"/>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3F236B94">
      <w:pPr>
        <w:pStyle w:val="199"/>
        <w:spacing w:before="50" w:after="50"/>
        <w:ind w:firstLine="540"/>
        <w:rPr>
          <w:rFonts w:hint="eastAsia" w:ascii="宋体" w:hAnsi="宋体"/>
          <w:bCs/>
          <w:color w:val="auto"/>
          <w:sz w:val="24"/>
          <w:szCs w:val="24"/>
          <w:highlight w:val="none"/>
        </w:rPr>
      </w:pPr>
    </w:p>
    <w:p w14:paraId="359C520C">
      <w:pPr>
        <w:pStyle w:val="199"/>
        <w:spacing w:before="50" w:after="50"/>
        <w:ind w:firstLine="540"/>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6CA6ABC0">
      <w:pPr>
        <w:pStyle w:val="199"/>
        <w:spacing w:before="50" w:after="50"/>
        <w:ind w:firstLine="960"/>
        <w:rPr>
          <w:rFonts w:hint="eastAsia" w:ascii="宋体" w:hAnsi="宋体"/>
          <w:bCs/>
          <w:color w:val="auto"/>
          <w:sz w:val="24"/>
          <w:szCs w:val="24"/>
          <w:highlight w:val="none"/>
        </w:rPr>
      </w:pPr>
    </w:p>
    <w:p w14:paraId="115C18DF">
      <w:pPr>
        <w:spacing w:before="12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53DB6B48">
      <w:pPr>
        <w:spacing w:before="120" w:after="50"/>
        <w:rPr>
          <w:rFonts w:ascii="宋体" w:hAnsi="宋体"/>
          <w:color w:val="auto"/>
          <w:sz w:val="24"/>
          <w:szCs w:val="20"/>
          <w:highlight w:val="none"/>
        </w:rPr>
      </w:pPr>
      <w:r>
        <w:rPr>
          <w:rFonts w:ascii="宋体" w:hAnsi="宋体"/>
          <w:color w:val="auto"/>
          <w:sz w:val="24"/>
          <w:szCs w:val="20"/>
          <w:highlight w:val="none"/>
        </w:rPr>
        <w:t xml:space="preserve"> </w:t>
      </w:r>
    </w:p>
    <w:p w14:paraId="279D38A2">
      <w:pPr>
        <w:spacing w:line="360" w:lineRule="auto"/>
        <w:jc w:val="left"/>
        <w:rPr>
          <w:rFonts w:hint="eastAsia" w:ascii="宋体" w:hAnsi="宋体"/>
          <w:b/>
          <w:bCs/>
          <w:color w:val="auto"/>
          <w:sz w:val="28"/>
          <w:szCs w:val="28"/>
          <w:highlight w:val="none"/>
        </w:rPr>
      </w:pPr>
      <w:r>
        <w:rPr>
          <w:rFonts w:ascii="宋体" w:hAnsi="宋体"/>
          <w:color w:val="auto"/>
          <w:sz w:val="24"/>
          <w:szCs w:val="20"/>
          <w:highlight w:val="none"/>
        </w:rPr>
        <w:br w:type="page" w:clear="all"/>
      </w:r>
      <w:r>
        <w:rPr>
          <w:rFonts w:hint="eastAsia" w:ascii="宋体" w:hAnsi="宋体"/>
          <w:b/>
          <w:bCs/>
          <w:color w:val="auto"/>
          <w:sz w:val="28"/>
          <w:szCs w:val="28"/>
          <w:highlight w:val="none"/>
        </w:rPr>
        <w:t>2.商务及技术文件目录</w:t>
      </w:r>
    </w:p>
    <w:p w14:paraId="2BE43B2C">
      <w:pPr>
        <w:spacing w:before="50" w:after="120" w:line="360" w:lineRule="auto"/>
        <w:jc w:val="left"/>
        <w:rPr>
          <w:rFonts w:ascii="微软雅黑" w:hAnsi="微软雅黑" w:eastAsia="微软雅黑"/>
          <w:b/>
          <w:bCs/>
          <w:color w:val="auto"/>
          <w:sz w:val="24"/>
          <w:highlight w:val="none"/>
        </w:rPr>
      </w:pPr>
      <w:r>
        <w:rPr>
          <w:rFonts w:hint="eastAsia" w:ascii="宋体" w:hAnsi="宋体"/>
          <w:color w:val="auto"/>
          <w:szCs w:val="21"/>
          <w:highlight w:val="none"/>
        </w:rPr>
        <w:t>根据招标文件规定及投标人提供的材料自行编写目录。</w:t>
      </w:r>
    </w:p>
    <w:p w14:paraId="6C208806">
      <w:pPr>
        <w:spacing w:before="50" w:after="120"/>
        <w:jc w:val="left"/>
        <w:rPr>
          <w:rFonts w:hint="eastAsia" w:ascii="宋体" w:hAnsi="宋体"/>
          <w:color w:val="auto"/>
          <w:highlight w:val="none"/>
        </w:rPr>
      </w:pPr>
    </w:p>
    <w:p w14:paraId="3E9DADF5">
      <w:pPr>
        <w:spacing w:before="120" w:after="50"/>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3.投标人参加本项目无围标串标行为的承诺</w:t>
      </w:r>
    </w:p>
    <w:p w14:paraId="6CF49868">
      <w:pPr>
        <w:spacing w:before="120" w:after="50"/>
        <w:jc w:val="left"/>
        <w:rPr>
          <w:rFonts w:hint="eastAsia" w:ascii="宋体" w:hAnsi="宋体"/>
          <w:b/>
          <w:color w:val="auto"/>
          <w:sz w:val="24"/>
          <w:highlight w:val="none"/>
        </w:rPr>
      </w:pPr>
    </w:p>
    <w:p w14:paraId="4E091CB6">
      <w:pPr>
        <w:spacing w:before="120" w:after="50"/>
        <w:ind w:left="420"/>
        <w:jc w:val="center"/>
        <w:rPr>
          <w:rFonts w:hint="eastAsia" w:ascii="宋体" w:hAnsi="宋体"/>
          <w:b/>
          <w:color w:val="auto"/>
          <w:spacing w:val="-17"/>
          <w:sz w:val="32"/>
          <w:szCs w:val="32"/>
          <w:highlight w:val="none"/>
        </w:rPr>
      </w:pPr>
      <w:r>
        <w:rPr>
          <w:rFonts w:hint="eastAsia" w:ascii="宋体" w:hAnsi="宋体" w:cs="宋体"/>
          <w:bCs/>
          <w:color w:val="auto"/>
          <w:spacing w:val="-17"/>
          <w:sz w:val="44"/>
          <w:szCs w:val="44"/>
          <w:highlight w:val="none"/>
        </w:rPr>
        <w:t>投标人参加本项目无围标串标行为的承诺函</w:t>
      </w:r>
    </w:p>
    <w:p w14:paraId="7ABFF55D">
      <w:pPr>
        <w:spacing w:before="120" w:after="50"/>
        <w:rPr>
          <w:rFonts w:ascii="宋体" w:hAnsi="宋体"/>
          <w:b/>
          <w:color w:val="auto"/>
          <w:sz w:val="24"/>
          <w:highlight w:val="none"/>
        </w:rPr>
      </w:pPr>
    </w:p>
    <w:p w14:paraId="59E554A6">
      <w:pPr>
        <w:spacing w:line="400" w:lineRule="exact"/>
        <w:contextualSpacing/>
        <w:jc w:val="left"/>
        <w:rPr>
          <w:rFonts w:hint="eastAsia" w:ascii="宋体" w:hAnsi="宋体"/>
          <w:b/>
          <w:color w:val="auto"/>
          <w:sz w:val="24"/>
          <w:highlight w:val="none"/>
        </w:rPr>
      </w:pPr>
      <w:r>
        <w:rPr>
          <w:rFonts w:hint="eastAsia" w:ascii="宋体" w:hAnsi="宋体"/>
          <w:b/>
          <w:color w:val="auto"/>
          <w:sz w:val="24"/>
          <w:highlight w:val="none"/>
        </w:rPr>
        <w:t>一、我方承诺无下列相互串通投标的情形：</w:t>
      </w:r>
    </w:p>
    <w:p w14:paraId="3D31E602">
      <w:pPr>
        <w:pStyle w:val="218"/>
        <w:rPr>
          <w:rFonts w:hint="eastAsia" w:ascii="宋体" w:hAnsi="宋体"/>
          <w:color w:val="auto"/>
          <w:sz w:val="24"/>
          <w:highlight w:val="none"/>
        </w:rPr>
      </w:pPr>
      <w:r>
        <w:rPr>
          <w:rFonts w:hint="eastAsia" w:ascii="宋体" w:hAnsi="宋体"/>
          <w:color w:val="auto"/>
          <w:sz w:val="24"/>
          <w:highlight w:val="none"/>
        </w:rPr>
        <w:t>1.不同投标人的投标文件由同一单位或者个人编制</w:t>
      </w:r>
      <w:r>
        <w:rPr>
          <w:rFonts w:hint="eastAsia" w:ascii="宋体" w:hAnsi="宋体"/>
          <w:color w:val="auto"/>
          <w:sz w:val="24"/>
          <w:highlight w:val="none"/>
          <w:lang w:eastAsia="zh-CN"/>
        </w:rPr>
        <w:t>，</w:t>
      </w:r>
      <w:r>
        <w:rPr>
          <w:rFonts w:hint="eastAsia" w:ascii="宋体" w:hAnsi="宋体" w:cs="宋体"/>
          <w:color w:val="auto"/>
          <w:szCs w:val="21"/>
          <w:highlight w:val="none"/>
        </w:rPr>
        <w:t>或不同供应商报名的IP地址一致的；</w:t>
      </w:r>
      <w:r>
        <w:rPr>
          <w:rFonts w:hint="eastAsia" w:ascii="宋体" w:hAnsi="宋体"/>
          <w:color w:val="auto"/>
          <w:sz w:val="24"/>
          <w:highlight w:val="none"/>
        </w:rPr>
        <w:t xml:space="preserve"> </w:t>
      </w:r>
    </w:p>
    <w:p w14:paraId="02639D6B">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2.不同投标人委托同一单位或者个人办理投标事宜；</w:t>
      </w:r>
    </w:p>
    <w:p w14:paraId="062573DF">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7215A780">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476D1CBB">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5.不同投标人的投标文件相互混装；</w:t>
      </w:r>
    </w:p>
    <w:p w14:paraId="1D6B6A19">
      <w:pPr>
        <w:spacing w:line="400" w:lineRule="exact"/>
        <w:contextualSpacing/>
        <w:jc w:val="left"/>
        <w:rPr>
          <w:rFonts w:hint="eastAsia" w:ascii="宋体" w:hAnsi="宋体"/>
          <w:color w:val="auto"/>
          <w:sz w:val="24"/>
          <w:highlight w:val="none"/>
        </w:rPr>
      </w:pPr>
      <w:r>
        <w:rPr>
          <w:rFonts w:hint="eastAsia" w:ascii="宋体" w:hAnsi="宋体"/>
          <w:b/>
          <w:color w:val="auto"/>
          <w:sz w:val="24"/>
          <w:highlight w:val="none"/>
        </w:rPr>
        <w:t>二、我方承诺无下列恶意串通的情形：</w:t>
      </w:r>
    </w:p>
    <w:p w14:paraId="7D0DE39E">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w:t>
      </w:r>
      <w:r>
        <w:rPr>
          <w:rFonts w:hint="eastAsia" w:ascii="宋体" w:hAnsi="宋体"/>
          <w:color w:val="auto"/>
          <w:sz w:val="24"/>
          <w:highlight w:val="none"/>
          <w:lang w:eastAsia="zh-CN"/>
        </w:rPr>
        <w:t>投标文件</w:t>
      </w:r>
      <w:r>
        <w:rPr>
          <w:rFonts w:hint="eastAsia" w:ascii="宋体" w:hAnsi="宋体"/>
          <w:color w:val="auto"/>
          <w:sz w:val="24"/>
          <w:highlight w:val="none"/>
        </w:rPr>
        <w:t>；</w:t>
      </w:r>
    </w:p>
    <w:p w14:paraId="1E5CC313">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w:t>
      </w:r>
      <w:r>
        <w:rPr>
          <w:rFonts w:hint="eastAsia" w:ascii="宋体" w:hAnsi="宋体"/>
          <w:color w:val="auto"/>
          <w:sz w:val="24"/>
          <w:highlight w:val="none"/>
          <w:lang w:eastAsia="zh-CN"/>
        </w:rPr>
        <w:t>投标文件</w:t>
      </w:r>
      <w:r>
        <w:rPr>
          <w:rFonts w:hint="eastAsia" w:ascii="宋体" w:hAnsi="宋体"/>
          <w:color w:val="auto"/>
          <w:sz w:val="24"/>
          <w:highlight w:val="none"/>
        </w:rPr>
        <w:t>；</w:t>
      </w:r>
    </w:p>
    <w:p w14:paraId="34CAC468">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3.投标人之间协商报价、技术方案等投标文件或者</w:t>
      </w:r>
      <w:r>
        <w:rPr>
          <w:rFonts w:hint="eastAsia" w:ascii="宋体" w:hAnsi="宋体"/>
          <w:color w:val="auto"/>
          <w:sz w:val="24"/>
          <w:highlight w:val="none"/>
          <w:lang w:eastAsia="zh-CN"/>
        </w:rPr>
        <w:t>投标文件</w:t>
      </w:r>
      <w:r>
        <w:rPr>
          <w:rFonts w:hint="eastAsia" w:ascii="宋体" w:hAnsi="宋体"/>
          <w:color w:val="auto"/>
          <w:sz w:val="24"/>
          <w:highlight w:val="none"/>
        </w:rPr>
        <w:t>的实质性内容；</w:t>
      </w:r>
    </w:p>
    <w:p w14:paraId="4A98D56E">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3B5ACFC1">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46BE31A9">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6C510F34">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731791A8">
      <w:pPr>
        <w:spacing w:line="400" w:lineRule="exact"/>
        <w:ind w:firstLine="472"/>
        <w:contextualSpacing/>
        <w:jc w:val="left"/>
        <w:rPr>
          <w:rFonts w:hint="eastAsia"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272157B7">
      <w:pPr>
        <w:spacing w:line="400" w:lineRule="exact"/>
        <w:ind w:firstLine="472"/>
        <w:contextualSpacing/>
        <w:jc w:val="left"/>
        <w:rPr>
          <w:rFonts w:hint="eastAsia" w:ascii="宋体" w:hAnsi="宋体"/>
          <w:b/>
          <w:color w:val="auto"/>
          <w:sz w:val="24"/>
          <w:highlight w:val="none"/>
        </w:rPr>
      </w:pPr>
    </w:p>
    <w:p w14:paraId="4ABB1ACA">
      <w:pPr>
        <w:pStyle w:val="231"/>
        <w:spacing w:line="440" w:lineRule="exact"/>
        <w:ind w:firstLine="960"/>
        <w:rPr>
          <w:rFonts w:hint="eastAsia" w:hAnsi="宋体"/>
          <w:color w:val="auto"/>
          <w:sz w:val="24"/>
          <w:szCs w:val="24"/>
          <w:highlight w:val="none"/>
        </w:rPr>
      </w:pPr>
      <w:r>
        <w:rPr>
          <w:rFonts w:hint="eastAsia" w:hAnsi="宋体"/>
          <w:color w:val="auto"/>
          <w:sz w:val="24"/>
          <w:highlight w:val="none"/>
        </w:rPr>
        <w:t>法定代表人或者委托代理人</w:t>
      </w:r>
      <w:r>
        <w:rPr>
          <w:rFonts w:hint="eastAsia" w:hAnsi="宋体"/>
          <w:color w:val="auto"/>
          <w:spacing w:val="20"/>
          <w:sz w:val="24"/>
          <w:highlight w:val="none"/>
        </w:rPr>
        <w:t>（签字或者电子签名）：</w:t>
      </w:r>
      <w:r>
        <w:rPr>
          <w:rFonts w:hint="eastAsia" w:hAnsi="宋体"/>
          <w:color w:val="auto"/>
          <w:spacing w:val="20"/>
          <w:sz w:val="24"/>
          <w:highlight w:val="none"/>
          <w:u w:val="single"/>
        </w:rPr>
        <w:t xml:space="preserve">        </w:t>
      </w:r>
    </w:p>
    <w:p w14:paraId="689AB2F1">
      <w:pPr>
        <w:pStyle w:val="231"/>
        <w:spacing w:line="400" w:lineRule="exact"/>
        <w:contextualSpacing/>
        <w:jc w:val="center"/>
        <w:rPr>
          <w:rFonts w:hint="eastAsia"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投标人名称（电子签章）</w:t>
      </w:r>
    </w:p>
    <w:p w14:paraId="09A262DA">
      <w:pPr>
        <w:pStyle w:val="231"/>
        <w:spacing w:line="400" w:lineRule="exact"/>
        <w:contextualSpacing/>
        <w:rPr>
          <w:rFonts w:hint="eastAsia"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01BBF5D1">
      <w:pPr>
        <w:spacing w:before="120" w:after="50"/>
        <w:ind w:firstLine="472"/>
        <w:jc w:val="left"/>
        <w:rPr>
          <w:rFonts w:hint="eastAsia" w:ascii="宋体" w:hAnsi="宋体"/>
          <w:b/>
          <w:color w:val="auto"/>
          <w:sz w:val="24"/>
          <w:szCs w:val="20"/>
          <w:highlight w:val="none"/>
        </w:rPr>
      </w:pPr>
      <w:r>
        <w:rPr>
          <w:rFonts w:ascii="宋体" w:hAnsi="宋体"/>
          <w:b/>
          <w:color w:val="auto"/>
          <w:sz w:val="24"/>
          <w:highlight w:val="none"/>
        </w:rPr>
        <w:br w:type="page" w:clear="all"/>
      </w:r>
      <w:r>
        <w:rPr>
          <w:rFonts w:hint="eastAsia" w:ascii="宋体" w:hAnsi="宋体"/>
          <w:b/>
          <w:color w:val="auto"/>
          <w:sz w:val="24"/>
          <w:highlight w:val="none"/>
        </w:rPr>
        <w:t>4.法定代表人身份证明</w:t>
      </w:r>
    </w:p>
    <w:p w14:paraId="6D19AD96">
      <w:pPr>
        <w:spacing w:before="240" w:after="120"/>
        <w:ind w:left="540"/>
        <w:jc w:val="center"/>
        <w:rPr>
          <w:rFonts w:hint="eastAsia" w:ascii="宋体" w:hAnsi="Courier New"/>
          <w:b/>
          <w:color w:val="auto"/>
          <w:sz w:val="32"/>
          <w:szCs w:val="32"/>
          <w:highlight w:val="none"/>
        </w:rPr>
      </w:pPr>
    </w:p>
    <w:p w14:paraId="2B412937">
      <w:pPr>
        <w:spacing w:before="240" w:after="120"/>
        <w:ind w:left="54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法定代表人身份证明</w:t>
      </w:r>
    </w:p>
    <w:p w14:paraId="095729C7">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3D60517B">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6E5A5622">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7F7C2936">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7AC875A3">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452BC119">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48B95D7C">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627E12F6">
      <w:pPr>
        <w:spacing w:line="500" w:lineRule="exact"/>
        <w:ind w:left="540"/>
        <w:rPr>
          <w:rFonts w:hint="eastAsia" w:ascii="宋体" w:hAnsi="宋体"/>
          <w:color w:val="auto"/>
          <w:sz w:val="24"/>
          <w:highlight w:val="none"/>
        </w:rPr>
      </w:pPr>
    </w:p>
    <w:p w14:paraId="04311EAA">
      <w:pPr>
        <w:spacing w:line="500" w:lineRule="exact"/>
        <w:ind w:left="540"/>
        <w:rPr>
          <w:rFonts w:hint="eastAsia" w:ascii="宋体" w:hAnsi="宋体"/>
          <w:color w:val="auto"/>
          <w:sz w:val="24"/>
          <w:highlight w:val="none"/>
        </w:rPr>
      </w:pPr>
    </w:p>
    <w:p w14:paraId="0CC6EA90">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2ABC7B15">
      <w:pPr>
        <w:spacing w:line="500" w:lineRule="exact"/>
        <w:ind w:left="540"/>
        <w:rPr>
          <w:rFonts w:hint="eastAsia" w:ascii="宋体" w:hAnsi="宋体"/>
          <w:color w:val="auto"/>
          <w:sz w:val="24"/>
          <w:highlight w:val="none"/>
        </w:rPr>
      </w:pPr>
    </w:p>
    <w:p w14:paraId="18B1E181">
      <w:pPr>
        <w:spacing w:line="500" w:lineRule="exact"/>
        <w:ind w:left="540"/>
        <w:jc w:val="right"/>
        <w:rPr>
          <w:rFonts w:hint="eastAsia" w:ascii="宋体" w:hAnsi="宋体"/>
          <w:color w:val="auto"/>
          <w:sz w:val="24"/>
          <w:highlight w:val="none"/>
        </w:rPr>
      </w:pPr>
      <w:r>
        <w:rPr>
          <w:rFonts w:hint="eastAsia" w:ascii="宋体" w:hAnsi="宋体"/>
          <w:color w:val="auto"/>
          <w:sz w:val="24"/>
          <w:highlight w:val="none"/>
        </w:rPr>
        <w:t>投标人名称（电子签章）</w:t>
      </w:r>
    </w:p>
    <w:p w14:paraId="79D6F725">
      <w:pPr>
        <w:spacing w:before="120" w:after="50"/>
        <w:ind w:left="540"/>
        <w:jc w:val="right"/>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D321720">
      <w:pPr>
        <w:spacing w:before="120" w:after="50"/>
        <w:jc w:val="center"/>
        <w:rPr>
          <w:rFonts w:hint="eastAsia" w:ascii="宋体" w:hAnsi="宋体"/>
          <w:b/>
          <w:color w:val="auto"/>
          <w:sz w:val="24"/>
          <w:highlight w:val="none"/>
        </w:rPr>
      </w:pPr>
    </w:p>
    <w:p w14:paraId="3204D09E">
      <w:pPr>
        <w:spacing w:before="120" w:after="50"/>
        <w:jc w:val="left"/>
        <w:rPr>
          <w:rFonts w:hint="eastAsia" w:ascii="宋体" w:hAnsi="宋体"/>
          <w:b/>
          <w:color w:val="auto"/>
          <w:sz w:val="24"/>
          <w:szCs w:val="20"/>
          <w:highlight w:val="none"/>
        </w:rPr>
      </w:pPr>
      <w:r>
        <w:rPr>
          <w:rFonts w:ascii="宋体" w:hAnsi="宋体"/>
          <w:b/>
          <w:color w:val="auto"/>
          <w:sz w:val="24"/>
          <w:highlight w:val="none"/>
        </w:rPr>
        <w:br w:type="page" w:clear="all"/>
      </w:r>
      <w:r>
        <w:rPr>
          <w:rFonts w:hint="eastAsia" w:ascii="宋体" w:hAnsi="宋体"/>
          <w:b/>
          <w:color w:val="auto"/>
          <w:sz w:val="24"/>
          <w:highlight w:val="none"/>
        </w:rPr>
        <w:t>5.授权委托书格式</w:t>
      </w:r>
    </w:p>
    <w:p w14:paraId="2D3E94DD">
      <w:pPr>
        <w:spacing w:before="120" w:after="50"/>
        <w:jc w:val="center"/>
        <w:rPr>
          <w:rFonts w:hint="eastAsia" w:ascii="宋体" w:hAnsi="宋体"/>
          <w:b/>
          <w:color w:val="auto"/>
          <w:sz w:val="44"/>
          <w:szCs w:val="44"/>
          <w:highlight w:val="none"/>
        </w:rPr>
      </w:pPr>
    </w:p>
    <w:p w14:paraId="607F7473">
      <w:pPr>
        <w:spacing w:before="12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授权委托书</w:t>
      </w:r>
    </w:p>
    <w:p w14:paraId="57C9B7D4">
      <w:pPr>
        <w:spacing w:before="120" w:after="50"/>
        <w:jc w:val="center"/>
        <w:rPr>
          <w:rFonts w:hint="eastAsia" w:ascii="宋体" w:hAnsi="宋体"/>
          <w:b/>
          <w:color w:val="auto"/>
          <w:sz w:val="24"/>
          <w:highlight w:val="none"/>
        </w:rPr>
      </w:pPr>
      <w:r>
        <w:rPr>
          <w:rFonts w:hint="eastAsia" w:ascii="宋体" w:hAnsi="宋体"/>
          <w:b/>
          <w:color w:val="auto"/>
          <w:sz w:val="32"/>
          <w:szCs w:val="32"/>
          <w:highlight w:val="none"/>
        </w:rPr>
        <w:t>（如有委托时）</w:t>
      </w:r>
    </w:p>
    <w:p w14:paraId="747A1E3D">
      <w:pPr>
        <w:spacing w:before="120" w:after="50"/>
        <w:jc w:val="center"/>
        <w:rPr>
          <w:rFonts w:hint="eastAsia" w:ascii="宋体" w:hAnsi="宋体"/>
          <w:b/>
          <w:color w:val="auto"/>
          <w:sz w:val="24"/>
          <w:highlight w:val="none"/>
        </w:rPr>
      </w:pPr>
    </w:p>
    <w:p w14:paraId="496165C6">
      <w:pPr>
        <w:spacing w:line="360" w:lineRule="auto"/>
        <w:contextualSpacing/>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3FC50093">
      <w:pPr>
        <w:spacing w:line="360" w:lineRule="auto"/>
        <w:ind w:firstLine="566"/>
        <w:contextualSpacing/>
        <w:rPr>
          <w:rFonts w:hint="eastAsia"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3A3B96B4">
      <w:pPr>
        <w:spacing w:line="360" w:lineRule="auto"/>
        <w:contextualSpacing/>
        <w:rPr>
          <w:rFonts w:hint="eastAsia" w:ascii="宋体" w:hAnsi="宋体"/>
          <w:color w:val="auto"/>
          <w:sz w:val="24"/>
          <w:highlight w:val="none"/>
        </w:rPr>
      </w:pPr>
      <w:r>
        <w:rPr>
          <w:rFonts w:hint="eastAsia" w:ascii="宋体" w:hAnsi="宋体"/>
          <w:color w:val="auto"/>
          <w:sz w:val="24"/>
          <w:highlight w:val="none"/>
        </w:rPr>
        <w:t xml:space="preserve">    我方对委托代理人的签字或者电子签名事项负全部责任。</w:t>
      </w:r>
    </w:p>
    <w:p w14:paraId="41735EA7">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0F326274">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6F1F71D7">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26EC5BC1">
      <w:pPr>
        <w:spacing w:line="360" w:lineRule="auto"/>
        <w:contextualSpacing/>
        <w:rPr>
          <w:rFonts w:hint="eastAsia" w:ascii="宋体" w:hAnsi="宋体"/>
          <w:color w:val="auto"/>
          <w:sz w:val="24"/>
          <w:highlight w:val="none"/>
        </w:rPr>
      </w:pPr>
    </w:p>
    <w:p w14:paraId="035BE19F">
      <w:pPr>
        <w:spacing w:line="440" w:lineRule="exact"/>
        <w:contextualSpacing/>
        <w:rPr>
          <w:rFonts w:hint="eastAsia" w:ascii="宋体" w:hAnsi="宋体"/>
          <w:color w:val="auto"/>
          <w:sz w:val="24"/>
          <w:highlight w:val="none"/>
        </w:rPr>
      </w:pPr>
      <w:r>
        <w:rPr>
          <w:rFonts w:hint="eastAsia" w:ascii="宋体" w:hAnsi="宋体"/>
          <w:color w:val="auto"/>
          <w:sz w:val="24"/>
          <w:highlight w:val="none"/>
        </w:rPr>
        <w:t>委托代理人（签字或者电子签名）：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7664D414">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p>
    <w:p w14:paraId="10775BF4">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法定代表人（签字或者盖章或者电子签名）：</w:t>
      </w:r>
      <w:r>
        <w:rPr>
          <w:rFonts w:hint="eastAsia" w:ascii="宋体" w:hAnsi="宋体"/>
          <w:color w:val="auto"/>
          <w:sz w:val="24"/>
          <w:highlight w:val="none"/>
          <w:u w:val="single"/>
        </w:rPr>
        <w:t xml:space="preserve">              </w:t>
      </w:r>
    </w:p>
    <w:p w14:paraId="2183D218">
      <w:pP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w:t>
      </w:r>
    </w:p>
    <w:p w14:paraId="78878F96">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59816845">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3C8393A5">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7493CB66">
      <w:pPr>
        <w:spacing w:line="440" w:lineRule="exact"/>
        <w:ind w:firstLine="48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w:t>
      </w:r>
    </w:p>
    <w:p w14:paraId="14DF086A">
      <w:pPr>
        <w:spacing w:before="120" w:after="50"/>
        <w:jc w:val="both"/>
        <w:rPr>
          <w:rFonts w:hint="eastAsia" w:ascii="宋体" w:hAnsi="宋体"/>
          <w:color w:val="auto"/>
          <w:sz w:val="24"/>
          <w:highlight w:val="none"/>
        </w:rPr>
      </w:pPr>
    </w:p>
    <w:p w14:paraId="69BC301C">
      <w:pPr>
        <w:spacing w:before="120" w:after="50"/>
        <w:jc w:val="both"/>
        <w:rPr>
          <w:rFonts w:hint="eastAsia" w:ascii="宋体" w:hAnsi="宋体"/>
          <w:color w:val="auto"/>
          <w:sz w:val="24"/>
          <w:highlight w:val="none"/>
        </w:rPr>
      </w:pPr>
    </w:p>
    <w:p w14:paraId="54AE5E36">
      <w:pPr>
        <w:spacing w:before="120" w:after="50"/>
        <w:jc w:val="both"/>
        <w:rPr>
          <w:rFonts w:hint="eastAsia" w:ascii="宋体" w:hAnsi="宋体"/>
          <w:color w:val="auto"/>
          <w:sz w:val="24"/>
          <w:highlight w:val="none"/>
        </w:rPr>
      </w:pPr>
    </w:p>
    <w:p w14:paraId="73D7BE99">
      <w:pPr>
        <w:spacing w:before="120" w:after="50"/>
        <w:jc w:val="both"/>
        <w:rPr>
          <w:rFonts w:hint="eastAsia" w:ascii="宋体" w:hAnsi="宋体"/>
          <w:color w:val="auto"/>
          <w:sz w:val="24"/>
          <w:highlight w:val="none"/>
        </w:rPr>
      </w:pPr>
    </w:p>
    <w:p w14:paraId="2D5BF733">
      <w:pPr>
        <w:spacing w:before="120" w:after="50"/>
        <w:jc w:val="both"/>
        <w:rPr>
          <w:rFonts w:hint="eastAsia" w:ascii="宋体" w:hAnsi="宋体"/>
          <w:color w:val="auto"/>
          <w:sz w:val="24"/>
          <w:highlight w:val="none"/>
        </w:rPr>
      </w:pPr>
    </w:p>
    <w:p w14:paraId="2D6B7691">
      <w:pPr>
        <w:jc w:val="center"/>
        <w:rPr>
          <w:rFonts w:hint="eastAsia" w:ascii="宋体" w:hAnsi="宋体"/>
          <w:b/>
          <w:color w:val="auto"/>
          <w:sz w:val="24"/>
          <w:highlight w:val="none"/>
        </w:rPr>
      </w:pPr>
    </w:p>
    <w:p w14:paraId="4C18FC59">
      <w:pPr>
        <w:jc w:val="both"/>
        <w:rPr>
          <w:rFonts w:hint="eastAsia" w:ascii="宋体" w:hAnsi="宋体"/>
          <w:color w:val="auto"/>
          <w:szCs w:val="21"/>
          <w:highlight w:val="none"/>
        </w:rPr>
      </w:pPr>
      <w:r>
        <w:rPr>
          <w:rFonts w:hint="eastAsia" w:ascii="宋体" w:hAnsi="宋体"/>
          <w:b/>
          <w:color w:val="auto"/>
          <w:sz w:val="24"/>
          <w:highlight w:val="none"/>
          <w:lang w:val="en-US" w:eastAsia="zh-CN"/>
        </w:rPr>
        <w:t>6.</w:t>
      </w:r>
      <w:r>
        <w:rPr>
          <w:rFonts w:hint="eastAsia" w:ascii="宋体" w:hAnsi="宋体"/>
          <w:b/>
          <w:color w:val="auto"/>
          <w:sz w:val="24"/>
          <w:highlight w:val="none"/>
        </w:rPr>
        <w:t>承诺书（格式）；</w:t>
      </w:r>
    </w:p>
    <w:p w14:paraId="3C5C4F76">
      <w:pPr>
        <w:tabs>
          <w:tab w:val="right" w:leader="dot" w:pos="8987"/>
        </w:tabs>
        <w:spacing w:before="120" w:after="120" w:line="520" w:lineRule="exact"/>
        <w:ind w:firstLine="4096"/>
        <w:rPr>
          <w:rFonts w:hint="eastAsia" w:ascii="宋体" w:hAnsi="宋体" w:cs="宋体"/>
          <w:color w:val="auto"/>
          <w:sz w:val="24"/>
          <w:szCs w:val="24"/>
          <w:highlight w:val="none"/>
          <w:u w:val="single"/>
        </w:rPr>
      </w:pPr>
      <w:r>
        <w:rPr>
          <w:rFonts w:hint="eastAsia" w:ascii="宋体" w:hAnsi="宋体"/>
          <w:b/>
          <w:color w:val="auto"/>
          <w:sz w:val="24"/>
          <w:szCs w:val="24"/>
          <w:highlight w:val="none"/>
          <w:lang w:eastAsia="zh-CN"/>
        </w:rPr>
        <w:t>（</w:t>
      </w:r>
      <w:r>
        <w:rPr>
          <w:rFonts w:hint="eastAsia" w:ascii="宋体" w:hAnsi="宋体"/>
          <w:b/>
          <w:color w:val="auto"/>
          <w:sz w:val="24"/>
          <w:szCs w:val="24"/>
          <w:highlight w:val="none"/>
          <w:lang w:val="en-US" w:eastAsia="zh-CN"/>
        </w:rPr>
        <w:t>1</w:t>
      </w:r>
      <w:r>
        <w:rPr>
          <w:rFonts w:hint="eastAsia" w:ascii="宋体" w:hAnsi="宋体"/>
          <w:b/>
          <w:color w:val="auto"/>
          <w:sz w:val="24"/>
          <w:szCs w:val="24"/>
          <w:highlight w:val="none"/>
          <w:lang w:eastAsia="zh-CN"/>
        </w:rPr>
        <w:t>）</w:t>
      </w:r>
      <w:r>
        <w:rPr>
          <w:rFonts w:hint="eastAsia" w:ascii="宋体" w:hAnsi="宋体"/>
          <w:b/>
          <w:color w:val="auto"/>
          <w:sz w:val="24"/>
          <w:szCs w:val="24"/>
          <w:highlight w:val="none"/>
        </w:rPr>
        <w:t>承诺书</w:t>
      </w:r>
    </w:p>
    <w:p w14:paraId="30DAC64D">
      <w:pPr>
        <w:tabs>
          <w:tab w:val="right" w:leader="dot" w:pos="8987"/>
        </w:tabs>
        <w:spacing w:before="120" w:after="120" w:line="520" w:lineRule="exact"/>
        <w:rPr>
          <w:rFonts w:ascii="宋体" w:hAnsi="宋体" w:cs="宋体"/>
          <w:color w:val="auto"/>
          <w:szCs w:val="21"/>
          <w:highlight w:val="none"/>
          <w:u w:val="single"/>
        </w:rPr>
      </w:pPr>
      <w:r>
        <w:rPr>
          <w:rFonts w:hint="eastAsia" w:ascii="宋体" w:hAnsi="宋体" w:cs="宋体"/>
          <w:color w:val="auto"/>
          <w:szCs w:val="21"/>
          <w:highlight w:val="none"/>
          <w:u w:val="single"/>
          <w:lang w:eastAsia="zh-CN"/>
        </w:rPr>
        <w:t>防城港市住房和城乡建设局</w:t>
      </w:r>
      <w:r>
        <w:rPr>
          <w:rFonts w:hint="eastAsia" w:ascii="宋体" w:hAnsi="宋体" w:cs="宋体"/>
          <w:color w:val="auto"/>
          <w:szCs w:val="21"/>
          <w:highlight w:val="none"/>
          <w:u w:val="single"/>
        </w:rPr>
        <w:t>：</w:t>
      </w:r>
    </w:p>
    <w:p w14:paraId="6EF3FD87">
      <w:pPr>
        <w:spacing w:line="520" w:lineRule="exact"/>
        <w:ind w:firstLine="422"/>
        <w:jc w:val="left"/>
        <w:rPr>
          <w:rFonts w:ascii="宋体" w:hAnsi="宋体" w:cs="宋体"/>
          <w:bCs/>
          <w:color w:val="auto"/>
          <w:szCs w:val="21"/>
          <w:highlight w:val="none"/>
        </w:rPr>
      </w:pPr>
      <w:r>
        <w:rPr>
          <w:rFonts w:hint="eastAsia" w:ascii="宋体" w:hAnsi="宋体" w:cs="宋体"/>
          <w:bCs/>
          <w:color w:val="auto"/>
          <w:szCs w:val="21"/>
          <w:highlight w:val="none"/>
        </w:rPr>
        <w:t>一、我方在此向贵方承诺：</w:t>
      </w:r>
    </w:p>
    <w:p w14:paraId="2D48C285">
      <w:pPr>
        <w:spacing w:line="520" w:lineRule="exact"/>
        <w:ind w:left="-10" w:firstLine="455"/>
        <w:jc w:val="left"/>
        <w:rPr>
          <w:rFonts w:ascii="宋体" w:hAnsi="宋体" w:cs="宋体"/>
          <w:bCs/>
          <w:color w:val="auto"/>
          <w:szCs w:val="21"/>
          <w:highlight w:val="none"/>
        </w:rPr>
      </w:pPr>
      <w:r>
        <w:rPr>
          <w:rFonts w:hint="eastAsia" w:ascii="宋体" w:hAnsi="宋体" w:cs="宋体"/>
          <w:bCs/>
          <w:color w:val="auto"/>
          <w:szCs w:val="21"/>
          <w:highlight w:val="none"/>
        </w:rPr>
        <w:t>1、我方参与投标的</w:t>
      </w:r>
      <w:r>
        <w:rPr>
          <w:rFonts w:hint="eastAsia" w:ascii="宋体" w:hAnsi="宋体" w:cs="宋体"/>
          <w:bCs/>
          <w:color w:val="auto"/>
          <w:szCs w:val="21"/>
          <w:highlight w:val="none"/>
          <w:u w:val="single"/>
        </w:rPr>
        <w:t xml:space="preserve">    （项目名称）   </w:t>
      </w:r>
      <w:r>
        <w:rPr>
          <w:rFonts w:hint="eastAsia" w:ascii="宋体" w:hAnsi="宋体" w:cs="宋体"/>
          <w:bCs/>
          <w:color w:val="auto"/>
          <w:szCs w:val="21"/>
          <w:highlight w:val="none"/>
        </w:rPr>
        <w:t>，一旦中标，我方保证在施工过程中，严格按施工期间《防城港市建筑工程安全防护、文明施工措施费计取及使用管理暂行办法》的有关规定执行，确保建设工程各项安全防护、文明施工措施落实到位。</w:t>
      </w:r>
    </w:p>
    <w:p w14:paraId="1FE35440">
      <w:pPr>
        <w:spacing w:line="520" w:lineRule="exact"/>
        <w:ind w:left="-10" w:firstLine="455"/>
        <w:jc w:val="left"/>
        <w:rPr>
          <w:rFonts w:ascii="宋体" w:hAnsi="宋体" w:cs="宋体"/>
          <w:bCs/>
          <w:color w:val="auto"/>
          <w:szCs w:val="21"/>
          <w:highlight w:val="none"/>
        </w:rPr>
      </w:pPr>
      <w:r>
        <w:rPr>
          <w:rFonts w:hint="eastAsia" w:ascii="宋体" w:hAnsi="宋体" w:cs="宋体"/>
          <w:bCs/>
          <w:color w:val="auto"/>
          <w:szCs w:val="21"/>
          <w:highlight w:val="none"/>
        </w:rPr>
        <w:t>2、如我方在实施定点采购制度中承包的工程项目中若出现未按《防城港市建筑工程安全防护、文明施工措施费计取及使用管理暂行办法》规定执行的情形，我方愿意按照相关规定接受建设单位及有关主管部门的处罚。</w:t>
      </w:r>
    </w:p>
    <w:p w14:paraId="11F36AAF">
      <w:pPr>
        <w:spacing w:line="520" w:lineRule="exact"/>
        <w:ind w:left="-10" w:firstLine="455"/>
        <w:jc w:val="left"/>
        <w:rPr>
          <w:rFonts w:ascii="宋体" w:hAnsi="宋体" w:cs="宋体"/>
          <w:bCs/>
          <w:color w:val="auto"/>
          <w:szCs w:val="21"/>
          <w:highlight w:val="none"/>
        </w:rPr>
      </w:pPr>
      <w:r>
        <w:rPr>
          <w:rFonts w:hint="eastAsia" w:ascii="宋体" w:hAnsi="宋体" w:cs="宋体"/>
          <w:bCs/>
          <w:color w:val="auto"/>
          <w:szCs w:val="21"/>
          <w:highlight w:val="none"/>
        </w:rPr>
        <w:t>3、如我方中标，我方在未经得政府采购监督管理部门同意，不得变更投标时承诺投入的人员。如我方擅自变更人员的，我方完全接受政府采购监督管理部门给予的处罚。</w:t>
      </w:r>
    </w:p>
    <w:p w14:paraId="69945026">
      <w:pPr>
        <w:spacing w:line="520" w:lineRule="exact"/>
        <w:ind w:firstLine="422"/>
        <w:jc w:val="left"/>
        <w:rPr>
          <w:rFonts w:ascii="宋体" w:hAnsi="宋体" w:cs="宋体"/>
          <w:bCs/>
          <w:color w:val="auto"/>
          <w:szCs w:val="21"/>
          <w:highlight w:val="none"/>
        </w:rPr>
      </w:pPr>
      <w:r>
        <w:rPr>
          <w:rFonts w:hint="eastAsia" w:ascii="宋体" w:hAnsi="宋体" w:cs="宋体"/>
          <w:bCs/>
          <w:color w:val="auto"/>
          <w:szCs w:val="21"/>
          <w:highlight w:val="none"/>
        </w:rPr>
        <w:t>二、我公司在此向贵方承诺：</w:t>
      </w:r>
    </w:p>
    <w:p w14:paraId="7D14137E">
      <w:pPr>
        <w:spacing w:line="520" w:lineRule="exact"/>
        <w:ind w:left="-10" w:firstLine="455"/>
        <w:jc w:val="left"/>
        <w:rPr>
          <w:rFonts w:ascii="宋体" w:hAnsi="宋体" w:cs="宋体"/>
          <w:bCs/>
          <w:color w:val="auto"/>
          <w:szCs w:val="21"/>
          <w:highlight w:val="none"/>
        </w:rPr>
      </w:pPr>
      <w:r>
        <w:rPr>
          <w:rFonts w:hint="eastAsia" w:ascii="宋体" w:hAnsi="宋体" w:cs="宋体"/>
          <w:bCs/>
          <w:color w:val="auto"/>
          <w:szCs w:val="21"/>
          <w:highlight w:val="none"/>
        </w:rPr>
        <w:t>我公司参与投标的</w:t>
      </w:r>
      <w:r>
        <w:rPr>
          <w:rFonts w:hint="eastAsia" w:ascii="宋体" w:hAnsi="宋体" w:cs="宋体"/>
          <w:bCs/>
          <w:color w:val="auto"/>
          <w:szCs w:val="21"/>
          <w:highlight w:val="none"/>
          <w:u w:val="single"/>
        </w:rPr>
        <w:t xml:space="preserve">    （项目名称）   </w:t>
      </w:r>
      <w:r>
        <w:rPr>
          <w:rFonts w:hint="eastAsia" w:ascii="宋体" w:hAnsi="宋体" w:cs="宋体"/>
          <w:bCs/>
          <w:color w:val="auto"/>
          <w:szCs w:val="21"/>
          <w:highlight w:val="none"/>
        </w:rPr>
        <w:t>，一旦中标，我公司保证在施工过程中，严格按我公司提出的质量、安全施工保证措施方案施工，确保建设工程的完成。</w:t>
      </w:r>
    </w:p>
    <w:p w14:paraId="4810F258">
      <w:pPr>
        <w:spacing w:line="520" w:lineRule="exact"/>
        <w:ind w:firstLine="422"/>
        <w:jc w:val="left"/>
        <w:rPr>
          <w:rFonts w:ascii="宋体" w:hAnsi="宋体" w:cs="宋体"/>
          <w:bCs/>
          <w:color w:val="auto"/>
          <w:szCs w:val="21"/>
          <w:highlight w:val="none"/>
        </w:rPr>
      </w:pPr>
      <w:r>
        <w:rPr>
          <w:rFonts w:hint="eastAsia" w:ascii="宋体" w:hAnsi="宋体" w:cs="宋体"/>
          <w:bCs/>
          <w:color w:val="auto"/>
          <w:szCs w:val="21"/>
          <w:highlight w:val="none"/>
        </w:rPr>
        <w:t>三、我公司在此承诺：</w:t>
      </w:r>
    </w:p>
    <w:p w14:paraId="09249E50">
      <w:pPr>
        <w:spacing w:line="520" w:lineRule="exact"/>
        <w:ind w:firstLine="422"/>
        <w:jc w:val="left"/>
        <w:rPr>
          <w:rFonts w:ascii="宋体" w:hAnsi="宋体" w:cs="宋体"/>
          <w:bCs/>
          <w:color w:val="auto"/>
          <w:szCs w:val="21"/>
          <w:highlight w:val="none"/>
        </w:rPr>
      </w:pPr>
      <w:r>
        <w:rPr>
          <w:rFonts w:hint="eastAsia" w:ascii="宋体" w:hAnsi="宋体" w:cs="宋体"/>
          <w:bCs/>
          <w:color w:val="auto"/>
          <w:szCs w:val="21"/>
          <w:highlight w:val="none"/>
        </w:rPr>
        <w:t>我公司参与投标的</w:t>
      </w:r>
      <w:r>
        <w:rPr>
          <w:rFonts w:hint="eastAsia" w:ascii="宋体" w:hAnsi="宋体" w:cs="宋体"/>
          <w:bCs/>
          <w:color w:val="auto"/>
          <w:szCs w:val="21"/>
          <w:highlight w:val="none"/>
          <w:u w:val="single"/>
        </w:rPr>
        <w:t xml:space="preserve">    （项目名称）   </w:t>
      </w:r>
      <w:r>
        <w:rPr>
          <w:rFonts w:hint="eastAsia" w:ascii="宋体" w:hAnsi="宋体" w:cs="宋体"/>
          <w:bCs/>
          <w:color w:val="auto"/>
          <w:szCs w:val="21"/>
          <w:highlight w:val="none"/>
        </w:rPr>
        <w:t>，我公司在此承诺：在项目签约及施工中严格遵守招标投标文件的相关要求承诺及责任。</w:t>
      </w:r>
    </w:p>
    <w:p w14:paraId="2F199FC4">
      <w:pPr>
        <w:rPr>
          <w:rFonts w:ascii="宋体" w:hAnsi="宋体" w:cs="宋体"/>
          <w:color w:val="auto"/>
          <w:szCs w:val="20"/>
          <w:highlight w:val="none"/>
        </w:rPr>
      </w:pPr>
    </w:p>
    <w:p w14:paraId="058EBD64">
      <w:pPr>
        <w:rPr>
          <w:rFonts w:ascii="宋体" w:hAnsi="宋体" w:cs="宋体"/>
          <w:color w:val="auto"/>
          <w:szCs w:val="20"/>
          <w:highlight w:val="none"/>
        </w:rPr>
      </w:pPr>
    </w:p>
    <w:p w14:paraId="3A1E8789">
      <w:pPr>
        <w:spacing w:before="50" w:after="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5A5FC745">
      <w:pPr>
        <w:spacing w:before="120"/>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31BC4D9D">
      <w:pPr>
        <w:spacing w:before="120"/>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732CBA69">
      <w:pPr>
        <w:ind w:firstLine="315"/>
        <w:jc w:val="center"/>
        <w:rPr>
          <w:rFonts w:hint="eastAsia" w:ascii="宋体" w:hAnsi="宋体" w:cs="宋体"/>
          <w:b/>
          <w:color w:val="auto"/>
          <w:sz w:val="28"/>
          <w:szCs w:val="20"/>
          <w:highlight w:val="none"/>
        </w:rPr>
      </w:pPr>
    </w:p>
    <w:p w14:paraId="560119D3">
      <w:pPr>
        <w:ind w:firstLine="315"/>
        <w:jc w:val="center"/>
        <w:rPr>
          <w:rFonts w:hint="eastAsia" w:ascii="宋体" w:hAnsi="宋体" w:cs="宋体"/>
          <w:b/>
          <w:color w:val="auto"/>
          <w:sz w:val="28"/>
          <w:szCs w:val="20"/>
          <w:highlight w:val="none"/>
        </w:rPr>
      </w:pPr>
    </w:p>
    <w:p w14:paraId="530A7585">
      <w:pPr>
        <w:ind w:firstLine="315"/>
        <w:jc w:val="center"/>
        <w:rPr>
          <w:rFonts w:ascii="宋体" w:hAnsi="宋体" w:cs="宋体"/>
          <w:b/>
          <w:color w:val="auto"/>
          <w:sz w:val="28"/>
          <w:szCs w:val="20"/>
          <w:highlight w:val="none"/>
        </w:rPr>
      </w:pPr>
    </w:p>
    <w:p w14:paraId="50989E98">
      <w:pPr>
        <w:jc w:val="center"/>
        <w:rPr>
          <w:rFonts w:hint="eastAsia" w:ascii="宋体" w:hAnsi="宋体"/>
          <w:b/>
          <w:color w:val="auto"/>
          <w:sz w:val="24"/>
          <w:highlight w:val="none"/>
        </w:rPr>
      </w:pPr>
    </w:p>
    <w:p w14:paraId="661519B1">
      <w:pPr>
        <w:ind w:firstLine="482"/>
        <w:jc w:val="center"/>
        <w:rPr>
          <w:rFonts w:hint="eastAsia" w:ascii="宋体" w:hAnsi="宋体"/>
          <w:b/>
          <w:color w:val="auto"/>
          <w:sz w:val="24"/>
          <w:highlight w:val="none"/>
        </w:rPr>
      </w:pPr>
    </w:p>
    <w:p w14:paraId="439BC2CF">
      <w:pPr>
        <w:ind w:firstLine="482"/>
        <w:jc w:val="center"/>
        <w:rPr>
          <w:rFonts w:hint="eastAsia" w:ascii="宋体" w:hAnsi="宋体"/>
          <w:b/>
          <w:color w:val="auto"/>
          <w:sz w:val="24"/>
          <w:highlight w:val="none"/>
        </w:rPr>
      </w:pPr>
    </w:p>
    <w:p w14:paraId="0790D552">
      <w:pPr>
        <w:jc w:val="both"/>
        <w:rPr>
          <w:rFonts w:hint="eastAsia" w:ascii="宋体" w:hAnsi="宋体"/>
          <w:b/>
          <w:color w:val="auto"/>
          <w:sz w:val="24"/>
          <w:highlight w:val="none"/>
        </w:rPr>
      </w:pPr>
    </w:p>
    <w:p w14:paraId="14CD61F7">
      <w:pPr>
        <w:ind w:firstLine="482"/>
        <w:jc w:val="center"/>
        <w:rPr>
          <w:rFonts w:ascii="宋体" w:hAnsi="宋体"/>
          <w:b/>
          <w:color w:val="auto"/>
          <w:sz w:val="24"/>
          <w:highlight w:val="none"/>
        </w:rPr>
      </w:pPr>
    </w:p>
    <w:p w14:paraId="6A3CF20C">
      <w:pPr>
        <w:pStyle w:val="382"/>
        <w:jc w:val="center"/>
        <w:rPr>
          <w:rFonts w:ascii="Times New Roman" w:hAnsi="Times New Roman"/>
          <w:b/>
          <w:bCs/>
          <w:color w:val="auto"/>
          <w:sz w:val="28"/>
          <w:szCs w:val="28"/>
          <w:highlight w:val="none"/>
        </w:rPr>
      </w:pPr>
      <w:r>
        <w:rPr>
          <w:rFonts w:hint="eastAsia" w:ascii="宋体" w:hAnsi="宋体"/>
          <w:b/>
          <w:color w:val="auto"/>
          <w:sz w:val="24"/>
          <w:szCs w:val="24"/>
          <w:highlight w:val="none"/>
          <w:lang w:eastAsia="zh-CN"/>
        </w:rPr>
        <w:t>（</w:t>
      </w:r>
      <w:r>
        <w:rPr>
          <w:rFonts w:hint="eastAsia" w:ascii="宋体" w:hAnsi="宋体"/>
          <w:b/>
          <w:color w:val="auto"/>
          <w:sz w:val="24"/>
          <w:szCs w:val="24"/>
          <w:highlight w:val="none"/>
          <w:lang w:val="en-US" w:eastAsia="zh-CN"/>
        </w:rPr>
        <w:t>2</w:t>
      </w:r>
      <w:r>
        <w:rPr>
          <w:rFonts w:hint="eastAsia" w:ascii="宋体" w:hAnsi="宋体"/>
          <w:b/>
          <w:color w:val="auto"/>
          <w:sz w:val="24"/>
          <w:szCs w:val="24"/>
          <w:highlight w:val="none"/>
          <w:lang w:eastAsia="zh-CN"/>
        </w:rPr>
        <w:t>）</w:t>
      </w:r>
      <w:r>
        <w:rPr>
          <w:rFonts w:hint="eastAsia" w:cs="宋体"/>
          <w:b/>
          <w:bCs/>
          <w:color w:val="auto"/>
          <w:sz w:val="28"/>
          <w:szCs w:val="28"/>
          <w:highlight w:val="none"/>
        </w:rPr>
        <w:t xml:space="preserve"> </w:t>
      </w:r>
      <w:r>
        <w:rPr>
          <w:rFonts w:hint="eastAsia" w:ascii="Times New Roman" w:hAnsi="Times New Roman" w:cs="宋体"/>
          <w:b/>
          <w:bCs/>
          <w:color w:val="auto"/>
          <w:sz w:val="28"/>
          <w:szCs w:val="28"/>
          <w:highlight w:val="none"/>
        </w:rPr>
        <w:t>建设工程项目管理承诺书</w:t>
      </w:r>
    </w:p>
    <w:p w14:paraId="3F79F113">
      <w:pPr>
        <w:pStyle w:val="382"/>
        <w:spacing w:line="480" w:lineRule="auto"/>
        <w:jc w:val="left"/>
        <w:rPr>
          <w:rFonts w:ascii="Times New Roman" w:hAnsi="Times New Roman"/>
          <w:color w:val="auto"/>
          <w:szCs w:val="21"/>
          <w:highlight w:val="none"/>
        </w:rPr>
      </w:pPr>
    </w:p>
    <w:p w14:paraId="7472FA15">
      <w:pPr>
        <w:pStyle w:val="382"/>
        <w:spacing w:line="480" w:lineRule="auto"/>
        <w:jc w:val="left"/>
        <w:rPr>
          <w:rFonts w:ascii="Times New Roman" w:hAnsi="Times New Roman"/>
          <w:color w:val="auto"/>
          <w:szCs w:val="21"/>
          <w:highlight w:val="none"/>
        </w:rPr>
      </w:pPr>
      <w:r>
        <w:rPr>
          <w:rFonts w:hint="eastAsia" w:ascii="Times New Roman" w:hAnsi="Times New Roman" w:cs="宋体"/>
          <w:color w:val="auto"/>
          <w:szCs w:val="21"/>
          <w:highlight w:val="none"/>
        </w:rPr>
        <w:t>致</w:t>
      </w:r>
      <w:r>
        <w:rPr>
          <w:rFonts w:ascii="Times New Roman" w:hAnsi="Times New Roman"/>
          <w:color w:val="auto"/>
          <w:szCs w:val="21"/>
          <w:highlight w:val="none"/>
          <w:u w:val="single"/>
        </w:rPr>
        <w:t xml:space="preserve">                        </w:t>
      </w:r>
      <w:r>
        <w:rPr>
          <w:rFonts w:hint="eastAsia" w:ascii="Times New Roman" w:hAnsi="Times New Roman" w:cs="宋体"/>
          <w:color w:val="auto"/>
          <w:szCs w:val="21"/>
          <w:highlight w:val="none"/>
        </w:rPr>
        <w:t>（招标人名称）：</w:t>
      </w:r>
    </w:p>
    <w:p w14:paraId="74F177CA">
      <w:pPr>
        <w:pStyle w:val="382"/>
        <w:spacing w:line="520" w:lineRule="exact"/>
        <w:ind w:left="-10" w:firstLine="455"/>
        <w:jc w:val="left"/>
        <w:rPr>
          <w:rFonts w:ascii="Times New Roman" w:hAnsi="Times New Roman"/>
          <w:color w:val="auto"/>
          <w:szCs w:val="21"/>
          <w:highlight w:val="none"/>
        </w:rPr>
      </w:pPr>
      <w:r>
        <w:rPr>
          <w:rFonts w:hint="eastAsia" w:ascii="Times New Roman" w:hAnsi="Times New Roman" w:cs="宋体"/>
          <w:color w:val="auto"/>
          <w:szCs w:val="21"/>
          <w:highlight w:val="none"/>
        </w:rPr>
        <w:t>作为参与</w:t>
      </w:r>
      <w:r>
        <w:rPr>
          <w:rFonts w:ascii="Times New Roman" w:hAnsi="Times New Roman"/>
          <w:color w:val="auto"/>
          <w:szCs w:val="21"/>
          <w:highlight w:val="none"/>
          <w:u w:val="single"/>
        </w:rPr>
        <w:t xml:space="preserve">                  </w:t>
      </w:r>
      <w:r>
        <w:rPr>
          <w:rFonts w:hint="eastAsia" w:ascii="Times New Roman" w:hAnsi="Times New Roman" w:cs="宋体"/>
          <w:color w:val="auto"/>
          <w:szCs w:val="21"/>
          <w:highlight w:val="none"/>
        </w:rPr>
        <w:t>（工程名称）项目的投标方，根据国家、自治区相关文件规定，我方在此向招标人承诺：</w:t>
      </w:r>
    </w:p>
    <w:p w14:paraId="729BF8AD">
      <w:pPr>
        <w:pStyle w:val="382"/>
        <w:spacing w:line="520" w:lineRule="exact"/>
        <w:ind w:left="-10" w:firstLine="455"/>
        <w:jc w:val="left"/>
        <w:rPr>
          <w:rFonts w:ascii="Times New Roman" w:hAnsi="Times New Roman"/>
          <w:color w:val="auto"/>
          <w:szCs w:val="21"/>
          <w:highlight w:val="none"/>
        </w:rPr>
      </w:pPr>
      <w:r>
        <w:rPr>
          <w:rFonts w:ascii="Times New Roman" w:hAnsi="Times New Roman"/>
          <w:color w:val="auto"/>
          <w:szCs w:val="21"/>
          <w:highlight w:val="none"/>
        </w:rPr>
        <w:t>1</w:t>
      </w:r>
      <w:r>
        <w:rPr>
          <w:rFonts w:hint="eastAsia" w:ascii="Times New Roman" w:hAnsi="Times New Roman" w:cs="宋体"/>
          <w:color w:val="auto"/>
          <w:szCs w:val="21"/>
          <w:highlight w:val="none"/>
        </w:rPr>
        <w:t>、一旦中标，我方保证按照政府相关部门的规定，在发出中标通知书之日起</w:t>
      </w:r>
      <w:r>
        <w:rPr>
          <w:rFonts w:ascii="Times New Roman" w:hAnsi="Times New Roman"/>
          <w:color w:val="auto"/>
          <w:szCs w:val="21"/>
          <w:highlight w:val="none"/>
        </w:rPr>
        <w:t>7</w:t>
      </w:r>
      <w:r>
        <w:rPr>
          <w:rFonts w:hint="eastAsia" w:ascii="Times New Roman" w:hAnsi="Times New Roman" w:cs="宋体"/>
          <w:color w:val="auto"/>
          <w:szCs w:val="21"/>
          <w:highlight w:val="none"/>
        </w:rPr>
        <w:t>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w:t>
      </w:r>
      <w:r>
        <w:rPr>
          <w:rFonts w:ascii="Times New Roman" w:hAnsi="Times New Roman"/>
          <w:color w:val="auto"/>
          <w:szCs w:val="21"/>
          <w:highlight w:val="none"/>
        </w:rPr>
        <w:t>2009</w:t>
      </w:r>
      <w:r>
        <w:rPr>
          <w:rFonts w:hint="eastAsia" w:ascii="Times New Roman" w:hAnsi="Times New Roman" w:cs="宋体"/>
          <w:color w:val="auto"/>
          <w:szCs w:val="21"/>
          <w:highlight w:val="none"/>
        </w:rPr>
        <w:t>〕</w:t>
      </w:r>
      <w:r>
        <w:rPr>
          <w:rFonts w:ascii="Times New Roman" w:hAnsi="Times New Roman"/>
          <w:color w:val="auto"/>
          <w:szCs w:val="21"/>
          <w:highlight w:val="none"/>
        </w:rPr>
        <w:t>50</w:t>
      </w:r>
      <w:r>
        <w:rPr>
          <w:rFonts w:hint="eastAsia" w:ascii="Times New Roman" w:hAnsi="Times New Roman" w:cs="宋体"/>
          <w:color w:val="auto"/>
          <w:szCs w:val="21"/>
          <w:highlight w:val="none"/>
        </w:rPr>
        <w:t>号）从我方农民工工资保障金中先予划支。</w:t>
      </w:r>
    </w:p>
    <w:p w14:paraId="6B3963D3">
      <w:pPr>
        <w:pStyle w:val="382"/>
        <w:spacing w:line="520" w:lineRule="exact"/>
        <w:ind w:left="-10" w:firstLine="455"/>
        <w:jc w:val="left"/>
        <w:rPr>
          <w:rFonts w:ascii="Times New Roman" w:hAnsi="Times New Roman"/>
          <w:color w:val="auto"/>
          <w:szCs w:val="21"/>
          <w:highlight w:val="none"/>
        </w:rPr>
      </w:pPr>
      <w:r>
        <w:rPr>
          <w:rFonts w:ascii="Times New Roman" w:hAnsi="Times New Roman"/>
          <w:color w:val="auto"/>
          <w:szCs w:val="21"/>
          <w:highlight w:val="none"/>
        </w:rPr>
        <w:t>2</w:t>
      </w:r>
      <w:r>
        <w:rPr>
          <w:rFonts w:hint="eastAsia" w:ascii="Times New Roman" w:hAnsi="Times New Roman" w:cs="宋体"/>
          <w:color w:val="auto"/>
          <w:szCs w:val="21"/>
          <w:highlight w:val="none"/>
        </w:rPr>
        <w:t>、一旦中标，我方保证在施工过程中，严格执行《广西壮族自治区建筑工程安全文明施工费使用管理细则》（桂建质〔</w:t>
      </w:r>
      <w:r>
        <w:rPr>
          <w:rFonts w:ascii="Times New Roman" w:hAnsi="Times New Roman"/>
          <w:color w:val="auto"/>
          <w:szCs w:val="21"/>
          <w:highlight w:val="none"/>
        </w:rPr>
        <w:t>2015</w:t>
      </w:r>
      <w:r>
        <w:rPr>
          <w:rFonts w:hint="eastAsia" w:ascii="Times New Roman" w:hAnsi="Times New Roman" w:cs="宋体"/>
          <w:color w:val="auto"/>
          <w:szCs w:val="21"/>
          <w:highlight w:val="none"/>
        </w:rPr>
        <w:t>〕</w:t>
      </w:r>
      <w:r>
        <w:rPr>
          <w:rFonts w:ascii="Times New Roman" w:hAnsi="Times New Roman"/>
          <w:color w:val="auto"/>
          <w:szCs w:val="21"/>
          <w:highlight w:val="none"/>
        </w:rPr>
        <w:t>16</w:t>
      </w:r>
      <w:r>
        <w:rPr>
          <w:rFonts w:hint="eastAsia" w:ascii="Times New Roman" w:hAnsi="Times New Roman" w:cs="宋体"/>
          <w:color w:val="auto"/>
          <w:szCs w:val="21"/>
          <w:highlight w:val="none"/>
        </w:rPr>
        <w:t>号）的有关规定，确保建设工程各项安全防护、文明施工措施落实到位。如我方在该项目的承包中出现未按桂建质〔</w:t>
      </w:r>
      <w:r>
        <w:rPr>
          <w:rFonts w:ascii="Times New Roman" w:hAnsi="Times New Roman"/>
          <w:color w:val="auto"/>
          <w:szCs w:val="21"/>
          <w:highlight w:val="none"/>
        </w:rPr>
        <w:t>2015</w:t>
      </w:r>
      <w:r>
        <w:rPr>
          <w:rFonts w:hint="eastAsia" w:ascii="Times New Roman" w:hAnsi="Times New Roman" w:cs="宋体"/>
          <w:color w:val="auto"/>
          <w:szCs w:val="21"/>
          <w:highlight w:val="none"/>
        </w:rPr>
        <w:t>〕</w:t>
      </w:r>
      <w:r>
        <w:rPr>
          <w:rFonts w:ascii="Times New Roman" w:hAnsi="Times New Roman"/>
          <w:color w:val="auto"/>
          <w:szCs w:val="21"/>
          <w:highlight w:val="none"/>
        </w:rPr>
        <w:t>16</w:t>
      </w:r>
      <w:r>
        <w:rPr>
          <w:rFonts w:hint="eastAsia" w:ascii="Times New Roman" w:hAnsi="Times New Roman" w:cs="宋体"/>
          <w:color w:val="auto"/>
          <w:szCs w:val="21"/>
          <w:highlight w:val="none"/>
        </w:rPr>
        <w:t>号文附件一规定执行的情形，我方愿意按照相关规定接受建设单位及有关主管部门的处罚。</w:t>
      </w:r>
    </w:p>
    <w:p w14:paraId="05E591F9">
      <w:pPr>
        <w:pStyle w:val="382"/>
        <w:spacing w:line="520" w:lineRule="exact"/>
        <w:ind w:left="-2" w:firstLine="449"/>
        <w:jc w:val="left"/>
        <w:rPr>
          <w:rFonts w:ascii="Times New Roman" w:hAnsi="Times New Roman"/>
          <w:color w:val="auto"/>
          <w:szCs w:val="21"/>
          <w:highlight w:val="none"/>
        </w:rPr>
      </w:pPr>
      <w:r>
        <w:rPr>
          <w:rFonts w:ascii="Times New Roman" w:hAnsi="Times New Roman"/>
          <w:color w:val="auto"/>
          <w:szCs w:val="21"/>
          <w:highlight w:val="none"/>
        </w:rPr>
        <w:t>3</w:t>
      </w:r>
      <w:r>
        <w:rPr>
          <w:rFonts w:hint="eastAsia" w:ascii="Times New Roman" w:hAnsi="Times New Roman" w:cs="宋体"/>
          <w:color w:val="auto"/>
          <w:szCs w:val="21"/>
          <w:highlight w:val="none"/>
        </w:rPr>
        <w:t>、一旦中标，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1E554684">
      <w:pPr>
        <w:pStyle w:val="382"/>
        <w:spacing w:line="520" w:lineRule="exact"/>
        <w:ind w:left="-10" w:firstLine="455"/>
        <w:jc w:val="left"/>
        <w:rPr>
          <w:rFonts w:ascii="Times New Roman" w:hAnsi="Times New Roman"/>
          <w:color w:val="auto"/>
          <w:szCs w:val="21"/>
          <w:highlight w:val="none"/>
        </w:rPr>
      </w:pPr>
      <w:r>
        <w:rPr>
          <w:rFonts w:ascii="Times New Roman" w:hAnsi="Times New Roman"/>
          <w:color w:val="auto"/>
          <w:szCs w:val="21"/>
          <w:highlight w:val="none"/>
        </w:rPr>
        <w:t>4</w:t>
      </w:r>
      <w:r>
        <w:rPr>
          <w:rFonts w:hint="eastAsia" w:ascii="Times New Roman" w:hAnsi="Times New Roman" w:cs="宋体"/>
          <w:color w:val="auto"/>
          <w:szCs w:val="21"/>
          <w:highlight w:val="none"/>
        </w:rPr>
        <w:t>、一旦中标，我方保证严格执行</w:t>
      </w:r>
      <w:r>
        <w:rPr>
          <w:rFonts w:hint="eastAsia" w:ascii="宋体" w:hAnsi="宋体" w:cs="宋体"/>
          <w:color w:val="auto"/>
          <w:szCs w:val="21"/>
          <w:highlight w:val="none"/>
        </w:rPr>
        <w:t>《危险性较大的分部分项工程安全管理规定》</w:t>
      </w:r>
      <w:r>
        <w:rPr>
          <w:rFonts w:hint="eastAsia" w:ascii="Times New Roman" w:hAnsi="Times New Roman" w:cs="宋体"/>
          <w:color w:val="auto"/>
          <w:szCs w:val="21"/>
          <w:highlight w:val="none"/>
        </w:rPr>
        <w:t>（建办质〔</w:t>
      </w:r>
      <w:r>
        <w:rPr>
          <w:rFonts w:ascii="Times New Roman" w:hAnsi="Times New Roman"/>
          <w:color w:val="auto"/>
          <w:szCs w:val="21"/>
          <w:highlight w:val="none"/>
        </w:rPr>
        <w:t>2018</w:t>
      </w:r>
      <w:r>
        <w:rPr>
          <w:rFonts w:hint="eastAsia" w:ascii="Times New Roman" w:hAnsi="Times New Roman" w:cs="宋体"/>
          <w:color w:val="auto"/>
          <w:szCs w:val="21"/>
          <w:highlight w:val="none"/>
        </w:rPr>
        <w:t>〕</w:t>
      </w:r>
      <w:r>
        <w:rPr>
          <w:rFonts w:ascii="Times New Roman" w:hAnsi="Times New Roman"/>
          <w:color w:val="auto"/>
          <w:szCs w:val="21"/>
          <w:highlight w:val="none"/>
        </w:rPr>
        <w:t>31</w:t>
      </w:r>
      <w:r>
        <w:rPr>
          <w:rFonts w:hint="eastAsia" w:ascii="Times New Roman" w:hAnsi="Times New Roman" w:cs="宋体"/>
          <w:color w:val="auto"/>
          <w:szCs w:val="21"/>
          <w:highlight w:val="none"/>
        </w:rPr>
        <w:t>号）的规定，强化对深基坑、高切坡、高大模板、人工挖孔桩、起重吊装、临时活动板房等重大危险源的专项施工方案的编制、论证、审批、实施、检测的风险管理。</w:t>
      </w:r>
    </w:p>
    <w:p w14:paraId="4C5E7C66">
      <w:pPr>
        <w:pStyle w:val="382"/>
        <w:spacing w:line="520" w:lineRule="exact"/>
        <w:jc w:val="left"/>
        <w:rPr>
          <w:rFonts w:ascii="Times New Roman" w:hAnsi="Times New Roman"/>
          <w:color w:val="auto"/>
          <w:szCs w:val="21"/>
          <w:highlight w:val="none"/>
        </w:rPr>
      </w:pPr>
    </w:p>
    <w:p w14:paraId="7E72C609">
      <w:pPr>
        <w:spacing w:before="50" w:after="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567F1D8E">
      <w:pPr>
        <w:spacing w:before="120"/>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57135412">
      <w:pPr>
        <w:spacing w:before="120"/>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671CDEA0">
      <w:pPr>
        <w:pStyle w:val="382"/>
        <w:spacing w:line="360" w:lineRule="auto"/>
        <w:ind w:firstLine="1050"/>
        <w:rPr>
          <w:rFonts w:ascii="Times New Roman" w:hAnsi="Times New Roman"/>
          <w:color w:val="auto"/>
          <w:szCs w:val="21"/>
          <w:highlight w:val="none"/>
        </w:rPr>
      </w:pPr>
      <w:r>
        <w:rPr>
          <w:rFonts w:ascii="Times New Roman" w:hAnsi="Times New Roman"/>
          <w:color w:val="auto"/>
          <w:szCs w:val="21"/>
          <w:highlight w:val="none"/>
        </w:rPr>
        <w:br w:type="page" w:clear="all"/>
      </w:r>
      <w:r>
        <w:rPr>
          <w:rFonts w:hint="eastAsia" w:ascii="Times New Roman" w:hAnsi="Times New Roman" w:cs="宋体"/>
          <w:b/>
          <w:bCs/>
          <w:color w:val="auto"/>
          <w:sz w:val="28"/>
          <w:szCs w:val="28"/>
          <w:highlight w:val="none"/>
        </w:rPr>
        <w:t>广西壮族自治区建筑工程安全文明施工措施项目清单内容</w:t>
      </w:r>
    </w:p>
    <w:p w14:paraId="0DF09A64">
      <w:pPr>
        <w:pStyle w:val="382"/>
        <w:spacing w:line="360" w:lineRule="auto"/>
        <w:ind w:firstLine="600"/>
        <w:jc w:val="center"/>
        <w:rPr>
          <w:rFonts w:ascii="Times New Roman" w:hAnsi="Times New Roman"/>
          <w:color w:val="auto"/>
          <w:sz w:val="24"/>
          <w:szCs w:val="24"/>
          <w:highlight w:val="none"/>
        </w:rPr>
      </w:pPr>
      <w:r>
        <w:rPr>
          <w:rFonts w:hint="eastAsia" w:ascii="Times New Roman" w:hAnsi="Times New Roman" w:cs="宋体"/>
          <w:color w:val="auto"/>
          <w:sz w:val="24"/>
          <w:szCs w:val="24"/>
          <w:highlight w:val="none"/>
        </w:rPr>
        <w:t>（桂建质〔</w:t>
      </w:r>
      <w:r>
        <w:rPr>
          <w:rFonts w:ascii="Times New Roman" w:hAnsi="Times New Roman"/>
          <w:color w:val="auto"/>
          <w:sz w:val="24"/>
          <w:szCs w:val="24"/>
          <w:highlight w:val="none"/>
        </w:rPr>
        <w:t>2015</w:t>
      </w:r>
      <w:r>
        <w:rPr>
          <w:rFonts w:hint="eastAsia" w:ascii="Times New Roman" w:hAnsi="Times New Roman" w:cs="宋体"/>
          <w:color w:val="auto"/>
          <w:sz w:val="24"/>
          <w:szCs w:val="24"/>
          <w:highlight w:val="none"/>
        </w:rPr>
        <w:t>〕</w:t>
      </w:r>
      <w:r>
        <w:rPr>
          <w:rFonts w:ascii="Times New Roman" w:hAnsi="Times New Roman"/>
          <w:color w:val="auto"/>
          <w:sz w:val="24"/>
          <w:szCs w:val="24"/>
          <w:highlight w:val="none"/>
        </w:rPr>
        <w:t>16</w:t>
      </w:r>
      <w:r>
        <w:rPr>
          <w:rFonts w:hint="eastAsia" w:ascii="Times New Roman" w:hAnsi="Times New Roman" w:cs="宋体"/>
          <w:color w:val="auto"/>
          <w:sz w:val="24"/>
          <w:szCs w:val="24"/>
          <w:highlight w:val="none"/>
        </w:rPr>
        <w:t>号文附件一）</w:t>
      </w:r>
    </w:p>
    <w:p w14:paraId="5C21D1E9">
      <w:pPr>
        <w:pStyle w:val="382"/>
        <w:spacing w:line="240" w:lineRule="atLeast"/>
        <w:jc w:val="center"/>
        <w:rPr>
          <w:rFonts w:hint="eastAsia" w:ascii="Times New Roman" w:hAnsi="Times New Roman"/>
          <w:b/>
          <w:bCs/>
          <w:color w:val="auto"/>
          <w:sz w:val="24"/>
          <w:szCs w:val="24"/>
          <w:highlight w:val="none"/>
        </w:rPr>
      </w:pPr>
      <w:r>
        <w:rPr>
          <w:rFonts w:hint="eastAsia" w:ascii="宋体" w:hAnsi="宋体" w:cs="宋体"/>
          <w:b/>
          <w:bCs/>
          <w:color w:val="auto"/>
          <w:sz w:val="24"/>
          <w:szCs w:val="24"/>
          <w:highlight w:val="none"/>
        </w:rPr>
        <w:t>广西壮族自治区</w:t>
      </w:r>
      <w:r>
        <w:rPr>
          <w:rFonts w:hint="eastAsia" w:ascii="Times New Roman" w:hAnsi="Times New Roman" w:cs="宋体"/>
          <w:b/>
          <w:bCs/>
          <w:color w:val="auto"/>
          <w:sz w:val="24"/>
          <w:szCs w:val="24"/>
          <w:highlight w:val="none"/>
        </w:rPr>
        <w:t>建设工程安全文明施工措施项目清单内容</w:t>
      </w:r>
    </w:p>
    <w:p w14:paraId="52D85F47">
      <w:pPr>
        <w:pStyle w:val="382"/>
        <w:spacing w:line="240" w:lineRule="atLeast"/>
        <w:ind w:firstLine="546"/>
        <w:jc w:val="center"/>
        <w:rPr>
          <w:rFonts w:ascii="Times New Roman" w:hAnsi="Times New Roman"/>
          <w:b/>
          <w:bCs/>
          <w:color w:val="auto"/>
          <w:sz w:val="24"/>
          <w:szCs w:val="24"/>
          <w:highlight w:val="none"/>
        </w:rPr>
      </w:pP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14:paraId="314F15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738" w:type="dxa"/>
            <w:tcBorders>
              <w:top w:val="single" w:color="auto" w:sz="12" w:space="0"/>
              <w:left w:val="single" w:color="auto" w:sz="12" w:space="0"/>
              <w:bottom w:val="single" w:color="auto" w:sz="12" w:space="0"/>
              <w:right w:val="single" w:color="auto" w:sz="12" w:space="0"/>
            </w:tcBorders>
            <w:noWrap w:val="0"/>
            <w:vAlign w:val="center"/>
          </w:tcPr>
          <w:p w14:paraId="7A78945C">
            <w:pPr>
              <w:pStyle w:val="382"/>
              <w:spacing w:line="300" w:lineRule="exact"/>
              <w:jc w:val="center"/>
              <w:rPr>
                <w:rFonts w:ascii="方正仿宋_GBK" w:hAnsi="Times New Roman" w:eastAsia="方正仿宋_GBK"/>
                <w:b/>
                <w:bCs/>
                <w:color w:val="auto"/>
                <w:szCs w:val="21"/>
                <w:highlight w:val="none"/>
              </w:rPr>
            </w:pPr>
            <w:r>
              <w:rPr>
                <w:rFonts w:hint="eastAsia" w:ascii="方正仿宋_GBK" w:hAnsi="Times New Roman" w:eastAsia="方正仿宋_GBK" w:cs="方正仿宋_GBK"/>
                <w:b/>
                <w:bCs/>
                <w:color w:val="auto"/>
                <w:szCs w:val="21"/>
                <w:highlight w:val="none"/>
              </w:rPr>
              <w:t>类别</w:t>
            </w:r>
          </w:p>
        </w:tc>
        <w:tc>
          <w:tcPr>
            <w:tcW w:w="2070" w:type="dxa"/>
            <w:gridSpan w:val="2"/>
            <w:tcBorders>
              <w:top w:val="single" w:color="auto" w:sz="12" w:space="0"/>
              <w:left w:val="single" w:color="auto" w:sz="12" w:space="0"/>
              <w:bottom w:val="single" w:color="auto" w:sz="12" w:space="0"/>
              <w:right w:val="single" w:color="auto" w:sz="12" w:space="0"/>
            </w:tcBorders>
            <w:noWrap w:val="0"/>
            <w:vAlign w:val="center"/>
          </w:tcPr>
          <w:p w14:paraId="423BBDAC">
            <w:pPr>
              <w:pStyle w:val="382"/>
              <w:spacing w:line="300" w:lineRule="exact"/>
              <w:jc w:val="center"/>
              <w:rPr>
                <w:rFonts w:ascii="方正仿宋_GBK" w:hAnsi="Times New Roman" w:eastAsia="方正仿宋_GBK"/>
                <w:b/>
                <w:bCs/>
                <w:color w:val="auto"/>
                <w:szCs w:val="21"/>
                <w:highlight w:val="none"/>
              </w:rPr>
            </w:pPr>
            <w:r>
              <w:rPr>
                <w:rFonts w:hint="eastAsia" w:ascii="方正仿宋_GBK" w:hAnsi="Times New Roman" w:eastAsia="方正仿宋_GBK" w:cs="方正仿宋_GBK"/>
                <w:b/>
                <w:bCs/>
                <w:color w:val="auto"/>
                <w:szCs w:val="21"/>
                <w:highlight w:val="none"/>
              </w:rPr>
              <w:t>项目名称</w:t>
            </w:r>
          </w:p>
        </w:tc>
        <w:tc>
          <w:tcPr>
            <w:tcW w:w="6645" w:type="dxa"/>
            <w:tcBorders>
              <w:top w:val="single" w:color="auto" w:sz="12" w:space="0"/>
              <w:left w:val="single" w:color="auto" w:sz="12" w:space="0"/>
              <w:bottom w:val="single" w:color="auto" w:sz="12" w:space="0"/>
              <w:right w:val="single" w:color="auto" w:sz="12" w:space="0"/>
            </w:tcBorders>
            <w:noWrap w:val="0"/>
            <w:vAlign w:val="center"/>
          </w:tcPr>
          <w:p w14:paraId="4183AA75">
            <w:pPr>
              <w:pStyle w:val="382"/>
              <w:spacing w:line="300" w:lineRule="exact"/>
              <w:jc w:val="center"/>
              <w:rPr>
                <w:rFonts w:ascii="方正仿宋_GBK" w:hAnsi="Times New Roman" w:eastAsia="方正仿宋_GBK"/>
                <w:b/>
                <w:bCs/>
                <w:color w:val="auto"/>
                <w:szCs w:val="21"/>
                <w:highlight w:val="none"/>
              </w:rPr>
            </w:pPr>
            <w:r>
              <w:rPr>
                <w:rFonts w:hint="eastAsia" w:ascii="方正仿宋_GBK" w:hAnsi="Times New Roman" w:eastAsia="方正仿宋_GBK" w:cs="方正仿宋_GBK"/>
                <w:b/>
                <w:bCs/>
                <w:color w:val="auto"/>
                <w:szCs w:val="21"/>
                <w:highlight w:val="none"/>
              </w:rPr>
              <w:t>主要内容和要求</w:t>
            </w:r>
          </w:p>
        </w:tc>
      </w:tr>
      <w:tr w14:paraId="7AC611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restart"/>
            <w:tcBorders>
              <w:top w:val="single" w:color="auto" w:sz="12" w:space="0"/>
              <w:left w:val="single" w:color="auto" w:sz="12" w:space="0"/>
              <w:bottom w:val="single" w:color="auto" w:sz="12" w:space="0"/>
              <w:right w:val="single" w:color="auto" w:sz="12" w:space="0"/>
            </w:tcBorders>
            <w:noWrap w:val="0"/>
            <w:vAlign w:val="center"/>
          </w:tcPr>
          <w:p w14:paraId="38B01046">
            <w:pPr>
              <w:pStyle w:val="382"/>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文明</w:t>
            </w:r>
          </w:p>
          <w:p w14:paraId="06D18A9F">
            <w:pPr>
              <w:pStyle w:val="382"/>
              <w:spacing w:line="300" w:lineRule="exact"/>
              <w:jc w:val="center"/>
              <w:rPr>
                <w:rFonts w:hint="eastAsia"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施工</w:t>
            </w:r>
          </w:p>
          <w:p w14:paraId="6E420E69">
            <w:pPr>
              <w:pStyle w:val="382"/>
              <w:spacing w:line="300" w:lineRule="exact"/>
              <w:jc w:val="center"/>
              <w:rPr>
                <w:rFonts w:hint="eastAsia"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与</w:t>
            </w:r>
          </w:p>
          <w:p w14:paraId="22B26B73">
            <w:pPr>
              <w:pStyle w:val="382"/>
              <w:spacing w:line="300" w:lineRule="exact"/>
              <w:jc w:val="center"/>
              <w:rPr>
                <w:rFonts w:hint="eastAsia"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环境</w:t>
            </w:r>
          </w:p>
          <w:p w14:paraId="1881C8A2">
            <w:pPr>
              <w:pStyle w:val="382"/>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保护</w:t>
            </w:r>
          </w:p>
        </w:tc>
        <w:tc>
          <w:tcPr>
            <w:tcW w:w="2070" w:type="dxa"/>
            <w:gridSpan w:val="2"/>
            <w:tcBorders>
              <w:top w:val="single" w:color="auto" w:sz="12" w:space="0"/>
              <w:left w:val="single" w:color="auto" w:sz="12" w:space="0"/>
              <w:bottom w:val="single" w:color="auto" w:sz="12" w:space="0"/>
              <w:right w:val="single" w:color="auto" w:sz="12" w:space="0"/>
            </w:tcBorders>
            <w:noWrap w:val="0"/>
            <w:vAlign w:val="center"/>
          </w:tcPr>
          <w:p w14:paraId="6885253E">
            <w:pPr>
              <w:pStyle w:val="382"/>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安全警示</w:t>
            </w:r>
          </w:p>
          <w:p w14:paraId="7DD84B58">
            <w:pPr>
              <w:pStyle w:val="382"/>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标志牌</w:t>
            </w:r>
          </w:p>
        </w:tc>
        <w:tc>
          <w:tcPr>
            <w:tcW w:w="6645" w:type="dxa"/>
            <w:tcBorders>
              <w:top w:val="single" w:color="auto" w:sz="12" w:space="0"/>
              <w:left w:val="single" w:color="auto" w:sz="12" w:space="0"/>
              <w:bottom w:val="single" w:color="auto" w:sz="12" w:space="0"/>
              <w:right w:val="single" w:color="auto" w:sz="12" w:space="0"/>
            </w:tcBorders>
            <w:noWrap w:val="0"/>
            <w:vAlign w:val="center"/>
          </w:tcPr>
          <w:p w14:paraId="1E3B1D51">
            <w:pPr>
              <w:pStyle w:val="382"/>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在易发伤亡事故（或危险）处设置明显的、符合国家标准要求的安全警示标志牌。</w:t>
            </w:r>
          </w:p>
        </w:tc>
      </w:tr>
      <w:tr w14:paraId="1C7599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tcBorders>
              <w:top w:val="single" w:color="auto" w:sz="12" w:space="0"/>
              <w:left w:val="single" w:color="auto" w:sz="12" w:space="0"/>
              <w:bottom w:val="single" w:color="auto" w:sz="12" w:space="0"/>
              <w:right w:val="single" w:color="auto" w:sz="12" w:space="0"/>
            </w:tcBorders>
            <w:noWrap w:val="0"/>
            <w:vAlign w:val="center"/>
          </w:tcPr>
          <w:p w14:paraId="58E777F6">
            <w:pPr>
              <w:widowControl/>
              <w:jc w:val="left"/>
              <w:rPr>
                <w:rFonts w:ascii="方正仿宋_GBK" w:eastAsia="方正仿宋_GBK"/>
                <w:color w:val="auto"/>
                <w:szCs w:val="21"/>
                <w:highlight w:val="none"/>
              </w:rPr>
            </w:pPr>
          </w:p>
        </w:tc>
        <w:tc>
          <w:tcPr>
            <w:tcW w:w="2070" w:type="dxa"/>
            <w:gridSpan w:val="2"/>
            <w:tcBorders>
              <w:top w:val="single" w:color="auto" w:sz="12" w:space="0"/>
              <w:left w:val="single" w:color="auto" w:sz="12" w:space="0"/>
              <w:bottom w:val="single" w:color="auto" w:sz="12" w:space="0"/>
              <w:right w:val="single" w:color="auto" w:sz="12" w:space="0"/>
            </w:tcBorders>
            <w:noWrap w:val="0"/>
            <w:vAlign w:val="center"/>
          </w:tcPr>
          <w:p w14:paraId="21708E05">
            <w:pPr>
              <w:pStyle w:val="382"/>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现场围挡</w:t>
            </w:r>
          </w:p>
        </w:tc>
        <w:tc>
          <w:tcPr>
            <w:tcW w:w="6645" w:type="dxa"/>
            <w:tcBorders>
              <w:top w:val="single" w:color="auto" w:sz="12" w:space="0"/>
              <w:left w:val="single" w:color="auto" w:sz="12" w:space="0"/>
              <w:bottom w:val="single" w:color="auto" w:sz="12" w:space="0"/>
              <w:right w:val="single" w:color="auto" w:sz="12" w:space="0"/>
            </w:tcBorders>
            <w:noWrap w:val="0"/>
            <w:vAlign w:val="center"/>
          </w:tcPr>
          <w:p w14:paraId="7E795534">
            <w:pPr>
              <w:pStyle w:val="382"/>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1. 现场采用封闭围挡，高度不小于1.8m。</w:t>
            </w:r>
          </w:p>
          <w:p w14:paraId="667CA047">
            <w:pPr>
              <w:pStyle w:val="382"/>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2. 围挡材料可用彩色、定型钢板，砌块等墙体。</w:t>
            </w:r>
          </w:p>
        </w:tc>
      </w:tr>
      <w:tr w14:paraId="14670A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tcBorders>
              <w:top w:val="single" w:color="auto" w:sz="12" w:space="0"/>
              <w:left w:val="single" w:color="auto" w:sz="12" w:space="0"/>
              <w:bottom w:val="single" w:color="auto" w:sz="12" w:space="0"/>
              <w:right w:val="single" w:color="auto" w:sz="12" w:space="0"/>
            </w:tcBorders>
            <w:noWrap w:val="0"/>
            <w:vAlign w:val="center"/>
          </w:tcPr>
          <w:p w14:paraId="24F53F6D">
            <w:pPr>
              <w:widowControl/>
              <w:jc w:val="left"/>
              <w:rPr>
                <w:rFonts w:ascii="方正仿宋_GBK" w:eastAsia="方正仿宋_GBK"/>
                <w:color w:val="auto"/>
                <w:szCs w:val="21"/>
                <w:highlight w:val="none"/>
              </w:rPr>
            </w:pPr>
          </w:p>
        </w:tc>
        <w:tc>
          <w:tcPr>
            <w:tcW w:w="2070" w:type="dxa"/>
            <w:gridSpan w:val="2"/>
            <w:tcBorders>
              <w:top w:val="single" w:color="auto" w:sz="12" w:space="0"/>
              <w:left w:val="single" w:color="auto" w:sz="12" w:space="0"/>
              <w:bottom w:val="single" w:color="auto" w:sz="12" w:space="0"/>
              <w:right w:val="single" w:color="auto" w:sz="12" w:space="0"/>
            </w:tcBorders>
            <w:noWrap w:val="0"/>
            <w:vAlign w:val="center"/>
          </w:tcPr>
          <w:p w14:paraId="1F995F34">
            <w:pPr>
              <w:pStyle w:val="382"/>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七牌二图</w:t>
            </w:r>
          </w:p>
        </w:tc>
        <w:tc>
          <w:tcPr>
            <w:tcW w:w="6645" w:type="dxa"/>
            <w:tcBorders>
              <w:top w:val="single" w:color="auto" w:sz="12" w:space="0"/>
              <w:left w:val="single" w:color="auto" w:sz="12" w:space="0"/>
              <w:bottom w:val="single" w:color="auto" w:sz="12" w:space="0"/>
              <w:right w:val="single" w:color="auto" w:sz="12" w:space="0"/>
            </w:tcBorders>
            <w:noWrap w:val="0"/>
            <w:vAlign w:val="center"/>
          </w:tcPr>
          <w:p w14:paraId="3880BC2D">
            <w:pPr>
              <w:pStyle w:val="382"/>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在进门处悬挂工程概况、现场出入制度、管理人员名单及监督电话、安全生产规定、文明施工、消防保卫、节能公示等七牌以及施工现场总平面图、工程效果图。</w:t>
            </w:r>
          </w:p>
        </w:tc>
      </w:tr>
      <w:tr w14:paraId="55B009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8" w:type="dxa"/>
            <w:vMerge w:val="continue"/>
            <w:tcBorders>
              <w:top w:val="single" w:color="auto" w:sz="12" w:space="0"/>
              <w:left w:val="single" w:color="auto" w:sz="12" w:space="0"/>
              <w:bottom w:val="single" w:color="auto" w:sz="12" w:space="0"/>
              <w:right w:val="single" w:color="auto" w:sz="12" w:space="0"/>
            </w:tcBorders>
            <w:noWrap w:val="0"/>
            <w:vAlign w:val="center"/>
          </w:tcPr>
          <w:p w14:paraId="63008C0D">
            <w:pPr>
              <w:widowControl/>
              <w:jc w:val="left"/>
              <w:rPr>
                <w:rFonts w:ascii="方正仿宋_GBK" w:eastAsia="方正仿宋_GBK"/>
                <w:color w:val="auto"/>
                <w:szCs w:val="21"/>
                <w:highlight w:val="none"/>
              </w:rPr>
            </w:pPr>
          </w:p>
        </w:tc>
        <w:tc>
          <w:tcPr>
            <w:tcW w:w="2070" w:type="dxa"/>
            <w:gridSpan w:val="2"/>
            <w:tcBorders>
              <w:top w:val="single" w:color="auto" w:sz="12" w:space="0"/>
              <w:left w:val="single" w:color="auto" w:sz="12" w:space="0"/>
              <w:bottom w:val="single" w:color="auto" w:sz="12" w:space="0"/>
              <w:right w:val="single" w:color="auto" w:sz="12" w:space="0"/>
            </w:tcBorders>
            <w:noWrap w:val="0"/>
            <w:vAlign w:val="center"/>
          </w:tcPr>
          <w:p w14:paraId="1EA83FFC">
            <w:pPr>
              <w:pStyle w:val="382"/>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企业标志</w:t>
            </w:r>
          </w:p>
        </w:tc>
        <w:tc>
          <w:tcPr>
            <w:tcW w:w="6645" w:type="dxa"/>
            <w:tcBorders>
              <w:top w:val="single" w:color="auto" w:sz="12" w:space="0"/>
              <w:left w:val="single" w:color="auto" w:sz="12" w:space="0"/>
              <w:bottom w:val="single" w:color="auto" w:sz="12" w:space="0"/>
              <w:right w:val="single" w:color="auto" w:sz="12" w:space="0"/>
            </w:tcBorders>
            <w:noWrap w:val="0"/>
            <w:vAlign w:val="center"/>
          </w:tcPr>
          <w:p w14:paraId="151B3F1F">
            <w:pPr>
              <w:pStyle w:val="382"/>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现场出入的大门应设有本企业标志或企业标识。</w:t>
            </w:r>
          </w:p>
        </w:tc>
      </w:tr>
      <w:tr w14:paraId="3D79B4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tcBorders>
              <w:top w:val="single" w:color="auto" w:sz="12" w:space="0"/>
              <w:left w:val="single" w:color="auto" w:sz="12" w:space="0"/>
              <w:bottom w:val="single" w:color="auto" w:sz="12" w:space="0"/>
              <w:right w:val="single" w:color="auto" w:sz="12" w:space="0"/>
            </w:tcBorders>
            <w:noWrap w:val="0"/>
            <w:vAlign w:val="center"/>
          </w:tcPr>
          <w:p w14:paraId="2DB8B5F3">
            <w:pPr>
              <w:widowControl/>
              <w:jc w:val="left"/>
              <w:rPr>
                <w:rFonts w:ascii="方正仿宋_GBK" w:eastAsia="方正仿宋_GBK"/>
                <w:color w:val="auto"/>
                <w:szCs w:val="21"/>
                <w:highlight w:val="none"/>
              </w:rPr>
            </w:pPr>
          </w:p>
        </w:tc>
        <w:tc>
          <w:tcPr>
            <w:tcW w:w="2070" w:type="dxa"/>
            <w:gridSpan w:val="2"/>
            <w:tcBorders>
              <w:top w:val="single" w:color="auto" w:sz="12" w:space="0"/>
              <w:left w:val="single" w:color="auto" w:sz="12" w:space="0"/>
              <w:bottom w:val="single" w:color="auto" w:sz="12" w:space="0"/>
              <w:right w:val="single" w:color="auto" w:sz="12" w:space="0"/>
            </w:tcBorders>
            <w:noWrap w:val="0"/>
            <w:vAlign w:val="center"/>
          </w:tcPr>
          <w:p w14:paraId="532E0DB3">
            <w:pPr>
              <w:pStyle w:val="382"/>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场容场貌</w:t>
            </w:r>
          </w:p>
        </w:tc>
        <w:tc>
          <w:tcPr>
            <w:tcW w:w="6645" w:type="dxa"/>
            <w:tcBorders>
              <w:top w:val="single" w:color="auto" w:sz="12" w:space="0"/>
              <w:left w:val="single" w:color="auto" w:sz="12" w:space="0"/>
              <w:bottom w:val="single" w:color="auto" w:sz="12" w:space="0"/>
              <w:right w:val="single" w:color="auto" w:sz="12" w:space="0"/>
            </w:tcBorders>
            <w:noWrap w:val="0"/>
            <w:vAlign w:val="center"/>
          </w:tcPr>
          <w:p w14:paraId="446A0B6E">
            <w:pPr>
              <w:pStyle w:val="382"/>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1. 道路畅通。</w:t>
            </w:r>
          </w:p>
          <w:p w14:paraId="40F2ED50">
            <w:pPr>
              <w:pStyle w:val="382"/>
              <w:spacing w:line="300" w:lineRule="exact"/>
              <w:rPr>
                <w:rFonts w:hint="eastAsia"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2. 排水设施齐全畅通。</w:t>
            </w:r>
          </w:p>
          <w:p w14:paraId="66D3743C">
            <w:pPr>
              <w:pStyle w:val="382"/>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3. 工地地面硬化处理（办公区、生活区、现场道路、材料堆放、混凝土搅拌、砂浆搅拌、钢筋加工等场地和外脚手架基础等）。</w:t>
            </w:r>
          </w:p>
        </w:tc>
      </w:tr>
      <w:tr w14:paraId="46F9C9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tcBorders>
              <w:top w:val="single" w:color="auto" w:sz="12" w:space="0"/>
              <w:left w:val="single" w:color="auto" w:sz="12" w:space="0"/>
              <w:bottom w:val="single" w:color="auto" w:sz="12" w:space="0"/>
              <w:right w:val="single" w:color="auto" w:sz="12" w:space="0"/>
            </w:tcBorders>
            <w:noWrap w:val="0"/>
            <w:vAlign w:val="center"/>
          </w:tcPr>
          <w:p w14:paraId="64D92F00">
            <w:pPr>
              <w:widowControl/>
              <w:jc w:val="left"/>
              <w:rPr>
                <w:rFonts w:ascii="方正仿宋_GBK" w:eastAsia="方正仿宋_GBK"/>
                <w:color w:val="auto"/>
                <w:szCs w:val="21"/>
                <w:highlight w:val="none"/>
              </w:rPr>
            </w:pPr>
          </w:p>
        </w:tc>
        <w:tc>
          <w:tcPr>
            <w:tcW w:w="2070" w:type="dxa"/>
            <w:gridSpan w:val="2"/>
            <w:tcBorders>
              <w:top w:val="single" w:color="auto" w:sz="12" w:space="0"/>
              <w:left w:val="single" w:color="auto" w:sz="12" w:space="0"/>
              <w:bottom w:val="single" w:color="auto" w:sz="12" w:space="0"/>
              <w:right w:val="single" w:color="auto" w:sz="12" w:space="0"/>
            </w:tcBorders>
            <w:noWrap w:val="0"/>
            <w:vAlign w:val="center"/>
          </w:tcPr>
          <w:p w14:paraId="393BD377">
            <w:pPr>
              <w:pStyle w:val="382"/>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材料堆放</w:t>
            </w:r>
          </w:p>
        </w:tc>
        <w:tc>
          <w:tcPr>
            <w:tcW w:w="6645" w:type="dxa"/>
            <w:tcBorders>
              <w:top w:val="single" w:color="auto" w:sz="12" w:space="0"/>
              <w:left w:val="single" w:color="auto" w:sz="12" w:space="0"/>
              <w:bottom w:val="single" w:color="auto" w:sz="12" w:space="0"/>
              <w:right w:val="single" w:color="auto" w:sz="12" w:space="0"/>
            </w:tcBorders>
            <w:noWrap w:val="0"/>
            <w:vAlign w:val="center"/>
          </w:tcPr>
          <w:p w14:paraId="72D1B4B7">
            <w:pPr>
              <w:pStyle w:val="382"/>
              <w:numPr>
                <w:ilvl w:val="0"/>
                <w:numId w:val="10"/>
              </w:numPr>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材料、构件、料具等堆放时，应有名称、品种、规格等标牌。</w:t>
            </w:r>
          </w:p>
          <w:p w14:paraId="1488D45C">
            <w:pPr>
              <w:pStyle w:val="382"/>
              <w:spacing w:line="300" w:lineRule="exact"/>
              <w:rPr>
                <w:rFonts w:hint="eastAsia"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2. 水泥和其它易飞扬细颗粒建筑材料应封闭存放或采取覆盖等措施。</w:t>
            </w:r>
          </w:p>
          <w:p w14:paraId="40378F48">
            <w:pPr>
              <w:pStyle w:val="382"/>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3. 易燃、易爆和有毒有害物品分类存放。</w:t>
            </w:r>
          </w:p>
        </w:tc>
      </w:tr>
      <w:tr w14:paraId="12CDC8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38" w:type="dxa"/>
            <w:vMerge w:val="continue"/>
            <w:tcBorders>
              <w:top w:val="single" w:color="auto" w:sz="12" w:space="0"/>
              <w:left w:val="single" w:color="auto" w:sz="12" w:space="0"/>
              <w:bottom w:val="single" w:color="auto" w:sz="12" w:space="0"/>
              <w:right w:val="single" w:color="auto" w:sz="12" w:space="0"/>
            </w:tcBorders>
            <w:noWrap w:val="0"/>
            <w:vAlign w:val="center"/>
          </w:tcPr>
          <w:p w14:paraId="321028C6">
            <w:pPr>
              <w:widowControl/>
              <w:jc w:val="left"/>
              <w:rPr>
                <w:rFonts w:ascii="方正仿宋_GBK" w:eastAsia="方正仿宋_GBK"/>
                <w:color w:val="auto"/>
                <w:szCs w:val="21"/>
                <w:highlight w:val="none"/>
              </w:rPr>
            </w:pPr>
          </w:p>
        </w:tc>
        <w:tc>
          <w:tcPr>
            <w:tcW w:w="2070" w:type="dxa"/>
            <w:gridSpan w:val="2"/>
            <w:tcBorders>
              <w:top w:val="single" w:color="auto" w:sz="12" w:space="0"/>
              <w:left w:val="single" w:color="auto" w:sz="12" w:space="0"/>
              <w:bottom w:val="single" w:color="auto" w:sz="12" w:space="0"/>
              <w:right w:val="single" w:color="auto" w:sz="12" w:space="0"/>
            </w:tcBorders>
            <w:noWrap w:val="0"/>
            <w:vAlign w:val="center"/>
          </w:tcPr>
          <w:p w14:paraId="6035C513">
            <w:pPr>
              <w:pStyle w:val="382"/>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现场防火</w:t>
            </w:r>
          </w:p>
        </w:tc>
        <w:tc>
          <w:tcPr>
            <w:tcW w:w="6645" w:type="dxa"/>
            <w:tcBorders>
              <w:top w:val="single" w:color="auto" w:sz="12" w:space="0"/>
              <w:left w:val="single" w:color="auto" w:sz="12" w:space="0"/>
              <w:bottom w:val="single" w:color="auto" w:sz="12" w:space="0"/>
              <w:right w:val="single" w:color="auto" w:sz="12" w:space="0"/>
            </w:tcBorders>
            <w:noWrap w:val="0"/>
            <w:vAlign w:val="center"/>
          </w:tcPr>
          <w:p w14:paraId="1E3F0D0E">
            <w:pPr>
              <w:pStyle w:val="382"/>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消防器材配置合理，符合消防要求。</w:t>
            </w:r>
          </w:p>
        </w:tc>
      </w:tr>
      <w:tr w14:paraId="364467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tcBorders>
              <w:top w:val="single" w:color="auto" w:sz="12" w:space="0"/>
              <w:left w:val="single" w:color="auto" w:sz="12" w:space="0"/>
              <w:bottom w:val="single" w:color="auto" w:sz="12" w:space="0"/>
              <w:right w:val="single" w:color="auto" w:sz="12" w:space="0"/>
            </w:tcBorders>
            <w:noWrap w:val="0"/>
            <w:vAlign w:val="center"/>
          </w:tcPr>
          <w:p w14:paraId="3AB55E64">
            <w:pPr>
              <w:widowControl/>
              <w:jc w:val="left"/>
              <w:rPr>
                <w:rFonts w:ascii="方正仿宋_GBK" w:eastAsia="方正仿宋_GBK"/>
                <w:color w:val="auto"/>
                <w:szCs w:val="21"/>
                <w:highlight w:val="none"/>
              </w:rPr>
            </w:pPr>
          </w:p>
        </w:tc>
        <w:tc>
          <w:tcPr>
            <w:tcW w:w="2070" w:type="dxa"/>
            <w:gridSpan w:val="2"/>
            <w:tcBorders>
              <w:top w:val="single" w:color="auto" w:sz="12" w:space="0"/>
              <w:left w:val="single" w:color="auto" w:sz="12" w:space="0"/>
              <w:bottom w:val="single" w:color="auto" w:sz="12" w:space="0"/>
              <w:right w:val="single" w:color="auto" w:sz="12" w:space="0"/>
            </w:tcBorders>
            <w:noWrap w:val="0"/>
            <w:vAlign w:val="center"/>
          </w:tcPr>
          <w:p w14:paraId="3A1B7103">
            <w:pPr>
              <w:pStyle w:val="382"/>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垃圾清运</w:t>
            </w:r>
          </w:p>
        </w:tc>
        <w:tc>
          <w:tcPr>
            <w:tcW w:w="6645" w:type="dxa"/>
            <w:tcBorders>
              <w:top w:val="single" w:color="auto" w:sz="12" w:space="0"/>
              <w:left w:val="single" w:color="auto" w:sz="12" w:space="0"/>
              <w:bottom w:val="single" w:color="auto" w:sz="12" w:space="0"/>
              <w:right w:val="single" w:color="auto" w:sz="12" w:space="0"/>
            </w:tcBorders>
            <w:noWrap w:val="0"/>
            <w:vAlign w:val="center"/>
          </w:tcPr>
          <w:p w14:paraId="7E8AB3C5">
            <w:pPr>
              <w:pStyle w:val="382"/>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1. 施工现场应设置密闭式垃圾站，施工垃圾、生活垃圾应分类存放。</w:t>
            </w:r>
          </w:p>
          <w:p w14:paraId="51AA7E4A">
            <w:pPr>
              <w:pStyle w:val="382"/>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2. 施工垃圾必须采用相应容器或管道运输。</w:t>
            </w:r>
          </w:p>
        </w:tc>
      </w:tr>
      <w:tr w14:paraId="38A16C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tcBorders>
              <w:top w:val="single" w:color="auto" w:sz="12" w:space="0"/>
              <w:left w:val="single" w:color="auto" w:sz="12" w:space="0"/>
              <w:bottom w:val="single" w:color="auto" w:sz="12" w:space="0"/>
              <w:right w:val="single" w:color="auto" w:sz="12" w:space="0"/>
            </w:tcBorders>
            <w:noWrap w:val="0"/>
            <w:vAlign w:val="center"/>
          </w:tcPr>
          <w:p w14:paraId="1C16CBA3">
            <w:pPr>
              <w:widowControl/>
              <w:jc w:val="left"/>
              <w:rPr>
                <w:rFonts w:ascii="方正仿宋_GBK" w:eastAsia="方正仿宋_GBK"/>
                <w:color w:val="auto"/>
                <w:szCs w:val="21"/>
                <w:highlight w:val="none"/>
              </w:rPr>
            </w:pPr>
          </w:p>
        </w:tc>
        <w:tc>
          <w:tcPr>
            <w:tcW w:w="2070" w:type="dxa"/>
            <w:gridSpan w:val="2"/>
            <w:tcBorders>
              <w:top w:val="single" w:color="auto" w:sz="12" w:space="0"/>
              <w:left w:val="single" w:color="auto" w:sz="12" w:space="0"/>
              <w:bottom w:val="single" w:color="auto" w:sz="12" w:space="0"/>
              <w:right w:val="single" w:color="auto" w:sz="12" w:space="0"/>
            </w:tcBorders>
            <w:noWrap w:val="0"/>
            <w:vAlign w:val="center"/>
          </w:tcPr>
          <w:p w14:paraId="079FF28C">
            <w:pPr>
              <w:pStyle w:val="382"/>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宣传栏、环保及不扰民措施</w:t>
            </w:r>
          </w:p>
        </w:tc>
        <w:tc>
          <w:tcPr>
            <w:tcW w:w="6645" w:type="dxa"/>
            <w:tcBorders>
              <w:top w:val="single" w:color="auto" w:sz="12" w:space="0"/>
              <w:left w:val="single" w:color="auto" w:sz="12" w:space="0"/>
              <w:bottom w:val="single" w:color="auto" w:sz="12" w:space="0"/>
              <w:right w:val="single" w:color="auto" w:sz="12" w:space="0"/>
            </w:tcBorders>
            <w:noWrap w:val="0"/>
            <w:vAlign w:val="center"/>
          </w:tcPr>
          <w:p w14:paraId="1303C9BB">
            <w:pPr>
              <w:pStyle w:val="382"/>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宣传栏、安全宣传标语等，洗车（防止污染市区道路）、粉尘、噪声控制和排污（污水、废气）措施等。</w:t>
            </w:r>
          </w:p>
        </w:tc>
      </w:tr>
      <w:tr w14:paraId="422256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restart"/>
            <w:tcBorders>
              <w:top w:val="single" w:color="auto" w:sz="12" w:space="0"/>
              <w:left w:val="single" w:color="auto" w:sz="12" w:space="0"/>
              <w:bottom w:val="single" w:color="auto" w:sz="12" w:space="0"/>
              <w:right w:val="single" w:color="auto" w:sz="12" w:space="0"/>
            </w:tcBorders>
            <w:noWrap w:val="0"/>
            <w:vAlign w:val="center"/>
          </w:tcPr>
          <w:p w14:paraId="14CC7DB0">
            <w:pPr>
              <w:pStyle w:val="382"/>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临时设施</w:t>
            </w:r>
          </w:p>
        </w:tc>
        <w:tc>
          <w:tcPr>
            <w:tcW w:w="2070" w:type="dxa"/>
            <w:gridSpan w:val="2"/>
            <w:tcBorders>
              <w:top w:val="single" w:color="auto" w:sz="12" w:space="0"/>
              <w:left w:val="single" w:color="auto" w:sz="12" w:space="0"/>
              <w:bottom w:val="single" w:color="auto" w:sz="12" w:space="0"/>
              <w:right w:val="single" w:color="auto" w:sz="12" w:space="0"/>
            </w:tcBorders>
            <w:noWrap w:val="0"/>
            <w:vAlign w:val="center"/>
          </w:tcPr>
          <w:p w14:paraId="43B0E64F">
            <w:pPr>
              <w:pStyle w:val="382"/>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现场办公</w:t>
            </w:r>
          </w:p>
          <w:p w14:paraId="45802466">
            <w:pPr>
              <w:pStyle w:val="382"/>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生活设施</w:t>
            </w:r>
          </w:p>
        </w:tc>
        <w:tc>
          <w:tcPr>
            <w:tcW w:w="6645" w:type="dxa"/>
            <w:tcBorders>
              <w:top w:val="single" w:color="auto" w:sz="12" w:space="0"/>
              <w:left w:val="single" w:color="auto" w:sz="12" w:space="0"/>
              <w:bottom w:val="single" w:color="auto" w:sz="12" w:space="0"/>
              <w:right w:val="single" w:color="auto" w:sz="12" w:space="0"/>
            </w:tcBorders>
            <w:noWrap w:val="0"/>
            <w:vAlign w:val="center"/>
          </w:tcPr>
          <w:p w14:paraId="38BD8FC3">
            <w:pPr>
              <w:pStyle w:val="382"/>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1. 施工现场办公、生活区与作业区分开设置，保持安全距离。</w:t>
            </w:r>
          </w:p>
          <w:p w14:paraId="532E5F44">
            <w:pPr>
              <w:pStyle w:val="382"/>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2. 工地办公室、现场宿舍、食堂、厕所、饮水、沐浴、休息场所等符合卫生、消防安全要求。</w:t>
            </w:r>
          </w:p>
        </w:tc>
      </w:tr>
      <w:tr w14:paraId="77ECC5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38" w:type="dxa"/>
            <w:vMerge w:val="continue"/>
            <w:tcBorders>
              <w:top w:val="single" w:color="auto" w:sz="12" w:space="0"/>
              <w:left w:val="single" w:color="auto" w:sz="12" w:space="0"/>
              <w:bottom w:val="single" w:color="auto" w:sz="12" w:space="0"/>
              <w:right w:val="single" w:color="auto" w:sz="12" w:space="0"/>
            </w:tcBorders>
            <w:noWrap w:val="0"/>
            <w:vAlign w:val="center"/>
          </w:tcPr>
          <w:p w14:paraId="7448E684">
            <w:pPr>
              <w:widowControl/>
              <w:jc w:val="left"/>
              <w:rPr>
                <w:rFonts w:ascii="方正仿宋_GBK" w:eastAsia="方正仿宋_GBK"/>
                <w:color w:val="auto"/>
                <w:szCs w:val="21"/>
                <w:highlight w:val="none"/>
              </w:rPr>
            </w:pPr>
          </w:p>
        </w:tc>
        <w:tc>
          <w:tcPr>
            <w:tcW w:w="525" w:type="dxa"/>
            <w:vMerge w:val="restart"/>
            <w:tcBorders>
              <w:top w:val="single" w:color="auto" w:sz="12" w:space="0"/>
              <w:left w:val="single" w:color="auto" w:sz="12" w:space="0"/>
              <w:bottom w:val="single" w:color="auto" w:sz="12" w:space="0"/>
              <w:right w:val="single" w:color="auto" w:sz="12" w:space="0"/>
            </w:tcBorders>
            <w:noWrap w:val="0"/>
            <w:vAlign w:val="center"/>
          </w:tcPr>
          <w:p w14:paraId="2AA0DFE3">
            <w:pPr>
              <w:pStyle w:val="382"/>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施工现场</w:t>
            </w:r>
          </w:p>
          <w:p w14:paraId="7A55EB4B">
            <w:pPr>
              <w:pStyle w:val="382"/>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临时用电</w:t>
            </w:r>
          </w:p>
        </w:tc>
        <w:tc>
          <w:tcPr>
            <w:tcW w:w="1545" w:type="dxa"/>
            <w:tcBorders>
              <w:top w:val="single" w:color="auto" w:sz="12" w:space="0"/>
              <w:left w:val="single" w:color="auto" w:sz="12" w:space="0"/>
              <w:bottom w:val="single" w:color="auto" w:sz="12" w:space="0"/>
              <w:right w:val="single" w:color="auto" w:sz="12" w:space="0"/>
            </w:tcBorders>
            <w:noWrap w:val="0"/>
            <w:vAlign w:val="center"/>
          </w:tcPr>
          <w:p w14:paraId="1BBC230B">
            <w:pPr>
              <w:pStyle w:val="382"/>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配电线路</w:t>
            </w:r>
          </w:p>
        </w:tc>
        <w:tc>
          <w:tcPr>
            <w:tcW w:w="6645" w:type="dxa"/>
            <w:tcBorders>
              <w:top w:val="single" w:color="auto" w:sz="12" w:space="0"/>
              <w:left w:val="single" w:color="auto" w:sz="12" w:space="0"/>
              <w:bottom w:val="single" w:color="auto" w:sz="12" w:space="0"/>
              <w:right w:val="single" w:color="auto" w:sz="12" w:space="0"/>
            </w:tcBorders>
            <w:noWrap w:val="0"/>
            <w:vAlign w:val="center"/>
          </w:tcPr>
          <w:p w14:paraId="354FFABE">
            <w:pPr>
              <w:pStyle w:val="382"/>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1. 按照TN-S系统要求配备五芯电缆、四芯电缆和三芯电缆。</w:t>
            </w:r>
          </w:p>
          <w:p w14:paraId="059CC343">
            <w:pPr>
              <w:pStyle w:val="382"/>
              <w:spacing w:line="300" w:lineRule="exact"/>
              <w:rPr>
                <w:rFonts w:hint="eastAsia"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2. 按要求架设临时用电线路的电杆、横担、瓷夹、瓷瓶等，或电缆埋地的地沟。</w:t>
            </w:r>
          </w:p>
          <w:p w14:paraId="2D9A5C1B">
            <w:pPr>
              <w:pStyle w:val="382"/>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3. 对靠近施工现场的外电线路，设置木质、塑料等绝缘体的防护设施。</w:t>
            </w:r>
          </w:p>
        </w:tc>
      </w:tr>
      <w:tr w14:paraId="07E5DC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tcBorders>
              <w:top w:val="single" w:color="auto" w:sz="12" w:space="0"/>
              <w:left w:val="single" w:color="auto" w:sz="12" w:space="0"/>
              <w:bottom w:val="single" w:color="auto" w:sz="12" w:space="0"/>
              <w:right w:val="single" w:color="auto" w:sz="12" w:space="0"/>
            </w:tcBorders>
            <w:noWrap w:val="0"/>
            <w:vAlign w:val="center"/>
          </w:tcPr>
          <w:p w14:paraId="6DEF82EE">
            <w:pPr>
              <w:widowControl/>
              <w:jc w:val="left"/>
              <w:rPr>
                <w:rFonts w:ascii="方正仿宋_GBK" w:eastAsia="方正仿宋_GBK"/>
                <w:color w:val="auto"/>
                <w:szCs w:val="21"/>
                <w:highlight w:val="none"/>
              </w:rPr>
            </w:pPr>
          </w:p>
        </w:tc>
        <w:tc>
          <w:tcPr>
            <w:tcW w:w="2070" w:type="dxa"/>
            <w:vMerge w:val="continue"/>
            <w:tcBorders>
              <w:top w:val="single" w:color="auto" w:sz="12" w:space="0"/>
              <w:left w:val="single" w:color="auto" w:sz="12" w:space="0"/>
              <w:bottom w:val="single" w:color="auto" w:sz="12" w:space="0"/>
              <w:right w:val="single" w:color="auto" w:sz="12" w:space="0"/>
            </w:tcBorders>
            <w:noWrap w:val="0"/>
            <w:vAlign w:val="center"/>
          </w:tcPr>
          <w:p w14:paraId="48FE6D6D">
            <w:pPr>
              <w:widowControl/>
              <w:jc w:val="left"/>
              <w:rPr>
                <w:rFonts w:ascii="方正仿宋_GBK" w:eastAsia="方正仿宋_GBK"/>
                <w:color w:val="auto"/>
                <w:szCs w:val="21"/>
                <w:highlight w:val="none"/>
              </w:rPr>
            </w:pPr>
          </w:p>
        </w:tc>
        <w:tc>
          <w:tcPr>
            <w:tcW w:w="1545" w:type="dxa"/>
            <w:tcBorders>
              <w:top w:val="single" w:color="auto" w:sz="12" w:space="0"/>
              <w:left w:val="single" w:color="auto" w:sz="12" w:space="0"/>
              <w:bottom w:val="single" w:color="auto" w:sz="12" w:space="0"/>
              <w:right w:val="single" w:color="auto" w:sz="12" w:space="0"/>
            </w:tcBorders>
            <w:noWrap w:val="0"/>
            <w:vAlign w:val="center"/>
          </w:tcPr>
          <w:p w14:paraId="1E37E21E">
            <w:pPr>
              <w:pStyle w:val="382"/>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配电箱</w:t>
            </w:r>
          </w:p>
          <w:p w14:paraId="2EE23C93">
            <w:pPr>
              <w:pStyle w:val="382"/>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开关箱</w:t>
            </w:r>
          </w:p>
        </w:tc>
        <w:tc>
          <w:tcPr>
            <w:tcW w:w="6645" w:type="dxa"/>
            <w:tcBorders>
              <w:top w:val="single" w:color="auto" w:sz="12" w:space="0"/>
              <w:left w:val="single" w:color="auto" w:sz="12" w:space="0"/>
              <w:bottom w:val="single" w:color="auto" w:sz="12" w:space="0"/>
              <w:right w:val="single" w:color="auto" w:sz="12" w:space="0"/>
            </w:tcBorders>
            <w:noWrap w:val="0"/>
            <w:vAlign w:val="center"/>
          </w:tcPr>
          <w:p w14:paraId="018AEC6A">
            <w:pPr>
              <w:pStyle w:val="382"/>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1. 按三级配电要求，配备总配电箱、分配电箱、开关箱三类（铁质）标准电箱，开关箱应符合“一机、一箱、一闸、一漏”，三类电箱中的各类电器应是合格品。</w:t>
            </w:r>
          </w:p>
          <w:p w14:paraId="461991CF">
            <w:pPr>
              <w:pStyle w:val="382"/>
              <w:spacing w:line="300" w:lineRule="exact"/>
              <w:rPr>
                <w:rFonts w:hint="eastAsia"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2. 按两级保护的要求，选取符合容量要求和质量合格的总配电箱和开关箱中的漏电保护器。</w:t>
            </w:r>
          </w:p>
          <w:p w14:paraId="21500814">
            <w:pPr>
              <w:pStyle w:val="382"/>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3. 对大型、落地式分配电箱、开关箱设置防护棚和通透式围挡。</w:t>
            </w:r>
          </w:p>
        </w:tc>
      </w:tr>
      <w:tr w14:paraId="00F307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738" w:type="dxa"/>
            <w:vMerge w:val="continue"/>
            <w:tcBorders>
              <w:top w:val="single" w:color="auto" w:sz="12" w:space="0"/>
              <w:left w:val="single" w:color="auto" w:sz="12" w:space="0"/>
              <w:bottom w:val="single" w:color="auto" w:sz="12" w:space="0"/>
              <w:right w:val="single" w:color="auto" w:sz="12" w:space="0"/>
            </w:tcBorders>
            <w:noWrap w:val="0"/>
            <w:vAlign w:val="center"/>
          </w:tcPr>
          <w:p w14:paraId="3892C948">
            <w:pPr>
              <w:widowControl/>
              <w:jc w:val="left"/>
              <w:rPr>
                <w:rFonts w:ascii="方正仿宋_GBK" w:eastAsia="方正仿宋_GBK"/>
                <w:color w:val="auto"/>
                <w:szCs w:val="21"/>
                <w:highlight w:val="none"/>
              </w:rPr>
            </w:pPr>
          </w:p>
        </w:tc>
        <w:tc>
          <w:tcPr>
            <w:tcW w:w="2070" w:type="dxa"/>
            <w:vMerge w:val="continue"/>
            <w:tcBorders>
              <w:top w:val="single" w:color="auto" w:sz="12" w:space="0"/>
              <w:left w:val="single" w:color="auto" w:sz="12" w:space="0"/>
              <w:bottom w:val="single" w:color="auto" w:sz="12" w:space="0"/>
              <w:right w:val="single" w:color="auto" w:sz="12" w:space="0"/>
            </w:tcBorders>
            <w:noWrap w:val="0"/>
            <w:vAlign w:val="center"/>
          </w:tcPr>
          <w:p w14:paraId="30939A8A">
            <w:pPr>
              <w:widowControl/>
              <w:jc w:val="left"/>
              <w:rPr>
                <w:rFonts w:ascii="方正仿宋_GBK" w:eastAsia="方正仿宋_GBK"/>
                <w:color w:val="auto"/>
                <w:szCs w:val="21"/>
                <w:highlight w:val="none"/>
              </w:rPr>
            </w:pPr>
          </w:p>
        </w:tc>
        <w:tc>
          <w:tcPr>
            <w:tcW w:w="1545" w:type="dxa"/>
            <w:tcBorders>
              <w:top w:val="single" w:color="auto" w:sz="12" w:space="0"/>
              <w:left w:val="single" w:color="auto" w:sz="12" w:space="0"/>
              <w:bottom w:val="single" w:color="auto" w:sz="12" w:space="0"/>
              <w:right w:val="single" w:color="auto" w:sz="12" w:space="0"/>
            </w:tcBorders>
            <w:noWrap w:val="0"/>
            <w:vAlign w:val="center"/>
          </w:tcPr>
          <w:p w14:paraId="4682D52A">
            <w:pPr>
              <w:pStyle w:val="382"/>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接地装置</w:t>
            </w:r>
          </w:p>
        </w:tc>
        <w:tc>
          <w:tcPr>
            <w:tcW w:w="6645" w:type="dxa"/>
            <w:tcBorders>
              <w:top w:val="single" w:color="auto" w:sz="12" w:space="0"/>
              <w:left w:val="single" w:color="auto" w:sz="12" w:space="0"/>
              <w:bottom w:val="single" w:color="auto" w:sz="12" w:space="0"/>
              <w:right w:val="single" w:color="auto" w:sz="12" w:space="0"/>
            </w:tcBorders>
            <w:noWrap w:val="0"/>
            <w:vAlign w:val="center"/>
          </w:tcPr>
          <w:p w14:paraId="5B82F515">
            <w:pPr>
              <w:pStyle w:val="382"/>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施工现场应设置不少于三处的重复接地装置。</w:t>
            </w:r>
          </w:p>
        </w:tc>
      </w:tr>
      <w:tr w14:paraId="23872A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738" w:type="dxa"/>
            <w:vMerge w:val="continue"/>
            <w:tcBorders>
              <w:top w:val="single" w:color="auto" w:sz="12" w:space="0"/>
              <w:left w:val="single" w:color="auto" w:sz="12" w:space="0"/>
              <w:bottom w:val="single" w:color="auto" w:sz="12" w:space="0"/>
              <w:right w:val="single" w:color="auto" w:sz="12" w:space="0"/>
            </w:tcBorders>
            <w:noWrap w:val="0"/>
            <w:vAlign w:val="center"/>
          </w:tcPr>
          <w:p w14:paraId="21632D14">
            <w:pPr>
              <w:widowControl/>
              <w:jc w:val="left"/>
              <w:rPr>
                <w:rFonts w:ascii="方正仿宋_GBK" w:eastAsia="方正仿宋_GBK"/>
                <w:color w:val="auto"/>
                <w:szCs w:val="21"/>
                <w:highlight w:val="none"/>
              </w:rPr>
            </w:pPr>
          </w:p>
        </w:tc>
        <w:tc>
          <w:tcPr>
            <w:tcW w:w="2070" w:type="dxa"/>
            <w:vMerge w:val="continue"/>
            <w:tcBorders>
              <w:top w:val="single" w:color="auto" w:sz="12" w:space="0"/>
              <w:left w:val="single" w:color="auto" w:sz="12" w:space="0"/>
              <w:bottom w:val="single" w:color="auto" w:sz="12" w:space="0"/>
              <w:right w:val="single" w:color="auto" w:sz="12" w:space="0"/>
            </w:tcBorders>
            <w:noWrap w:val="0"/>
            <w:vAlign w:val="center"/>
          </w:tcPr>
          <w:p w14:paraId="2424CC70">
            <w:pPr>
              <w:widowControl/>
              <w:jc w:val="left"/>
              <w:rPr>
                <w:rFonts w:ascii="方正仿宋_GBK" w:eastAsia="方正仿宋_GBK"/>
                <w:color w:val="auto"/>
                <w:szCs w:val="21"/>
                <w:highlight w:val="none"/>
              </w:rPr>
            </w:pPr>
          </w:p>
        </w:tc>
        <w:tc>
          <w:tcPr>
            <w:tcW w:w="1545" w:type="dxa"/>
            <w:tcBorders>
              <w:top w:val="single" w:color="auto" w:sz="12" w:space="0"/>
              <w:left w:val="single" w:color="auto" w:sz="12" w:space="0"/>
              <w:bottom w:val="single" w:color="auto" w:sz="12" w:space="0"/>
              <w:right w:val="single" w:color="auto" w:sz="12" w:space="0"/>
            </w:tcBorders>
            <w:noWrap w:val="0"/>
            <w:vAlign w:val="center"/>
          </w:tcPr>
          <w:p w14:paraId="2C975DBB">
            <w:pPr>
              <w:pStyle w:val="382"/>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现场变配电装置</w:t>
            </w:r>
          </w:p>
        </w:tc>
        <w:tc>
          <w:tcPr>
            <w:tcW w:w="6645" w:type="dxa"/>
            <w:tcBorders>
              <w:top w:val="single" w:color="auto" w:sz="12" w:space="0"/>
              <w:left w:val="single" w:color="auto" w:sz="12" w:space="0"/>
              <w:bottom w:val="single" w:color="auto" w:sz="12" w:space="0"/>
              <w:right w:val="single" w:color="auto" w:sz="12" w:space="0"/>
            </w:tcBorders>
            <w:noWrap w:val="0"/>
            <w:vAlign w:val="center"/>
          </w:tcPr>
          <w:p w14:paraId="12F86F13">
            <w:pPr>
              <w:pStyle w:val="382"/>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总配电房建筑材料必须达到消防防火要求，室内做硬地坪、电缆沟。</w:t>
            </w:r>
          </w:p>
        </w:tc>
      </w:tr>
      <w:tr w14:paraId="2CD525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38" w:type="dxa"/>
            <w:tcBorders>
              <w:top w:val="single" w:color="auto" w:sz="12" w:space="0"/>
              <w:left w:val="single" w:color="auto" w:sz="12" w:space="0"/>
              <w:bottom w:val="single" w:color="auto" w:sz="12" w:space="0"/>
              <w:right w:val="single" w:color="auto" w:sz="12" w:space="0"/>
            </w:tcBorders>
            <w:noWrap w:val="0"/>
            <w:vAlign w:val="center"/>
          </w:tcPr>
          <w:p w14:paraId="7A312643">
            <w:pPr>
              <w:pStyle w:val="382"/>
              <w:spacing w:line="300" w:lineRule="exact"/>
              <w:jc w:val="center"/>
              <w:rPr>
                <w:rFonts w:ascii="方正仿宋_GBK" w:hAnsi="Times New Roman" w:eastAsia="方正仿宋_GBK"/>
                <w:b/>
                <w:bCs/>
                <w:color w:val="auto"/>
                <w:szCs w:val="21"/>
                <w:highlight w:val="none"/>
              </w:rPr>
            </w:pPr>
            <w:r>
              <w:rPr>
                <w:rFonts w:hint="eastAsia" w:ascii="方正仿宋_GBK" w:hAnsi="Times New Roman" w:eastAsia="方正仿宋_GBK" w:cs="方正仿宋_GBK"/>
                <w:b/>
                <w:bCs/>
                <w:color w:val="auto"/>
                <w:szCs w:val="21"/>
                <w:highlight w:val="none"/>
              </w:rPr>
              <w:t>类别</w:t>
            </w:r>
          </w:p>
        </w:tc>
        <w:tc>
          <w:tcPr>
            <w:tcW w:w="2070" w:type="dxa"/>
            <w:gridSpan w:val="2"/>
            <w:tcBorders>
              <w:top w:val="single" w:color="auto" w:sz="12" w:space="0"/>
              <w:left w:val="single" w:color="auto" w:sz="12" w:space="0"/>
              <w:bottom w:val="single" w:color="auto" w:sz="12" w:space="0"/>
              <w:right w:val="single" w:color="auto" w:sz="12" w:space="0"/>
            </w:tcBorders>
            <w:noWrap w:val="0"/>
            <w:vAlign w:val="center"/>
          </w:tcPr>
          <w:p w14:paraId="398F7530">
            <w:pPr>
              <w:pStyle w:val="382"/>
              <w:spacing w:line="300" w:lineRule="exact"/>
              <w:jc w:val="center"/>
              <w:rPr>
                <w:rFonts w:ascii="方正仿宋_GBK" w:hAnsi="Times New Roman" w:eastAsia="方正仿宋_GBK"/>
                <w:b/>
                <w:bCs/>
                <w:color w:val="auto"/>
                <w:szCs w:val="21"/>
                <w:highlight w:val="none"/>
              </w:rPr>
            </w:pPr>
            <w:r>
              <w:rPr>
                <w:rFonts w:hint="eastAsia" w:ascii="方正仿宋_GBK" w:hAnsi="Times New Roman" w:eastAsia="方正仿宋_GBK" w:cs="方正仿宋_GBK"/>
                <w:b/>
                <w:bCs/>
                <w:color w:val="auto"/>
                <w:szCs w:val="21"/>
                <w:highlight w:val="none"/>
              </w:rPr>
              <w:t>项目名称</w:t>
            </w:r>
          </w:p>
        </w:tc>
        <w:tc>
          <w:tcPr>
            <w:tcW w:w="6645" w:type="dxa"/>
            <w:tcBorders>
              <w:top w:val="single" w:color="auto" w:sz="12" w:space="0"/>
              <w:left w:val="single" w:color="auto" w:sz="12" w:space="0"/>
              <w:bottom w:val="single" w:color="auto" w:sz="12" w:space="0"/>
              <w:right w:val="single" w:color="auto" w:sz="12" w:space="0"/>
            </w:tcBorders>
            <w:noWrap w:val="0"/>
            <w:vAlign w:val="center"/>
          </w:tcPr>
          <w:p w14:paraId="56E3A34E">
            <w:pPr>
              <w:pStyle w:val="382"/>
              <w:spacing w:line="300" w:lineRule="exact"/>
              <w:jc w:val="center"/>
              <w:rPr>
                <w:rFonts w:ascii="方正仿宋_GBK" w:hAnsi="Times New Roman" w:eastAsia="方正仿宋_GBK"/>
                <w:b/>
                <w:bCs/>
                <w:color w:val="auto"/>
                <w:szCs w:val="21"/>
                <w:highlight w:val="none"/>
              </w:rPr>
            </w:pPr>
            <w:r>
              <w:rPr>
                <w:rFonts w:hint="eastAsia" w:ascii="方正仿宋_GBK" w:hAnsi="Times New Roman" w:eastAsia="方正仿宋_GBK" w:cs="方正仿宋_GBK"/>
                <w:b/>
                <w:bCs/>
                <w:color w:val="auto"/>
                <w:szCs w:val="21"/>
                <w:highlight w:val="none"/>
              </w:rPr>
              <w:t>主要内容和要求</w:t>
            </w:r>
          </w:p>
        </w:tc>
      </w:tr>
      <w:tr w14:paraId="704F26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restart"/>
            <w:tcBorders>
              <w:top w:val="single" w:color="auto" w:sz="12" w:space="0"/>
              <w:left w:val="single" w:color="auto" w:sz="12" w:space="0"/>
              <w:bottom w:val="single" w:color="auto" w:sz="12" w:space="0"/>
              <w:right w:val="single" w:color="auto" w:sz="12" w:space="0"/>
            </w:tcBorders>
            <w:noWrap w:val="0"/>
            <w:vAlign w:val="center"/>
          </w:tcPr>
          <w:p w14:paraId="372C5BFE">
            <w:pPr>
              <w:pStyle w:val="382"/>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安全施工</w:t>
            </w:r>
          </w:p>
        </w:tc>
        <w:tc>
          <w:tcPr>
            <w:tcW w:w="525" w:type="dxa"/>
            <w:vMerge w:val="restart"/>
            <w:tcBorders>
              <w:top w:val="single" w:color="auto" w:sz="12" w:space="0"/>
              <w:left w:val="single" w:color="auto" w:sz="12" w:space="0"/>
              <w:bottom w:val="single" w:color="auto" w:sz="12" w:space="0"/>
              <w:right w:val="single" w:color="auto" w:sz="12" w:space="0"/>
            </w:tcBorders>
            <w:noWrap w:val="0"/>
            <w:vAlign w:val="center"/>
          </w:tcPr>
          <w:p w14:paraId="38C0C7C7">
            <w:pPr>
              <w:pStyle w:val="382"/>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高处作业防护</w:t>
            </w:r>
          </w:p>
        </w:tc>
        <w:tc>
          <w:tcPr>
            <w:tcW w:w="1545" w:type="dxa"/>
            <w:tcBorders>
              <w:top w:val="single" w:color="auto" w:sz="12" w:space="0"/>
              <w:left w:val="single" w:color="auto" w:sz="12" w:space="0"/>
              <w:bottom w:val="single" w:color="auto" w:sz="12" w:space="0"/>
              <w:right w:val="single" w:color="auto" w:sz="12" w:space="0"/>
            </w:tcBorders>
            <w:noWrap w:val="0"/>
            <w:vAlign w:val="center"/>
          </w:tcPr>
          <w:p w14:paraId="7C1118A4">
            <w:pPr>
              <w:pStyle w:val="382"/>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楼层、屋面、阳台等临边</w:t>
            </w:r>
          </w:p>
        </w:tc>
        <w:tc>
          <w:tcPr>
            <w:tcW w:w="6645" w:type="dxa"/>
            <w:tcBorders>
              <w:top w:val="single" w:color="auto" w:sz="12" w:space="0"/>
              <w:left w:val="single" w:color="auto" w:sz="12" w:space="0"/>
              <w:bottom w:val="single" w:color="auto" w:sz="12" w:space="0"/>
              <w:right w:val="single" w:color="auto" w:sz="12" w:space="0"/>
            </w:tcBorders>
            <w:noWrap w:val="0"/>
            <w:vAlign w:val="center"/>
          </w:tcPr>
          <w:p w14:paraId="6CCF6B7A">
            <w:pPr>
              <w:pStyle w:val="382"/>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设两道防护栏杆和18cm高的踢脚板，用密目式安全立网全封闭。</w:t>
            </w:r>
          </w:p>
        </w:tc>
      </w:tr>
      <w:tr w14:paraId="13214A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tcBorders>
              <w:top w:val="single" w:color="auto" w:sz="12" w:space="0"/>
              <w:left w:val="single" w:color="auto" w:sz="12" w:space="0"/>
              <w:bottom w:val="single" w:color="auto" w:sz="12" w:space="0"/>
              <w:right w:val="single" w:color="auto" w:sz="12" w:space="0"/>
            </w:tcBorders>
            <w:noWrap w:val="0"/>
            <w:vAlign w:val="center"/>
          </w:tcPr>
          <w:p w14:paraId="180525A8">
            <w:pPr>
              <w:widowControl/>
              <w:jc w:val="left"/>
              <w:rPr>
                <w:rFonts w:ascii="方正仿宋_GBK" w:eastAsia="方正仿宋_GBK"/>
                <w:color w:val="auto"/>
                <w:szCs w:val="21"/>
                <w:highlight w:val="none"/>
              </w:rPr>
            </w:pPr>
          </w:p>
        </w:tc>
        <w:tc>
          <w:tcPr>
            <w:tcW w:w="2070" w:type="dxa"/>
            <w:vMerge w:val="continue"/>
            <w:tcBorders>
              <w:top w:val="single" w:color="auto" w:sz="12" w:space="0"/>
              <w:left w:val="single" w:color="auto" w:sz="12" w:space="0"/>
              <w:bottom w:val="single" w:color="auto" w:sz="12" w:space="0"/>
              <w:right w:val="single" w:color="auto" w:sz="12" w:space="0"/>
            </w:tcBorders>
            <w:noWrap w:val="0"/>
            <w:vAlign w:val="center"/>
          </w:tcPr>
          <w:p w14:paraId="4F4C9509">
            <w:pPr>
              <w:widowControl/>
              <w:jc w:val="left"/>
              <w:rPr>
                <w:rFonts w:ascii="方正仿宋_GBK" w:eastAsia="方正仿宋_GBK"/>
                <w:color w:val="auto"/>
                <w:szCs w:val="21"/>
                <w:highlight w:val="none"/>
              </w:rPr>
            </w:pPr>
          </w:p>
        </w:tc>
        <w:tc>
          <w:tcPr>
            <w:tcW w:w="1545" w:type="dxa"/>
            <w:tcBorders>
              <w:top w:val="single" w:color="auto" w:sz="12" w:space="0"/>
              <w:left w:val="single" w:color="auto" w:sz="12" w:space="0"/>
              <w:bottom w:val="single" w:color="auto" w:sz="12" w:space="0"/>
              <w:right w:val="single" w:color="auto" w:sz="12" w:space="0"/>
            </w:tcBorders>
            <w:noWrap w:val="0"/>
            <w:vAlign w:val="center"/>
          </w:tcPr>
          <w:p w14:paraId="3D5F9763">
            <w:pPr>
              <w:pStyle w:val="382"/>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通道口</w:t>
            </w:r>
          </w:p>
        </w:tc>
        <w:tc>
          <w:tcPr>
            <w:tcW w:w="6645" w:type="dxa"/>
            <w:tcBorders>
              <w:top w:val="single" w:color="auto" w:sz="12" w:space="0"/>
              <w:left w:val="single" w:color="auto" w:sz="12" w:space="0"/>
              <w:bottom w:val="single" w:color="auto" w:sz="12" w:space="0"/>
              <w:right w:val="single" w:color="auto" w:sz="12" w:space="0"/>
            </w:tcBorders>
            <w:noWrap w:val="0"/>
            <w:vAlign w:val="center"/>
          </w:tcPr>
          <w:p w14:paraId="4255EB4A">
            <w:pPr>
              <w:pStyle w:val="382"/>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设防护棚，防护棚应为不小于5cm厚的木板或两道相距50cm的竹笆。两侧应沿栏杆架用密目式安全网封闭。</w:t>
            </w:r>
          </w:p>
        </w:tc>
      </w:tr>
      <w:tr w14:paraId="38FB06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tcBorders>
              <w:top w:val="single" w:color="auto" w:sz="12" w:space="0"/>
              <w:left w:val="single" w:color="auto" w:sz="12" w:space="0"/>
              <w:bottom w:val="single" w:color="auto" w:sz="12" w:space="0"/>
              <w:right w:val="single" w:color="auto" w:sz="12" w:space="0"/>
            </w:tcBorders>
            <w:noWrap w:val="0"/>
            <w:vAlign w:val="center"/>
          </w:tcPr>
          <w:p w14:paraId="62F0C7D4">
            <w:pPr>
              <w:widowControl/>
              <w:jc w:val="left"/>
              <w:rPr>
                <w:rFonts w:ascii="方正仿宋_GBK" w:eastAsia="方正仿宋_GBK"/>
                <w:color w:val="auto"/>
                <w:szCs w:val="21"/>
                <w:highlight w:val="none"/>
              </w:rPr>
            </w:pPr>
          </w:p>
        </w:tc>
        <w:tc>
          <w:tcPr>
            <w:tcW w:w="2070" w:type="dxa"/>
            <w:vMerge w:val="continue"/>
            <w:tcBorders>
              <w:top w:val="single" w:color="auto" w:sz="12" w:space="0"/>
              <w:left w:val="single" w:color="auto" w:sz="12" w:space="0"/>
              <w:bottom w:val="single" w:color="auto" w:sz="12" w:space="0"/>
              <w:right w:val="single" w:color="auto" w:sz="12" w:space="0"/>
            </w:tcBorders>
            <w:noWrap w:val="0"/>
            <w:vAlign w:val="center"/>
          </w:tcPr>
          <w:p w14:paraId="30F5918D">
            <w:pPr>
              <w:widowControl/>
              <w:jc w:val="left"/>
              <w:rPr>
                <w:rFonts w:ascii="方正仿宋_GBK" w:eastAsia="方正仿宋_GBK"/>
                <w:color w:val="auto"/>
                <w:szCs w:val="21"/>
                <w:highlight w:val="none"/>
              </w:rPr>
            </w:pPr>
          </w:p>
        </w:tc>
        <w:tc>
          <w:tcPr>
            <w:tcW w:w="1545" w:type="dxa"/>
            <w:tcBorders>
              <w:top w:val="single" w:color="auto" w:sz="12" w:space="0"/>
              <w:left w:val="single" w:color="auto" w:sz="12" w:space="0"/>
              <w:bottom w:val="single" w:color="auto" w:sz="12" w:space="0"/>
              <w:right w:val="single" w:color="auto" w:sz="12" w:space="0"/>
            </w:tcBorders>
            <w:noWrap w:val="0"/>
            <w:vAlign w:val="center"/>
          </w:tcPr>
          <w:p w14:paraId="18A14168">
            <w:pPr>
              <w:pStyle w:val="382"/>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预留洞口</w:t>
            </w:r>
          </w:p>
        </w:tc>
        <w:tc>
          <w:tcPr>
            <w:tcW w:w="6645" w:type="dxa"/>
            <w:tcBorders>
              <w:top w:val="single" w:color="auto" w:sz="12" w:space="0"/>
              <w:left w:val="single" w:color="auto" w:sz="12" w:space="0"/>
              <w:bottom w:val="single" w:color="auto" w:sz="12" w:space="0"/>
              <w:right w:val="single" w:color="auto" w:sz="12" w:space="0"/>
            </w:tcBorders>
            <w:noWrap w:val="0"/>
            <w:vAlign w:val="center"/>
          </w:tcPr>
          <w:p w14:paraId="1C5DDA3C">
            <w:pPr>
              <w:pStyle w:val="382"/>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用硬质材料全封闭，短边超过1.5m长的洞口，除封闭外四周还应设有防护栏杆。</w:t>
            </w:r>
          </w:p>
        </w:tc>
      </w:tr>
      <w:tr w14:paraId="53F0F8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38" w:type="dxa"/>
            <w:vMerge w:val="continue"/>
            <w:tcBorders>
              <w:top w:val="single" w:color="auto" w:sz="12" w:space="0"/>
              <w:left w:val="single" w:color="auto" w:sz="12" w:space="0"/>
              <w:bottom w:val="single" w:color="auto" w:sz="12" w:space="0"/>
              <w:right w:val="single" w:color="auto" w:sz="12" w:space="0"/>
            </w:tcBorders>
            <w:noWrap w:val="0"/>
            <w:vAlign w:val="center"/>
          </w:tcPr>
          <w:p w14:paraId="0337E076">
            <w:pPr>
              <w:widowControl/>
              <w:jc w:val="left"/>
              <w:rPr>
                <w:rFonts w:ascii="方正仿宋_GBK" w:eastAsia="方正仿宋_GBK"/>
                <w:color w:val="auto"/>
                <w:szCs w:val="21"/>
                <w:highlight w:val="none"/>
              </w:rPr>
            </w:pPr>
          </w:p>
        </w:tc>
        <w:tc>
          <w:tcPr>
            <w:tcW w:w="2070" w:type="dxa"/>
            <w:vMerge w:val="continue"/>
            <w:tcBorders>
              <w:top w:val="single" w:color="auto" w:sz="12" w:space="0"/>
              <w:left w:val="single" w:color="auto" w:sz="12" w:space="0"/>
              <w:bottom w:val="single" w:color="auto" w:sz="12" w:space="0"/>
              <w:right w:val="single" w:color="auto" w:sz="12" w:space="0"/>
            </w:tcBorders>
            <w:noWrap w:val="0"/>
            <w:vAlign w:val="center"/>
          </w:tcPr>
          <w:p w14:paraId="3BDFC694">
            <w:pPr>
              <w:widowControl/>
              <w:jc w:val="left"/>
              <w:rPr>
                <w:rFonts w:ascii="方正仿宋_GBK" w:eastAsia="方正仿宋_GBK"/>
                <w:color w:val="auto"/>
                <w:szCs w:val="21"/>
                <w:highlight w:val="none"/>
              </w:rPr>
            </w:pPr>
          </w:p>
        </w:tc>
        <w:tc>
          <w:tcPr>
            <w:tcW w:w="1545" w:type="dxa"/>
            <w:tcBorders>
              <w:top w:val="single" w:color="auto" w:sz="12" w:space="0"/>
              <w:left w:val="single" w:color="auto" w:sz="12" w:space="0"/>
              <w:bottom w:val="single" w:color="auto" w:sz="12" w:space="0"/>
              <w:right w:val="single" w:color="auto" w:sz="12" w:space="0"/>
            </w:tcBorders>
            <w:noWrap w:val="0"/>
            <w:vAlign w:val="center"/>
          </w:tcPr>
          <w:p w14:paraId="7E32CBE9">
            <w:pPr>
              <w:pStyle w:val="382"/>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电梯井口</w:t>
            </w:r>
          </w:p>
        </w:tc>
        <w:tc>
          <w:tcPr>
            <w:tcW w:w="6645" w:type="dxa"/>
            <w:tcBorders>
              <w:top w:val="single" w:color="auto" w:sz="12" w:space="0"/>
              <w:left w:val="single" w:color="auto" w:sz="12" w:space="0"/>
              <w:bottom w:val="single" w:color="auto" w:sz="12" w:space="0"/>
              <w:right w:val="single" w:color="auto" w:sz="12" w:space="0"/>
            </w:tcBorders>
            <w:noWrap w:val="0"/>
            <w:vAlign w:val="center"/>
          </w:tcPr>
          <w:p w14:paraId="6C0F6E3A">
            <w:pPr>
              <w:pStyle w:val="382"/>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设置定型化、工具化的防护门，在电梯井内每隔2层（不大于10m）设置一道水平防护。</w:t>
            </w:r>
          </w:p>
        </w:tc>
      </w:tr>
      <w:tr w14:paraId="6E93D8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tcBorders>
              <w:top w:val="single" w:color="auto" w:sz="12" w:space="0"/>
              <w:left w:val="single" w:color="auto" w:sz="12" w:space="0"/>
              <w:bottom w:val="single" w:color="auto" w:sz="12" w:space="0"/>
              <w:right w:val="single" w:color="auto" w:sz="12" w:space="0"/>
            </w:tcBorders>
            <w:noWrap w:val="0"/>
            <w:vAlign w:val="center"/>
          </w:tcPr>
          <w:p w14:paraId="280BD361">
            <w:pPr>
              <w:widowControl/>
              <w:jc w:val="left"/>
              <w:rPr>
                <w:rFonts w:ascii="方正仿宋_GBK" w:eastAsia="方正仿宋_GBK"/>
                <w:color w:val="auto"/>
                <w:szCs w:val="21"/>
                <w:highlight w:val="none"/>
              </w:rPr>
            </w:pPr>
          </w:p>
        </w:tc>
        <w:tc>
          <w:tcPr>
            <w:tcW w:w="2070" w:type="dxa"/>
            <w:vMerge w:val="continue"/>
            <w:tcBorders>
              <w:top w:val="single" w:color="auto" w:sz="12" w:space="0"/>
              <w:left w:val="single" w:color="auto" w:sz="12" w:space="0"/>
              <w:bottom w:val="single" w:color="auto" w:sz="12" w:space="0"/>
              <w:right w:val="single" w:color="auto" w:sz="12" w:space="0"/>
            </w:tcBorders>
            <w:noWrap w:val="0"/>
            <w:vAlign w:val="center"/>
          </w:tcPr>
          <w:p w14:paraId="2F9BCCF1">
            <w:pPr>
              <w:widowControl/>
              <w:jc w:val="left"/>
              <w:rPr>
                <w:rFonts w:ascii="方正仿宋_GBK" w:eastAsia="方正仿宋_GBK"/>
                <w:color w:val="auto"/>
                <w:szCs w:val="21"/>
                <w:highlight w:val="none"/>
              </w:rPr>
            </w:pPr>
          </w:p>
        </w:tc>
        <w:tc>
          <w:tcPr>
            <w:tcW w:w="1545" w:type="dxa"/>
            <w:tcBorders>
              <w:top w:val="single" w:color="auto" w:sz="12" w:space="0"/>
              <w:left w:val="single" w:color="auto" w:sz="12" w:space="0"/>
              <w:bottom w:val="single" w:color="auto" w:sz="12" w:space="0"/>
              <w:right w:val="single" w:color="auto" w:sz="12" w:space="0"/>
            </w:tcBorders>
            <w:noWrap w:val="0"/>
            <w:vAlign w:val="center"/>
          </w:tcPr>
          <w:p w14:paraId="31200894">
            <w:pPr>
              <w:pStyle w:val="382"/>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楼梯边</w:t>
            </w:r>
          </w:p>
        </w:tc>
        <w:tc>
          <w:tcPr>
            <w:tcW w:w="6645" w:type="dxa"/>
            <w:tcBorders>
              <w:top w:val="single" w:color="auto" w:sz="12" w:space="0"/>
              <w:left w:val="single" w:color="auto" w:sz="12" w:space="0"/>
              <w:bottom w:val="single" w:color="auto" w:sz="12" w:space="0"/>
              <w:right w:val="single" w:color="auto" w:sz="12" w:space="0"/>
            </w:tcBorders>
            <w:noWrap w:val="0"/>
            <w:vAlign w:val="center"/>
          </w:tcPr>
          <w:p w14:paraId="68364BBD">
            <w:pPr>
              <w:pStyle w:val="382"/>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设1.2m高的定型化、工具化的防护栏，18cm高的踢脚板。</w:t>
            </w:r>
          </w:p>
        </w:tc>
      </w:tr>
      <w:tr w14:paraId="37F823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tcBorders>
              <w:top w:val="single" w:color="auto" w:sz="12" w:space="0"/>
              <w:left w:val="single" w:color="auto" w:sz="12" w:space="0"/>
              <w:bottom w:val="single" w:color="auto" w:sz="12" w:space="0"/>
              <w:right w:val="single" w:color="auto" w:sz="12" w:space="0"/>
            </w:tcBorders>
            <w:noWrap w:val="0"/>
            <w:vAlign w:val="center"/>
          </w:tcPr>
          <w:p w14:paraId="48C55A2D">
            <w:pPr>
              <w:widowControl/>
              <w:jc w:val="left"/>
              <w:rPr>
                <w:rFonts w:ascii="方正仿宋_GBK" w:eastAsia="方正仿宋_GBK"/>
                <w:color w:val="auto"/>
                <w:szCs w:val="21"/>
                <w:highlight w:val="none"/>
              </w:rPr>
            </w:pPr>
          </w:p>
        </w:tc>
        <w:tc>
          <w:tcPr>
            <w:tcW w:w="2070" w:type="dxa"/>
            <w:vMerge w:val="continue"/>
            <w:tcBorders>
              <w:top w:val="single" w:color="auto" w:sz="12" w:space="0"/>
              <w:left w:val="single" w:color="auto" w:sz="12" w:space="0"/>
              <w:bottom w:val="single" w:color="auto" w:sz="12" w:space="0"/>
              <w:right w:val="single" w:color="auto" w:sz="12" w:space="0"/>
            </w:tcBorders>
            <w:noWrap w:val="0"/>
            <w:vAlign w:val="center"/>
          </w:tcPr>
          <w:p w14:paraId="1FD46BA1">
            <w:pPr>
              <w:widowControl/>
              <w:jc w:val="left"/>
              <w:rPr>
                <w:rFonts w:ascii="方正仿宋_GBK" w:eastAsia="方正仿宋_GBK"/>
                <w:color w:val="auto"/>
                <w:szCs w:val="21"/>
                <w:highlight w:val="none"/>
              </w:rPr>
            </w:pPr>
          </w:p>
        </w:tc>
        <w:tc>
          <w:tcPr>
            <w:tcW w:w="1545" w:type="dxa"/>
            <w:tcBorders>
              <w:top w:val="single" w:color="auto" w:sz="12" w:space="0"/>
              <w:left w:val="single" w:color="auto" w:sz="12" w:space="0"/>
              <w:bottom w:val="single" w:color="auto" w:sz="12" w:space="0"/>
              <w:right w:val="single" w:color="auto" w:sz="12" w:space="0"/>
            </w:tcBorders>
            <w:noWrap w:val="0"/>
            <w:vAlign w:val="center"/>
          </w:tcPr>
          <w:p w14:paraId="042BA0FC">
            <w:pPr>
              <w:pStyle w:val="382"/>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垂直方向交叉作业</w:t>
            </w:r>
          </w:p>
        </w:tc>
        <w:tc>
          <w:tcPr>
            <w:tcW w:w="6645" w:type="dxa"/>
            <w:tcBorders>
              <w:top w:val="single" w:color="auto" w:sz="12" w:space="0"/>
              <w:left w:val="single" w:color="auto" w:sz="12" w:space="0"/>
              <w:bottom w:val="single" w:color="auto" w:sz="12" w:space="0"/>
              <w:right w:val="single" w:color="auto" w:sz="12" w:space="0"/>
            </w:tcBorders>
            <w:noWrap w:val="0"/>
            <w:vAlign w:val="center"/>
          </w:tcPr>
          <w:p w14:paraId="60FC2479">
            <w:pPr>
              <w:pStyle w:val="382"/>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设置防护隔离棚或其它设施。</w:t>
            </w:r>
          </w:p>
        </w:tc>
      </w:tr>
      <w:tr w14:paraId="5E16F5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tcBorders>
              <w:top w:val="single" w:color="auto" w:sz="12" w:space="0"/>
              <w:left w:val="single" w:color="auto" w:sz="12" w:space="0"/>
              <w:bottom w:val="single" w:color="auto" w:sz="12" w:space="0"/>
              <w:right w:val="single" w:color="auto" w:sz="12" w:space="0"/>
            </w:tcBorders>
            <w:noWrap w:val="0"/>
            <w:vAlign w:val="center"/>
          </w:tcPr>
          <w:p w14:paraId="112088B6">
            <w:pPr>
              <w:widowControl/>
              <w:jc w:val="left"/>
              <w:rPr>
                <w:rFonts w:ascii="方正仿宋_GBK" w:eastAsia="方正仿宋_GBK"/>
                <w:color w:val="auto"/>
                <w:szCs w:val="21"/>
                <w:highlight w:val="none"/>
              </w:rPr>
            </w:pPr>
          </w:p>
        </w:tc>
        <w:tc>
          <w:tcPr>
            <w:tcW w:w="2070" w:type="dxa"/>
            <w:vMerge w:val="continue"/>
            <w:tcBorders>
              <w:top w:val="single" w:color="auto" w:sz="12" w:space="0"/>
              <w:left w:val="single" w:color="auto" w:sz="12" w:space="0"/>
              <w:bottom w:val="single" w:color="auto" w:sz="12" w:space="0"/>
              <w:right w:val="single" w:color="auto" w:sz="12" w:space="0"/>
            </w:tcBorders>
            <w:noWrap w:val="0"/>
            <w:vAlign w:val="center"/>
          </w:tcPr>
          <w:p w14:paraId="65E1B870">
            <w:pPr>
              <w:widowControl/>
              <w:jc w:val="left"/>
              <w:rPr>
                <w:rFonts w:ascii="方正仿宋_GBK" w:eastAsia="方正仿宋_GBK"/>
                <w:color w:val="auto"/>
                <w:szCs w:val="21"/>
                <w:highlight w:val="none"/>
              </w:rPr>
            </w:pPr>
          </w:p>
        </w:tc>
        <w:tc>
          <w:tcPr>
            <w:tcW w:w="1545" w:type="dxa"/>
            <w:tcBorders>
              <w:top w:val="single" w:color="auto" w:sz="12" w:space="0"/>
              <w:left w:val="single" w:color="auto" w:sz="12" w:space="0"/>
              <w:bottom w:val="single" w:color="auto" w:sz="12" w:space="0"/>
              <w:right w:val="single" w:color="auto" w:sz="12" w:space="0"/>
            </w:tcBorders>
            <w:noWrap w:val="0"/>
            <w:vAlign w:val="center"/>
          </w:tcPr>
          <w:p w14:paraId="0927D54C">
            <w:pPr>
              <w:pStyle w:val="382"/>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高处作业</w:t>
            </w:r>
          </w:p>
        </w:tc>
        <w:tc>
          <w:tcPr>
            <w:tcW w:w="6645" w:type="dxa"/>
            <w:tcBorders>
              <w:top w:val="single" w:color="auto" w:sz="12" w:space="0"/>
              <w:left w:val="single" w:color="auto" w:sz="12" w:space="0"/>
              <w:bottom w:val="single" w:color="auto" w:sz="12" w:space="0"/>
              <w:right w:val="single" w:color="auto" w:sz="12" w:space="0"/>
            </w:tcBorders>
            <w:noWrap w:val="0"/>
            <w:vAlign w:val="center"/>
          </w:tcPr>
          <w:p w14:paraId="1EC2B983">
            <w:pPr>
              <w:pStyle w:val="382"/>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有悬挂安全带的悬索或其它设施，有操作平台，有上下的梯子或其它形式的通道。</w:t>
            </w:r>
          </w:p>
        </w:tc>
      </w:tr>
      <w:tr w14:paraId="6B0CE3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tcBorders>
              <w:top w:val="single" w:color="auto" w:sz="12" w:space="0"/>
              <w:left w:val="single" w:color="auto" w:sz="12" w:space="0"/>
              <w:bottom w:val="single" w:color="auto" w:sz="12" w:space="0"/>
              <w:right w:val="single" w:color="auto" w:sz="12" w:space="0"/>
            </w:tcBorders>
            <w:noWrap w:val="0"/>
            <w:vAlign w:val="center"/>
          </w:tcPr>
          <w:p w14:paraId="61575CF6">
            <w:pPr>
              <w:widowControl/>
              <w:jc w:val="left"/>
              <w:rPr>
                <w:rFonts w:ascii="方正仿宋_GBK" w:eastAsia="方正仿宋_GBK"/>
                <w:color w:val="auto"/>
                <w:szCs w:val="21"/>
                <w:highlight w:val="none"/>
              </w:rPr>
            </w:pPr>
          </w:p>
        </w:tc>
        <w:tc>
          <w:tcPr>
            <w:tcW w:w="2070" w:type="dxa"/>
            <w:vMerge w:val="continue"/>
            <w:tcBorders>
              <w:top w:val="single" w:color="auto" w:sz="12" w:space="0"/>
              <w:left w:val="single" w:color="auto" w:sz="12" w:space="0"/>
              <w:bottom w:val="single" w:color="auto" w:sz="12" w:space="0"/>
              <w:right w:val="single" w:color="auto" w:sz="12" w:space="0"/>
            </w:tcBorders>
            <w:noWrap w:val="0"/>
            <w:vAlign w:val="center"/>
          </w:tcPr>
          <w:p w14:paraId="017D225E">
            <w:pPr>
              <w:widowControl/>
              <w:jc w:val="left"/>
              <w:rPr>
                <w:rFonts w:ascii="方正仿宋_GBK" w:eastAsia="方正仿宋_GBK"/>
                <w:color w:val="auto"/>
                <w:szCs w:val="21"/>
                <w:highlight w:val="none"/>
              </w:rPr>
            </w:pPr>
          </w:p>
        </w:tc>
        <w:tc>
          <w:tcPr>
            <w:tcW w:w="1545" w:type="dxa"/>
            <w:tcBorders>
              <w:top w:val="single" w:color="auto" w:sz="12" w:space="0"/>
              <w:left w:val="single" w:color="auto" w:sz="12" w:space="0"/>
              <w:bottom w:val="single" w:color="auto" w:sz="12" w:space="0"/>
              <w:right w:val="single" w:color="auto" w:sz="12" w:space="0"/>
            </w:tcBorders>
            <w:noWrap w:val="0"/>
            <w:vAlign w:val="center"/>
          </w:tcPr>
          <w:p w14:paraId="0BCEC482">
            <w:pPr>
              <w:pStyle w:val="382"/>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基坑、物料平台</w:t>
            </w:r>
          </w:p>
        </w:tc>
        <w:tc>
          <w:tcPr>
            <w:tcW w:w="6645" w:type="dxa"/>
            <w:tcBorders>
              <w:top w:val="single" w:color="auto" w:sz="12" w:space="0"/>
              <w:left w:val="single" w:color="auto" w:sz="12" w:space="0"/>
              <w:bottom w:val="single" w:color="auto" w:sz="12" w:space="0"/>
              <w:right w:val="single" w:color="auto" w:sz="12" w:space="0"/>
            </w:tcBorders>
            <w:noWrap w:val="0"/>
            <w:vAlign w:val="center"/>
          </w:tcPr>
          <w:p w14:paraId="39D6DD27">
            <w:pPr>
              <w:pStyle w:val="382"/>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设1.2m高标准化的防护栏，用密目式安全立网封闭，悬挂标识。</w:t>
            </w:r>
          </w:p>
        </w:tc>
      </w:tr>
      <w:tr w14:paraId="0B5263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tcBorders>
              <w:top w:val="single" w:color="auto" w:sz="12" w:space="0"/>
              <w:left w:val="single" w:color="auto" w:sz="12" w:space="0"/>
              <w:bottom w:val="single" w:color="auto" w:sz="12" w:space="0"/>
              <w:right w:val="single" w:color="auto" w:sz="12" w:space="0"/>
            </w:tcBorders>
            <w:noWrap w:val="0"/>
            <w:vAlign w:val="center"/>
          </w:tcPr>
          <w:p w14:paraId="6267A427">
            <w:pPr>
              <w:widowControl/>
              <w:jc w:val="left"/>
              <w:rPr>
                <w:rFonts w:ascii="方正仿宋_GBK" w:eastAsia="方正仿宋_GBK"/>
                <w:color w:val="auto"/>
                <w:szCs w:val="21"/>
                <w:highlight w:val="none"/>
              </w:rPr>
            </w:pPr>
          </w:p>
        </w:tc>
        <w:tc>
          <w:tcPr>
            <w:tcW w:w="2070" w:type="dxa"/>
            <w:gridSpan w:val="2"/>
            <w:tcBorders>
              <w:top w:val="single" w:color="auto" w:sz="12" w:space="0"/>
              <w:left w:val="single" w:color="auto" w:sz="12" w:space="0"/>
              <w:bottom w:val="single" w:color="auto" w:sz="12" w:space="0"/>
              <w:right w:val="single" w:color="auto" w:sz="12" w:space="0"/>
            </w:tcBorders>
            <w:noWrap w:val="0"/>
            <w:vAlign w:val="center"/>
          </w:tcPr>
          <w:p w14:paraId="346CFF40">
            <w:pPr>
              <w:pStyle w:val="382"/>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安全防护用品</w:t>
            </w:r>
          </w:p>
        </w:tc>
        <w:tc>
          <w:tcPr>
            <w:tcW w:w="6645" w:type="dxa"/>
            <w:tcBorders>
              <w:top w:val="single" w:color="auto" w:sz="12" w:space="0"/>
              <w:left w:val="single" w:color="auto" w:sz="12" w:space="0"/>
              <w:bottom w:val="single" w:color="auto" w:sz="12" w:space="0"/>
              <w:right w:val="single" w:color="auto" w:sz="12" w:space="0"/>
            </w:tcBorders>
            <w:noWrap w:val="0"/>
            <w:vAlign w:val="center"/>
          </w:tcPr>
          <w:p w14:paraId="3CFB408D">
            <w:pPr>
              <w:pStyle w:val="382"/>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安全帽、安全带、特种作业人员（电工、焊工、架子工等）防护服装、用品等。</w:t>
            </w:r>
          </w:p>
        </w:tc>
      </w:tr>
      <w:tr w14:paraId="218F25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738" w:type="dxa"/>
            <w:vMerge w:val="restart"/>
            <w:tcBorders>
              <w:top w:val="single" w:color="auto" w:sz="12" w:space="0"/>
              <w:left w:val="single" w:color="auto" w:sz="12" w:space="0"/>
              <w:bottom w:val="single" w:color="auto" w:sz="12" w:space="0"/>
              <w:right w:val="single" w:color="auto" w:sz="12" w:space="0"/>
            </w:tcBorders>
            <w:noWrap w:val="0"/>
            <w:vAlign w:val="center"/>
          </w:tcPr>
          <w:p w14:paraId="3D0D2427">
            <w:pPr>
              <w:pStyle w:val="382"/>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其它</w:t>
            </w:r>
          </w:p>
        </w:tc>
        <w:tc>
          <w:tcPr>
            <w:tcW w:w="525" w:type="dxa"/>
            <w:vMerge w:val="restart"/>
            <w:tcBorders>
              <w:top w:val="single" w:color="auto" w:sz="12" w:space="0"/>
              <w:left w:val="single" w:color="auto" w:sz="12" w:space="0"/>
              <w:bottom w:val="single" w:color="auto" w:sz="12" w:space="0"/>
              <w:right w:val="single" w:color="auto" w:sz="12" w:space="0"/>
            </w:tcBorders>
            <w:noWrap w:val="0"/>
            <w:vAlign w:val="center"/>
          </w:tcPr>
          <w:p w14:paraId="1787B8B6">
            <w:pPr>
              <w:pStyle w:val="382"/>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机械设备防护</w:t>
            </w:r>
          </w:p>
        </w:tc>
        <w:tc>
          <w:tcPr>
            <w:tcW w:w="1545" w:type="dxa"/>
            <w:tcBorders>
              <w:top w:val="single" w:color="auto" w:sz="12" w:space="0"/>
              <w:left w:val="single" w:color="auto" w:sz="12" w:space="0"/>
              <w:bottom w:val="single" w:color="auto" w:sz="12" w:space="0"/>
              <w:right w:val="single" w:color="auto" w:sz="12" w:space="0"/>
            </w:tcBorders>
            <w:noWrap w:val="0"/>
            <w:vAlign w:val="center"/>
          </w:tcPr>
          <w:p w14:paraId="269FBFC0">
            <w:pPr>
              <w:pStyle w:val="382"/>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中小型机械</w:t>
            </w:r>
          </w:p>
        </w:tc>
        <w:tc>
          <w:tcPr>
            <w:tcW w:w="6645" w:type="dxa"/>
            <w:tcBorders>
              <w:top w:val="single" w:color="auto" w:sz="12" w:space="0"/>
              <w:left w:val="single" w:color="auto" w:sz="12" w:space="0"/>
              <w:bottom w:val="single" w:color="auto" w:sz="12" w:space="0"/>
              <w:right w:val="single" w:color="auto" w:sz="12" w:space="0"/>
            </w:tcBorders>
            <w:noWrap w:val="0"/>
            <w:vAlign w:val="center"/>
          </w:tcPr>
          <w:p w14:paraId="4A486AEE">
            <w:pPr>
              <w:pStyle w:val="382"/>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设防护棚（同通道口防护并有防雨措施）。</w:t>
            </w:r>
          </w:p>
        </w:tc>
      </w:tr>
      <w:tr w14:paraId="03A4D5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tcBorders>
              <w:top w:val="single" w:color="auto" w:sz="12" w:space="0"/>
              <w:left w:val="single" w:color="auto" w:sz="12" w:space="0"/>
              <w:bottom w:val="single" w:color="auto" w:sz="12" w:space="0"/>
              <w:right w:val="single" w:color="auto" w:sz="12" w:space="0"/>
            </w:tcBorders>
            <w:noWrap w:val="0"/>
            <w:vAlign w:val="center"/>
          </w:tcPr>
          <w:p w14:paraId="2D3A1561">
            <w:pPr>
              <w:widowControl/>
              <w:jc w:val="left"/>
              <w:rPr>
                <w:rFonts w:ascii="方正仿宋_GBK" w:eastAsia="方正仿宋_GBK"/>
                <w:color w:val="auto"/>
                <w:szCs w:val="21"/>
                <w:highlight w:val="none"/>
              </w:rPr>
            </w:pPr>
          </w:p>
        </w:tc>
        <w:tc>
          <w:tcPr>
            <w:tcW w:w="2070" w:type="dxa"/>
            <w:vMerge w:val="continue"/>
            <w:tcBorders>
              <w:top w:val="single" w:color="auto" w:sz="12" w:space="0"/>
              <w:left w:val="single" w:color="auto" w:sz="12" w:space="0"/>
              <w:bottom w:val="single" w:color="auto" w:sz="12" w:space="0"/>
              <w:right w:val="single" w:color="auto" w:sz="12" w:space="0"/>
            </w:tcBorders>
            <w:noWrap w:val="0"/>
            <w:vAlign w:val="center"/>
          </w:tcPr>
          <w:p w14:paraId="65AB96C3">
            <w:pPr>
              <w:widowControl/>
              <w:jc w:val="left"/>
              <w:rPr>
                <w:rFonts w:ascii="方正仿宋_GBK" w:eastAsia="方正仿宋_GBK"/>
                <w:color w:val="auto"/>
                <w:szCs w:val="21"/>
                <w:highlight w:val="none"/>
              </w:rPr>
            </w:pPr>
          </w:p>
        </w:tc>
        <w:tc>
          <w:tcPr>
            <w:tcW w:w="1545" w:type="dxa"/>
            <w:tcBorders>
              <w:top w:val="single" w:color="auto" w:sz="12" w:space="0"/>
              <w:left w:val="single" w:color="auto" w:sz="12" w:space="0"/>
              <w:bottom w:val="single" w:color="auto" w:sz="12" w:space="0"/>
              <w:right w:val="single" w:color="auto" w:sz="12" w:space="0"/>
            </w:tcBorders>
            <w:noWrap w:val="0"/>
            <w:vAlign w:val="center"/>
          </w:tcPr>
          <w:p w14:paraId="488F747D">
            <w:pPr>
              <w:pStyle w:val="382"/>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垂直运输设备</w:t>
            </w:r>
          </w:p>
        </w:tc>
        <w:tc>
          <w:tcPr>
            <w:tcW w:w="6645" w:type="dxa"/>
            <w:tcBorders>
              <w:top w:val="single" w:color="auto" w:sz="12" w:space="0"/>
              <w:left w:val="single" w:color="auto" w:sz="12" w:space="0"/>
              <w:bottom w:val="single" w:color="auto" w:sz="12" w:space="0"/>
              <w:right w:val="single" w:color="auto" w:sz="12" w:space="0"/>
            </w:tcBorders>
            <w:noWrap w:val="0"/>
            <w:vAlign w:val="center"/>
          </w:tcPr>
          <w:p w14:paraId="6BB1396C">
            <w:pPr>
              <w:pStyle w:val="382"/>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1. 垂直运输设备检测、检验、日常维护、保养等。</w:t>
            </w:r>
          </w:p>
          <w:p w14:paraId="527B3DA1">
            <w:pPr>
              <w:pStyle w:val="382"/>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2. 物料提升机、施工电梯等物料平台搭设、外侧用密目式安全立网全封闭，有安全通道、安全防护门、防护棚等。</w:t>
            </w:r>
          </w:p>
        </w:tc>
      </w:tr>
      <w:tr w14:paraId="4752C3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38" w:type="dxa"/>
            <w:vMerge w:val="continue"/>
            <w:tcBorders>
              <w:top w:val="single" w:color="auto" w:sz="12" w:space="0"/>
              <w:left w:val="single" w:color="auto" w:sz="12" w:space="0"/>
              <w:bottom w:val="single" w:color="auto" w:sz="12" w:space="0"/>
              <w:right w:val="single" w:color="auto" w:sz="12" w:space="0"/>
            </w:tcBorders>
            <w:noWrap w:val="0"/>
            <w:vAlign w:val="center"/>
          </w:tcPr>
          <w:p w14:paraId="76D0EE4D">
            <w:pPr>
              <w:widowControl/>
              <w:jc w:val="left"/>
              <w:rPr>
                <w:rFonts w:ascii="方正仿宋_GBK" w:eastAsia="方正仿宋_GBK"/>
                <w:color w:val="auto"/>
                <w:szCs w:val="21"/>
                <w:highlight w:val="none"/>
              </w:rPr>
            </w:pPr>
          </w:p>
        </w:tc>
        <w:tc>
          <w:tcPr>
            <w:tcW w:w="2070" w:type="dxa"/>
            <w:gridSpan w:val="2"/>
            <w:tcBorders>
              <w:top w:val="single" w:color="auto" w:sz="12" w:space="0"/>
              <w:left w:val="single" w:color="auto" w:sz="12" w:space="0"/>
              <w:bottom w:val="single" w:color="auto" w:sz="12" w:space="0"/>
              <w:right w:val="single" w:color="auto" w:sz="12" w:space="0"/>
            </w:tcBorders>
            <w:noWrap w:val="0"/>
            <w:vAlign w:val="center"/>
          </w:tcPr>
          <w:p w14:paraId="20DBF71F">
            <w:pPr>
              <w:pStyle w:val="382"/>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专家论证审查</w:t>
            </w:r>
          </w:p>
        </w:tc>
        <w:tc>
          <w:tcPr>
            <w:tcW w:w="6645" w:type="dxa"/>
            <w:tcBorders>
              <w:top w:val="single" w:color="auto" w:sz="12" w:space="0"/>
              <w:left w:val="single" w:color="auto" w:sz="12" w:space="0"/>
              <w:bottom w:val="single" w:color="auto" w:sz="12" w:space="0"/>
              <w:right w:val="single" w:color="auto" w:sz="12" w:space="0"/>
            </w:tcBorders>
            <w:noWrap w:val="0"/>
            <w:vAlign w:val="center"/>
          </w:tcPr>
          <w:p w14:paraId="32EE1107">
            <w:pPr>
              <w:pStyle w:val="382"/>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超过一定规模的危险性较大分部分项工程专家论证审查。</w:t>
            </w:r>
          </w:p>
        </w:tc>
      </w:tr>
      <w:tr w14:paraId="67A75F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38" w:type="dxa"/>
            <w:vMerge w:val="continue"/>
            <w:tcBorders>
              <w:top w:val="single" w:color="auto" w:sz="12" w:space="0"/>
              <w:left w:val="single" w:color="auto" w:sz="12" w:space="0"/>
              <w:bottom w:val="single" w:color="auto" w:sz="12" w:space="0"/>
              <w:right w:val="single" w:color="auto" w:sz="12" w:space="0"/>
            </w:tcBorders>
            <w:noWrap w:val="0"/>
            <w:vAlign w:val="center"/>
          </w:tcPr>
          <w:p w14:paraId="1ADA05F2">
            <w:pPr>
              <w:widowControl/>
              <w:jc w:val="left"/>
              <w:rPr>
                <w:rFonts w:ascii="方正仿宋_GBK" w:eastAsia="方正仿宋_GBK"/>
                <w:color w:val="auto"/>
                <w:szCs w:val="21"/>
                <w:highlight w:val="none"/>
              </w:rPr>
            </w:pPr>
          </w:p>
        </w:tc>
        <w:tc>
          <w:tcPr>
            <w:tcW w:w="2070" w:type="dxa"/>
            <w:gridSpan w:val="2"/>
            <w:tcBorders>
              <w:top w:val="single" w:color="auto" w:sz="12" w:space="0"/>
              <w:left w:val="single" w:color="auto" w:sz="12" w:space="0"/>
              <w:bottom w:val="single" w:color="auto" w:sz="12" w:space="0"/>
              <w:right w:val="single" w:color="auto" w:sz="12" w:space="0"/>
            </w:tcBorders>
            <w:noWrap w:val="0"/>
            <w:vAlign w:val="center"/>
          </w:tcPr>
          <w:p w14:paraId="546AEFEE">
            <w:pPr>
              <w:pStyle w:val="382"/>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应急救援预案</w:t>
            </w:r>
          </w:p>
        </w:tc>
        <w:tc>
          <w:tcPr>
            <w:tcW w:w="6645" w:type="dxa"/>
            <w:tcBorders>
              <w:top w:val="single" w:color="auto" w:sz="12" w:space="0"/>
              <w:left w:val="single" w:color="auto" w:sz="12" w:space="0"/>
              <w:bottom w:val="single" w:color="auto" w:sz="12" w:space="0"/>
              <w:right w:val="single" w:color="auto" w:sz="12" w:space="0"/>
            </w:tcBorders>
            <w:noWrap w:val="0"/>
            <w:vAlign w:val="center"/>
          </w:tcPr>
          <w:p w14:paraId="168DDE0E">
            <w:pPr>
              <w:pStyle w:val="382"/>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救援器材准备及演练等。</w:t>
            </w:r>
          </w:p>
        </w:tc>
      </w:tr>
      <w:tr w14:paraId="39049F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tcBorders>
              <w:top w:val="single" w:color="auto" w:sz="12" w:space="0"/>
              <w:left w:val="single" w:color="auto" w:sz="12" w:space="0"/>
              <w:bottom w:val="single" w:color="auto" w:sz="12" w:space="0"/>
              <w:right w:val="single" w:color="auto" w:sz="12" w:space="0"/>
            </w:tcBorders>
            <w:noWrap w:val="0"/>
            <w:vAlign w:val="center"/>
          </w:tcPr>
          <w:p w14:paraId="531951A2">
            <w:pPr>
              <w:widowControl/>
              <w:jc w:val="left"/>
              <w:rPr>
                <w:rFonts w:ascii="方正仿宋_GBK" w:eastAsia="方正仿宋_GBK"/>
                <w:color w:val="auto"/>
                <w:szCs w:val="21"/>
                <w:highlight w:val="none"/>
              </w:rPr>
            </w:pPr>
          </w:p>
        </w:tc>
        <w:tc>
          <w:tcPr>
            <w:tcW w:w="2070" w:type="dxa"/>
            <w:gridSpan w:val="2"/>
            <w:tcBorders>
              <w:top w:val="single" w:color="auto" w:sz="12" w:space="0"/>
              <w:left w:val="single" w:color="auto" w:sz="12" w:space="0"/>
              <w:bottom w:val="single" w:color="auto" w:sz="12" w:space="0"/>
              <w:right w:val="single" w:color="auto" w:sz="12" w:space="0"/>
            </w:tcBorders>
            <w:noWrap w:val="0"/>
            <w:vAlign w:val="center"/>
          </w:tcPr>
          <w:p w14:paraId="7937E80F">
            <w:pPr>
              <w:pStyle w:val="382"/>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非正常情况施工</w:t>
            </w:r>
          </w:p>
        </w:tc>
        <w:tc>
          <w:tcPr>
            <w:tcW w:w="6645" w:type="dxa"/>
            <w:tcBorders>
              <w:top w:val="single" w:color="auto" w:sz="12" w:space="0"/>
              <w:left w:val="single" w:color="auto" w:sz="12" w:space="0"/>
              <w:bottom w:val="single" w:color="auto" w:sz="12" w:space="0"/>
              <w:right w:val="single" w:color="auto" w:sz="12" w:space="0"/>
            </w:tcBorders>
            <w:noWrap w:val="0"/>
            <w:vAlign w:val="center"/>
          </w:tcPr>
          <w:p w14:paraId="2F53D6C5">
            <w:pPr>
              <w:pStyle w:val="382"/>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其它特殊情况下的防护费用，如：城市主干道、人流密集、河边等处施工及文物、古建筑、古树保护等。</w:t>
            </w:r>
          </w:p>
        </w:tc>
      </w:tr>
    </w:tbl>
    <w:p w14:paraId="6A1A9034">
      <w:pPr>
        <w:pStyle w:val="382"/>
        <w:spacing w:line="240" w:lineRule="atLeast"/>
        <w:ind w:firstLine="546"/>
        <w:jc w:val="center"/>
        <w:rPr>
          <w:rFonts w:ascii="Times New Roman" w:hAnsi="Times New Roman"/>
          <w:b/>
          <w:bCs/>
          <w:color w:val="auto"/>
          <w:sz w:val="24"/>
          <w:szCs w:val="24"/>
          <w:highlight w:val="none"/>
        </w:rPr>
      </w:pPr>
    </w:p>
    <w:p w14:paraId="461353FD">
      <w:pPr>
        <w:pStyle w:val="382"/>
        <w:spacing w:before="120"/>
        <w:ind w:firstLine="420"/>
        <w:rPr>
          <w:rFonts w:ascii="Times New Roman" w:hAnsi="Times New Roman"/>
          <w:color w:val="auto"/>
          <w:szCs w:val="21"/>
          <w:highlight w:val="none"/>
        </w:rPr>
      </w:pPr>
      <w:r>
        <w:rPr>
          <w:rFonts w:hint="eastAsia" w:ascii="Times New Roman" w:hAnsi="Times New Roman" w:cs="宋体"/>
          <w:color w:val="auto"/>
          <w:szCs w:val="21"/>
          <w:highlight w:val="none"/>
        </w:rPr>
        <w:t>注：本表所列建筑工程安全文明施工费，是依据现行法律法规及标准规范确定的。如法律法规和标准规范修订，本表所列项目应按照修订后的法律法规和标准规范进行调整。</w:t>
      </w:r>
    </w:p>
    <w:p w14:paraId="797D297C">
      <w:pPr>
        <w:pStyle w:val="382"/>
        <w:ind w:firstLine="420"/>
        <w:rPr>
          <w:rFonts w:ascii="Times New Roman" w:hAnsi="Times New Roman"/>
          <w:color w:val="auto"/>
          <w:szCs w:val="21"/>
          <w:highlight w:val="none"/>
        </w:rPr>
      </w:pPr>
    </w:p>
    <w:p w14:paraId="1FABE6B0">
      <w:pPr>
        <w:pStyle w:val="382"/>
        <w:ind w:firstLine="420"/>
        <w:rPr>
          <w:rFonts w:ascii="Times New Roman" w:hAnsi="Times New Roman"/>
          <w:color w:val="auto"/>
          <w:szCs w:val="21"/>
          <w:highlight w:val="none"/>
        </w:rPr>
      </w:pPr>
    </w:p>
    <w:p w14:paraId="2BBD3A20">
      <w:pPr>
        <w:jc w:val="center"/>
        <w:rPr>
          <w:rFonts w:hint="eastAsia" w:ascii="宋体" w:hAnsi="宋体" w:cs="宋体"/>
          <w:color w:val="auto"/>
          <w:highlight w:val="none"/>
        </w:rPr>
      </w:pPr>
    </w:p>
    <w:p w14:paraId="24CFCC3D">
      <w:pPr>
        <w:spacing w:line="500" w:lineRule="exact"/>
        <w:rPr>
          <w:rFonts w:hint="eastAsia" w:ascii="宋体" w:hAnsi="宋体" w:cs="宋体"/>
          <w:color w:val="auto"/>
          <w:highlight w:val="none"/>
        </w:rPr>
      </w:pPr>
    </w:p>
    <w:p w14:paraId="5AAD2F0B">
      <w:pPr>
        <w:spacing w:line="500" w:lineRule="exact"/>
        <w:rPr>
          <w:rFonts w:hint="eastAsia" w:ascii="宋体" w:hAnsi="宋体" w:cs="宋体"/>
          <w:color w:val="auto"/>
          <w:highlight w:val="none"/>
        </w:rPr>
      </w:pPr>
    </w:p>
    <w:p w14:paraId="0F2C4ABC">
      <w:pPr>
        <w:spacing w:line="500" w:lineRule="exact"/>
        <w:rPr>
          <w:rFonts w:hint="eastAsia" w:ascii="宋体" w:hAnsi="宋体" w:cs="宋体"/>
          <w:color w:val="auto"/>
          <w:highlight w:val="none"/>
        </w:rPr>
      </w:pPr>
    </w:p>
    <w:p w14:paraId="0EF88E7F">
      <w:pPr>
        <w:jc w:val="center"/>
        <w:rPr>
          <w:rFonts w:hint="eastAsia" w:ascii="宋体" w:hAnsi="宋体"/>
          <w:b/>
          <w:color w:val="auto"/>
          <w:sz w:val="24"/>
          <w:highlight w:val="none"/>
        </w:rPr>
      </w:pP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3</w:t>
      </w:r>
      <w:r>
        <w:rPr>
          <w:rFonts w:hint="eastAsia" w:ascii="宋体" w:hAnsi="宋体"/>
          <w:b/>
          <w:color w:val="auto"/>
          <w:sz w:val="24"/>
          <w:highlight w:val="none"/>
          <w:lang w:eastAsia="zh-CN"/>
        </w:rPr>
        <w:t>）</w:t>
      </w:r>
      <w:r>
        <w:rPr>
          <w:rFonts w:hint="eastAsia" w:ascii="宋体" w:hAnsi="宋体"/>
          <w:b/>
          <w:color w:val="auto"/>
          <w:sz w:val="24"/>
          <w:highlight w:val="none"/>
        </w:rPr>
        <w:t>项目经理及现场人员配备承诺书</w:t>
      </w:r>
    </w:p>
    <w:p w14:paraId="549A6A39">
      <w:pPr>
        <w:spacing w:line="500" w:lineRule="exact"/>
        <w:jc w:val="left"/>
        <w:rPr>
          <w:rFonts w:hint="eastAsia" w:ascii="宋体" w:hAnsi="宋体" w:cs="宋体"/>
          <w:bCs/>
          <w:color w:val="auto"/>
          <w:szCs w:val="21"/>
          <w:highlight w:val="none"/>
        </w:rPr>
      </w:pPr>
    </w:p>
    <w:p w14:paraId="7F9C55C4">
      <w:pPr>
        <w:spacing w:line="500" w:lineRule="exact"/>
        <w:jc w:val="left"/>
        <w:rPr>
          <w:rFonts w:ascii="宋体" w:hAnsi="宋体" w:cs="宋体"/>
          <w:bCs/>
          <w:color w:val="auto"/>
          <w:szCs w:val="21"/>
          <w:highlight w:val="none"/>
        </w:rPr>
      </w:pPr>
      <w:r>
        <w:rPr>
          <w:rFonts w:hint="eastAsia" w:ascii="宋体" w:hAnsi="宋体" w:cs="宋体"/>
          <w:bCs/>
          <w:color w:val="auto"/>
          <w:szCs w:val="21"/>
          <w:highlight w:val="none"/>
        </w:rPr>
        <w:t>致</w:t>
      </w:r>
      <w:r>
        <w:rPr>
          <w:rFonts w:hint="eastAsia" w:ascii="宋体" w:hAnsi="宋体" w:cs="宋体"/>
          <w:bCs/>
          <w:color w:val="auto"/>
          <w:szCs w:val="21"/>
          <w:highlight w:val="none"/>
          <w:u w:val="single"/>
          <w:lang w:eastAsia="zh-CN"/>
        </w:rPr>
        <w:t>防城港市住房和城乡建设局</w:t>
      </w:r>
      <w:r>
        <w:rPr>
          <w:rFonts w:hint="eastAsia" w:ascii="宋体" w:hAnsi="宋体" w:cs="宋体"/>
          <w:bCs/>
          <w:color w:val="auto"/>
          <w:szCs w:val="21"/>
          <w:highlight w:val="none"/>
        </w:rPr>
        <w:t>：</w:t>
      </w:r>
    </w:p>
    <w:p w14:paraId="59A4EE17">
      <w:pPr>
        <w:spacing w:line="500" w:lineRule="exact"/>
        <w:ind w:firstLine="422"/>
        <w:jc w:val="left"/>
        <w:rPr>
          <w:rFonts w:hint="eastAsia" w:ascii="宋体" w:hAnsi="宋体" w:cs="宋体"/>
          <w:bCs/>
          <w:color w:val="auto"/>
          <w:szCs w:val="21"/>
          <w:highlight w:val="none"/>
        </w:rPr>
      </w:pPr>
      <w:r>
        <w:rPr>
          <w:rFonts w:hint="eastAsia" w:ascii="宋体" w:hAnsi="宋体" w:cs="宋体"/>
          <w:bCs/>
          <w:color w:val="auto"/>
          <w:szCs w:val="21"/>
          <w:highlight w:val="none"/>
        </w:rPr>
        <w:t>我公司在此承诺：</w:t>
      </w:r>
    </w:p>
    <w:p w14:paraId="357C18B4">
      <w:pPr>
        <w:spacing w:line="500" w:lineRule="exact"/>
        <w:ind w:left="-10" w:firstLine="455"/>
        <w:jc w:val="left"/>
        <w:rPr>
          <w:rFonts w:hint="eastAsia" w:ascii="宋体" w:hAnsi="宋体" w:cs="宋体"/>
          <w:bCs/>
          <w:color w:val="auto"/>
          <w:szCs w:val="21"/>
          <w:highlight w:val="none"/>
        </w:rPr>
      </w:pPr>
      <w:r>
        <w:rPr>
          <w:rFonts w:hint="eastAsia" w:ascii="宋体" w:hAnsi="宋体" w:cs="宋体"/>
          <w:bCs/>
          <w:color w:val="auto"/>
          <w:szCs w:val="21"/>
          <w:highlight w:val="none"/>
        </w:rPr>
        <w:t>我公司参与投标的</w:t>
      </w:r>
      <w:r>
        <w:rPr>
          <w:rFonts w:hint="eastAsia" w:ascii="宋体" w:hAnsi="宋体" w:cs="宋体"/>
          <w:bCs/>
          <w:color w:val="auto"/>
          <w:szCs w:val="21"/>
          <w:highlight w:val="none"/>
          <w:u w:val="single"/>
        </w:rPr>
        <w:t xml:space="preserve">         （项目名称）          </w:t>
      </w:r>
      <w:r>
        <w:rPr>
          <w:rFonts w:hint="eastAsia" w:ascii="宋体" w:hAnsi="宋体" w:cs="宋体"/>
          <w:bCs/>
          <w:color w:val="auto"/>
          <w:szCs w:val="21"/>
          <w:highlight w:val="none"/>
        </w:rPr>
        <w:t>项目，一旦中标，我公司保证在施工过程中，严格按</w:t>
      </w:r>
      <w:r>
        <w:rPr>
          <w:rFonts w:hint="eastAsia" w:ascii="宋体" w:hAnsi="宋体" w:cs="宋体"/>
          <w:bCs/>
          <w:color w:val="auto"/>
          <w:szCs w:val="21"/>
          <w:highlight w:val="none"/>
          <w:u w:val="single"/>
        </w:rPr>
        <w:t xml:space="preserve">    （项目名称）    </w:t>
      </w:r>
      <w:r>
        <w:rPr>
          <w:rFonts w:hint="eastAsia" w:ascii="宋体" w:hAnsi="宋体" w:cs="宋体"/>
          <w:bCs/>
          <w:color w:val="auto"/>
          <w:szCs w:val="21"/>
          <w:highlight w:val="none"/>
        </w:rPr>
        <w:t>项目投标文件中承诺的拟投入工程项目的人员标准投入有关人员，确保建设工程的顺利完成。</w:t>
      </w:r>
    </w:p>
    <w:p w14:paraId="62A854C8">
      <w:pPr>
        <w:spacing w:line="480" w:lineRule="auto"/>
        <w:ind w:left="-10" w:firstLine="523"/>
        <w:jc w:val="left"/>
        <w:rPr>
          <w:rFonts w:hint="eastAsia" w:ascii="宋体" w:hAnsi="宋体" w:cs="宋体"/>
          <w:b/>
          <w:bCs/>
          <w:color w:val="auto"/>
          <w:sz w:val="24"/>
          <w:highlight w:val="none"/>
        </w:rPr>
      </w:pPr>
    </w:p>
    <w:p w14:paraId="54CE2508">
      <w:pPr>
        <w:spacing w:before="50" w:after="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063DA32A">
      <w:pPr>
        <w:spacing w:before="120"/>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127908C3">
      <w:pPr>
        <w:spacing w:before="120"/>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4F873BEE">
      <w:pPr>
        <w:spacing w:line="500" w:lineRule="exact"/>
        <w:rPr>
          <w:rFonts w:hint="eastAsia" w:ascii="宋体" w:hAnsi="宋体" w:cs="宋体"/>
          <w:color w:val="auto"/>
          <w:highlight w:val="none"/>
        </w:rPr>
      </w:pPr>
    </w:p>
    <w:p w14:paraId="79CC6923">
      <w:pPr>
        <w:spacing w:line="500" w:lineRule="exact"/>
        <w:rPr>
          <w:rFonts w:hint="eastAsia" w:ascii="宋体" w:hAnsi="宋体" w:cs="宋体"/>
          <w:color w:val="auto"/>
          <w:highlight w:val="none"/>
        </w:rPr>
      </w:pPr>
    </w:p>
    <w:p w14:paraId="66E7C2F7">
      <w:pPr>
        <w:spacing w:line="500" w:lineRule="exact"/>
        <w:rPr>
          <w:rFonts w:hint="eastAsia" w:ascii="宋体" w:hAnsi="宋体" w:cs="宋体"/>
          <w:color w:val="auto"/>
          <w:highlight w:val="none"/>
        </w:rPr>
      </w:pPr>
    </w:p>
    <w:p w14:paraId="589D25C7">
      <w:pPr>
        <w:spacing w:line="500" w:lineRule="exact"/>
        <w:rPr>
          <w:rFonts w:hint="eastAsia" w:ascii="宋体" w:hAnsi="宋体" w:cs="宋体"/>
          <w:color w:val="auto"/>
          <w:highlight w:val="none"/>
        </w:rPr>
      </w:pPr>
    </w:p>
    <w:p w14:paraId="273DAAB1">
      <w:pPr>
        <w:spacing w:line="500" w:lineRule="exact"/>
        <w:rPr>
          <w:rFonts w:hint="eastAsia" w:ascii="宋体" w:hAnsi="宋体" w:cs="宋体"/>
          <w:color w:val="auto"/>
          <w:highlight w:val="none"/>
        </w:rPr>
      </w:pPr>
    </w:p>
    <w:p w14:paraId="051ADC5B">
      <w:pPr>
        <w:spacing w:line="500" w:lineRule="exact"/>
        <w:rPr>
          <w:rFonts w:hint="eastAsia" w:ascii="宋体" w:hAnsi="宋体" w:cs="宋体"/>
          <w:color w:val="auto"/>
          <w:highlight w:val="none"/>
        </w:rPr>
      </w:pPr>
    </w:p>
    <w:p w14:paraId="53C399A8">
      <w:pPr>
        <w:spacing w:line="500" w:lineRule="exact"/>
        <w:rPr>
          <w:rFonts w:hint="eastAsia" w:ascii="宋体" w:hAnsi="宋体" w:cs="宋体"/>
          <w:color w:val="auto"/>
          <w:highlight w:val="none"/>
        </w:rPr>
      </w:pPr>
    </w:p>
    <w:p w14:paraId="6E9F0FDF">
      <w:pPr>
        <w:spacing w:line="500" w:lineRule="exact"/>
        <w:rPr>
          <w:rFonts w:hint="eastAsia" w:ascii="宋体" w:hAnsi="宋体" w:cs="宋体"/>
          <w:color w:val="auto"/>
          <w:highlight w:val="none"/>
        </w:rPr>
      </w:pPr>
    </w:p>
    <w:p w14:paraId="7F66FC05">
      <w:pPr>
        <w:spacing w:line="500" w:lineRule="exact"/>
        <w:rPr>
          <w:rFonts w:hint="eastAsia" w:ascii="宋体" w:hAnsi="宋体" w:cs="宋体"/>
          <w:color w:val="auto"/>
          <w:highlight w:val="none"/>
        </w:rPr>
      </w:pPr>
    </w:p>
    <w:p w14:paraId="4D09FF7F">
      <w:pPr>
        <w:spacing w:line="500" w:lineRule="exact"/>
        <w:rPr>
          <w:rFonts w:hint="eastAsia" w:ascii="宋体" w:hAnsi="宋体" w:cs="宋体"/>
          <w:color w:val="auto"/>
          <w:highlight w:val="none"/>
        </w:rPr>
      </w:pPr>
    </w:p>
    <w:p w14:paraId="18409E61">
      <w:pPr>
        <w:spacing w:line="500" w:lineRule="exact"/>
        <w:rPr>
          <w:rFonts w:hint="eastAsia" w:ascii="宋体" w:hAnsi="宋体" w:cs="宋体"/>
          <w:color w:val="auto"/>
          <w:highlight w:val="none"/>
        </w:rPr>
      </w:pPr>
    </w:p>
    <w:p w14:paraId="55CA810F">
      <w:pPr>
        <w:spacing w:line="500" w:lineRule="exact"/>
        <w:rPr>
          <w:rFonts w:hint="eastAsia" w:ascii="宋体" w:hAnsi="宋体" w:cs="宋体"/>
          <w:color w:val="auto"/>
          <w:highlight w:val="none"/>
        </w:rPr>
      </w:pPr>
    </w:p>
    <w:p w14:paraId="56DBCCE3">
      <w:pPr>
        <w:spacing w:line="500" w:lineRule="exact"/>
        <w:rPr>
          <w:rFonts w:hint="eastAsia" w:ascii="宋体" w:hAnsi="宋体" w:cs="宋体"/>
          <w:color w:val="auto"/>
          <w:highlight w:val="none"/>
        </w:rPr>
      </w:pPr>
    </w:p>
    <w:p w14:paraId="3F4F425B">
      <w:pPr>
        <w:spacing w:line="500" w:lineRule="exact"/>
        <w:rPr>
          <w:rFonts w:hint="eastAsia" w:ascii="宋体" w:hAnsi="宋体" w:cs="宋体"/>
          <w:color w:val="auto"/>
          <w:highlight w:val="none"/>
        </w:rPr>
      </w:pPr>
    </w:p>
    <w:p w14:paraId="7F27BB38">
      <w:pPr>
        <w:spacing w:line="500" w:lineRule="exact"/>
        <w:rPr>
          <w:rFonts w:hint="eastAsia" w:ascii="宋体" w:hAnsi="宋体" w:cs="宋体"/>
          <w:color w:val="auto"/>
          <w:highlight w:val="none"/>
        </w:rPr>
      </w:pPr>
    </w:p>
    <w:p w14:paraId="51775123">
      <w:pPr>
        <w:spacing w:line="500" w:lineRule="exact"/>
        <w:rPr>
          <w:rFonts w:hint="eastAsia" w:ascii="宋体" w:hAnsi="宋体" w:cs="宋体"/>
          <w:color w:val="auto"/>
          <w:highlight w:val="none"/>
        </w:rPr>
      </w:pPr>
    </w:p>
    <w:p w14:paraId="4BC5FE82">
      <w:pPr>
        <w:spacing w:before="120" w:after="50"/>
        <w:jc w:val="both"/>
        <w:rPr>
          <w:rFonts w:hint="eastAsia" w:ascii="宋体" w:hAnsi="宋体"/>
          <w:color w:val="auto"/>
          <w:sz w:val="24"/>
          <w:highlight w:val="none"/>
        </w:rPr>
      </w:pPr>
    </w:p>
    <w:p w14:paraId="3F741D78">
      <w:pPr>
        <w:rPr>
          <w:rFonts w:hint="eastAsia" w:ascii="宋体" w:hAnsi="宋体"/>
          <w:b/>
          <w:color w:val="auto"/>
          <w:sz w:val="24"/>
          <w:highlight w:val="none"/>
        </w:rPr>
      </w:pPr>
    </w:p>
    <w:p w14:paraId="6F68D716">
      <w:pPr>
        <w:rPr>
          <w:rFonts w:hint="eastAsia" w:ascii="宋体" w:hAnsi="宋体"/>
          <w:b/>
          <w:color w:val="auto"/>
          <w:sz w:val="24"/>
          <w:szCs w:val="20"/>
          <w:highlight w:val="none"/>
        </w:rPr>
      </w:pPr>
      <w:r>
        <w:rPr>
          <w:rFonts w:hint="eastAsia" w:ascii="宋体" w:hAnsi="宋体"/>
          <w:b/>
          <w:color w:val="auto"/>
          <w:sz w:val="24"/>
          <w:highlight w:val="none"/>
          <w:lang w:val="en-US" w:eastAsia="zh-CN"/>
        </w:rPr>
        <w:t>7</w:t>
      </w:r>
      <w:r>
        <w:rPr>
          <w:rFonts w:hint="eastAsia" w:ascii="宋体" w:hAnsi="宋体"/>
          <w:b/>
          <w:color w:val="auto"/>
          <w:sz w:val="24"/>
          <w:highlight w:val="none"/>
        </w:rPr>
        <w:t>.商务要求偏离表格式（注：按项目需求表具体项目修改）</w:t>
      </w:r>
    </w:p>
    <w:p w14:paraId="6D4D78E4">
      <w:pPr>
        <w:spacing w:before="50"/>
        <w:jc w:val="left"/>
        <w:rPr>
          <w:rFonts w:hint="eastAsia" w:ascii="宋体" w:hAnsi="宋体"/>
          <w:color w:val="auto"/>
          <w:sz w:val="24"/>
          <w:highlight w:val="none"/>
        </w:rPr>
      </w:pPr>
    </w:p>
    <w:tbl>
      <w:tblPr>
        <w:tblStyle w:val="30"/>
        <w:tblW w:w="864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44"/>
        <w:gridCol w:w="2902"/>
        <w:gridCol w:w="1760"/>
        <w:gridCol w:w="2035"/>
      </w:tblGrid>
      <w:tr w14:paraId="34AC04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944" w:type="dxa"/>
            <w:tcBorders>
              <w:top w:val="single" w:color="auto" w:sz="4" w:space="0"/>
              <w:left w:val="single" w:color="auto" w:sz="4" w:space="0"/>
              <w:bottom w:val="single" w:color="auto" w:sz="4" w:space="0"/>
              <w:right w:val="single" w:color="auto" w:sz="4" w:space="0"/>
            </w:tcBorders>
            <w:noWrap w:val="0"/>
            <w:vAlign w:val="top"/>
          </w:tcPr>
          <w:p w14:paraId="7A4CD40D">
            <w:pPr>
              <w:spacing w:before="120"/>
              <w:jc w:val="center"/>
              <w:rPr>
                <w:rFonts w:hint="eastAsia" w:ascii="宋体" w:hAnsi="宋体"/>
                <w:color w:val="auto"/>
                <w:sz w:val="24"/>
                <w:highlight w:val="none"/>
              </w:rPr>
            </w:pPr>
            <w:r>
              <w:rPr>
                <w:rFonts w:hint="eastAsia" w:ascii="宋体" w:hAnsi="宋体"/>
                <w:color w:val="auto"/>
                <w:sz w:val="24"/>
                <w:highlight w:val="none"/>
              </w:rPr>
              <w:t>项目</w:t>
            </w:r>
          </w:p>
        </w:tc>
        <w:tc>
          <w:tcPr>
            <w:tcW w:w="2902" w:type="dxa"/>
            <w:tcBorders>
              <w:top w:val="single" w:color="auto" w:sz="4" w:space="0"/>
              <w:left w:val="single" w:color="auto" w:sz="4" w:space="0"/>
              <w:bottom w:val="single" w:color="auto" w:sz="4" w:space="0"/>
              <w:right w:val="single" w:color="auto" w:sz="4" w:space="0"/>
            </w:tcBorders>
            <w:noWrap w:val="0"/>
            <w:vAlign w:val="top"/>
          </w:tcPr>
          <w:p w14:paraId="2DC0D99A">
            <w:pPr>
              <w:spacing w:before="120"/>
              <w:jc w:val="center"/>
              <w:rPr>
                <w:rFonts w:hint="eastAsia"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7A7F9623">
            <w:pPr>
              <w:spacing w:before="120"/>
              <w:jc w:val="center"/>
              <w:rPr>
                <w:rFonts w:hint="eastAsia"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noWrap w:val="0"/>
            <w:vAlign w:val="top"/>
          </w:tcPr>
          <w:p w14:paraId="37576AE1">
            <w:pPr>
              <w:spacing w:before="120"/>
              <w:jc w:val="center"/>
              <w:rPr>
                <w:rFonts w:hint="eastAsia" w:ascii="宋体" w:hAnsi="宋体"/>
                <w:color w:val="auto"/>
                <w:sz w:val="24"/>
                <w:highlight w:val="none"/>
              </w:rPr>
            </w:pPr>
            <w:r>
              <w:rPr>
                <w:rFonts w:hint="eastAsia" w:ascii="宋体" w:hAnsi="宋体"/>
                <w:color w:val="auto"/>
                <w:sz w:val="24"/>
                <w:highlight w:val="none"/>
              </w:rPr>
              <w:t>偏离说明</w:t>
            </w:r>
          </w:p>
        </w:tc>
      </w:tr>
      <w:tr w14:paraId="178A63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944" w:type="dxa"/>
            <w:tcBorders>
              <w:top w:val="single" w:color="auto" w:sz="4" w:space="0"/>
              <w:left w:val="single" w:color="auto" w:sz="4" w:space="0"/>
              <w:bottom w:val="single" w:color="auto" w:sz="4" w:space="0"/>
              <w:right w:val="single" w:color="auto" w:sz="4" w:space="0"/>
            </w:tcBorders>
            <w:noWrap w:val="0"/>
            <w:vAlign w:val="center"/>
          </w:tcPr>
          <w:p w14:paraId="79E5C270">
            <w:pPr>
              <w:spacing w:before="12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服务保修期</w:t>
            </w:r>
          </w:p>
        </w:tc>
        <w:tc>
          <w:tcPr>
            <w:tcW w:w="2902" w:type="dxa"/>
            <w:tcBorders>
              <w:top w:val="single" w:color="auto" w:sz="4" w:space="0"/>
              <w:left w:val="single" w:color="auto" w:sz="4" w:space="0"/>
              <w:bottom w:val="single" w:color="auto" w:sz="4" w:space="0"/>
              <w:right w:val="single" w:color="auto" w:sz="4" w:space="0"/>
            </w:tcBorders>
            <w:noWrap w:val="0"/>
            <w:vAlign w:val="center"/>
          </w:tcPr>
          <w:p w14:paraId="4BE359F1">
            <w:pPr>
              <w:jc w:val="left"/>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3F59FF3B">
            <w:pPr>
              <w:spacing w:before="12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18610145">
            <w:pPr>
              <w:spacing w:before="120"/>
              <w:jc w:val="center"/>
              <w:rPr>
                <w:rFonts w:hint="eastAsia" w:ascii="宋体" w:hAnsi="宋体"/>
                <w:color w:val="auto"/>
                <w:sz w:val="24"/>
                <w:highlight w:val="none"/>
              </w:rPr>
            </w:pPr>
          </w:p>
        </w:tc>
      </w:tr>
      <w:tr w14:paraId="5DE238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944" w:type="dxa"/>
            <w:tcBorders>
              <w:top w:val="single" w:color="auto" w:sz="4" w:space="0"/>
              <w:left w:val="single" w:color="auto" w:sz="4" w:space="0"/>
              <w:bottom w:val="single" w:color="auto" w:sz="4" w:space="0"/>
              <w:right w:val="single" w:color="auto" w:sz="4" w:space="0"/>
            </w:tcBorders>
            <w:noWrap w:val="0"/>
            <w:vAlign w:val="center"/>
          </w:tcPr>
          <w:p w14:paraId="3D59CB25">
            <w:pPr>
              <w:spacing w:before="12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服务地点</w:t>
            </w:r>
          </w:p>
        </w:tc>
        <w:tc>
          <w:tcPr>
            <w:tcW w:w="2902" w:type="dxa"/>
            <w:tcBorders>
              <w:top w:val="single" w:color="auto" w:sz="4" w:space="0"/>
              <w:left w:val="single" w:color="auto" w:sz="4" w:space="0"/>
              <w:bottom w:val="single" w:color="auto" w:sz="4" w:space="0"/>
              <w:right w:val="single" w:color="auto" w:sz="4" w:space="0"/>
            </w:tcBorders>
            <w:noWrap w:val="0"/>
            <w:vAlign w:val="center"/>
          </w:tcPr>
          <w:p w14:paraId="59818901">
            <w:pPr>
              <w:jc w:val="left"/>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7893A0D2">
            <w:pPr>
              <w:spacing w:before="12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7F635862">
            <w:pPr>
              <w:spacing w:before="120"/>
              <w:ind w:left="43"/>
              <w:jc w:val="center"/>
              <w:rPr>
                <w:rFonts w:hint="eastAsia" w:ascii="宋体" w:hAnsi="宋体"/>
                <w:color w:val="auto"/>
                <w:sz w:val="24"/>
                <w:highlight w:val="none"/>
              </w:rPr>
            </w:pPr>
          </w:p>
        </w:tc>
      </w:tr>
      <w:tr w14:paraId="12F09D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944" w:type="dxa"/>
            <w:tcBorders>
              <w:top w:val="single" w:color="auto" w:sz="4" w:space="0"/>
              <w:left w:val="single" w:color="auto" w:sz="4" w:space="0"/>
              <w:bottom w:val="single" w:color="auto" w:sz="4" w:space="0"/>
              <w:right w:val="single" w:color="auto" w:sz="4" w:space="0"/>
            </w:tcBorders>
            <w:noWrap w:val="0"/>
            <w:vAlign w:val="center"/>
          </w:tcPr>
          <w:p w14:paraId="1871D9F2">
            <w:pPr>
              <w:spacing w:before="12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合同签订时间</w:t>
            </w:r>
          </w:p>
        </w:tc>
        <w:tc>
          <w:tcPr>
            <w:tcW w:w="2902" w:type="dxa"/>
            <w:tcBorders>
              <w:top w:val="single" w:color="auto" w:sz="4" w:space="0"/>
              <w:left w:val="single" w:color="auto" w:sz="4" w:space="0"/>
              <w:bottom w:val="single" w:color="auto" w:sz="4" w:space="0"/>
              <w:right w:val="single" w:color="auto" w:sz="4" w:space="0"/>
            </w:tcBorders>
            <w:noWrap w:val="0"/>
            <w:vAlign w:val="center"/>
          </w:tcPr>
          <w:p w14:paraId="658DF689">
            <w:pPr>
              <w:jc w:val="left"/>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3C9B80BB">
            <w:pPr>
              <w:spacing w:before="12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65EB42FA">
            <w:pPr>
              <w:spacing w:before="120"/>
              <w:ind w:left="43"/>
              <w:jc w:val="center"/>
              <w:rPr>
                <w:rFonts w:hint="eastAsia" w:ascii="宋体" w:hAnsi="宋体"/>
                <w:color w:val="auto"/>
                <w:sz w:val="24"/>
                <w:highlight w:val="none"/>
              </w:rPr>
            </w:pPr>
          </w:p>
        </w:tc>
      </w:tr>
      <w:tr w14:paraId="0247D2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944" w:type="dxa"/>
            <w:tcBorders>
              <w:top w:val="single" w:color="auto" w:sz="4" w:space="0"/>
              <w:left w:val="single" w:color="auto" w:sz="4" w:space="0"/>
              <w:bottom w:val="single" w:color="auto" w:sz="4" w:space="0"/>
              <w:right w:val="single" w:color="auto" w:sz="4" w:space="0"/>
            </w:tcBorders>
            <w:noWrap w:val="0"/>
            <w:vAlign w:val="center"/>
          </w:tcPr>
          <w:p w14:paraId="1310C3B7">
            <w:pPr>
              <w:spacing w:before="12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报价要求</w:t>
            </w:r>
          </w:p>
        </w:tc>
        <w:tc>
          <w:tcPr>
            <w:tcW w:w="2902" w:type="dxa"/>
            <w:tcBorders>
              <w:top w:val="single" w:color="auto" w:sz="4" w:space="0"/>
              <w:left w:val="single" w:color="auto" w:sz="4" w:space="0"/>
              <w:bottom w:val="single" w:color="auto" w:sz="4" w:space="0"/>
              <w:right w:val="single" w:color="auto" w:sz="4" w:space="0"/>
            </w:tcBorders>
            <w:noWrap w:val="0"/>
            <w:vAlign w:val="center"/>
          </w:tcPr>
          <w:p w14:paraId="7BD01B44">
            <w:pPr>
              <w:jc w:val="left"/>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40F1F51B">
            <w:pPr>
              <w:spacing w:before="12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486521B9">
            <w:pPr>
              <w:spacing w:before="120"/>
              <w:ind w:left="43"/>
              <w:jc w:val="center"/>
              <w:rPr>
                <w:rFonts w:hint="eastAsia" w:ascii="宋体" w:hAnsi="宋体"/>
                <w:color w:val="auto"/>
                <w:sz w:val="24"/>
                <w:highlight w:val="none"/>
              </w:rPr>
            </w:pPr>
          </w:p>
        </w:tc>
      </w:tr>
      <w:tr w14:paraId="4C80DD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944" w:type="dxa"/>
            <w:tcBorders>
              <w:top w:val="single" w:color="auto" w:sz="4" w:space="0"/>
              <w:left w:val="single" w:color="auto" w:sz="4" w:space="0"/>
              <w:bottom w:val="single" w:color="auto" w:sz="4" w:space="0"/>
              <w:right w:val="single" w:color="auto" w:sz="4" w:space="0"/>
            </w:tcBorders>
            <w:noWrap w:val="0"/>
            <w:vAlign w:val="center"/>
          </w:tcPr>
          <w:p w14:paraId="66A1C200">
            <w:pPr>
              <w:spacing w:before="12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付款方式</w:t>
            </w:r>
          </w:p>
        </w:tc>
        <w:tc>
          <w:tcPr>
            <w:tcW w:w="2902" w:type="dxa"/>
            <w:tcBorders>
              <w:top w:val="single" w:color="auto" w:sz="4" w:space="0"/>
              <w:left w:val="single" w:color="auto" w:sz="4" w:space="0"/>
              <w:bottom w:val="single" w:color="auto" w:sz="4" w:space="0"/>
              <w:right w:val="single" w:color="auto" w:sz="4" w:space="0"/>
            </w:tcBorders>
            <w:noWrap w:val="0"/>
            <w:vAlign w:val="center"/>
          </w:tcPr>
          <w:p w14:paraId="6C41FC96">
            <w:pPr>
              <w:jc w:val="left"/>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7E61D876">
            <w:pPr>
              <w:spacing w:before="12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3DA2EC95">
            <w:pPr>
              <w:spacing w:before="120"/>
              <w:ind w:left="43"/>
              <w:jc w:val="center"/>
              <w:rPr>
                <w:rFonts w:hint="eastAsia" w:ascii="宋体" w:hAnsi="宋体"/>
                <w:color w:val="auto"/>
                <w:sz w:val="24"/>
                <w:highlight w:val="none"/>
              </w:rPr>
            </w:pPr>
          </w:p>
        </w:tc>
      </w:tr>
      <w:tr w14:paraId="216B2D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44" w:type="dxa"/>
            <w:tcBorders>
              <w:top w:val="single" w:color="auto" w:sz="4" w:space="0"/>
              <w:left w:val="single" w:color="auto" w:sz="4" w:space="0"/>
              <w:bottom w:val="single" w:color="auto" w:sz="4" w:space="0"/>
              <w:right w:val="single" w:color="auto" w:sz="4" w:space="0"/>
            </w:tcBorders>
            <w:noWrap w:val="0"/>
            <w:vAlign w:val="center"/>
          </w:tcPr>
          <w:p w14:paraId="74713E0A">
            <w:pPr>
              <w:spacing w:before="120"/>
              <w:jc w:val="center"/>
              <w:rPr>
                <w:rFonts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验收要求</w:t>
            </w:r>
          </w:p>
        </w:tc>
        <w:tc>
          <w:tcPr>
            <w:tcW w:w="2902" w:type="dxa"/>
            <w:tcBorders>
              <w:top w:val="single" w:color="auto" w:sz="4" w:space="0"/>
              <w:left w:val="single" w:color="auto" w:sz="4" w:space="0"/>
              <w:bottom w:val="single" w:color="auto" w:sz="4" w:space="0"/>
              <w:right w:val="single" w:color="auto" w:sz="4" w:space="0"/>
            </w:tcBorders>
            <w:noWrap w:val="0"/>
            <w:vAlign w:val="top"/>
          </w:tcPr>
          <w:p w14:paraId="62DF5D0C">
            <w:pPr>
              <w:spacing w:before="12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450FC38D">
            <w:pPr>
              <w:spacing w:before="12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1C8E9B1B">
            <w:pPr>
              <w:spacing w:before="120"/>
              <w:jc w:val="center"/>
              <w:rPr>
                <w:rFonts w:hint="eastAsia" w:ascii="宋体" w:hAnsi="宋体"/>
                <w:color w:val="auto"/>
                <w:sz w:val="24"/>
                <w:highlight w:val="none"/>
              </w:rPr>
            </w:pPr>
          </w:p>
        </w:tc>
      </w:tr>
      <w:tr w14:paraId="2737EE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44" w:type="dxa"/>
            <w:tcBorders>
              <w:top w:val="single" w:color="auto" w:sz="4" w:space="0"/>
              <w:left w:val="single" w:color="auto" w:sz="4" w:space="0"/>
              <w:bottom w:val="single" w:color="auto" w:sz="4" w:space="0"/>
              <w:right w:val="single" w:color="auto" w:sz="4" w:space="0"/>
            </w:tcBorders>
            <w:noWrap w:val="0"/>
            <w:vAlign w:val="center"/>
          </w:tcPr>
          <w:p w14:paraId="53C77714">
            <w:pPr>
              <w:spacing w:before="12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其他要求</w:t>
            </w:r>
          </w:p>
        </w:tc>
        <w:tc>
          <w:tcPr>
            <w:tcW w:w="2902" w:type="dxa"/>
            <w:tcBorders>
              <w:top w:val="single" w:color="auto" w:sz="4" w:space="0"/>
              <w:left w:val="single" w:color="auto" w:sz="4" w:space="0"/>
              <w:bottom w:val="single" w:color="auto" w:sz="4" w:space="0"/>
              <w:right w:val="single" w:color="auto" w:sz="4" w:space="0"/>
            </w:tcBorders>
            <w:noWrap w:val="0"/>
            <w:vAlign w:val="top"/>
          </w:tcPr>
          <w:p w14:paraId="6F14CBCA">
            <w:pPr>
              <w:spacing w:before="12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4327B044">
            <w:pPr>
              <w:spacing w:before="12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47517F26">
            <w:pPr>
              <w:spacing w:before="120"/>
              <w:jc w:val="center"/>
              <w:rPr>
                <w:rFonts w:hint="eastAsia" w:ascii="宋体" w:hAnsi="宋体"/>
                <w:color w:val="auto"/>
                <w:sz w:val="24"/>
                <w:highlight w:val="none"/>
              </w:rPr>
            </w:pPr>
          </w:p>
        </w:tc>
      </w:tr>
      <w:tr w14:paraId="2B73D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44" w:type="dxa"/>
            <w:tcBorders>
              <w:top w:val="single" w:color="auto" w:sz="4" w:space="0"/>
              <w:left w:val="single" w:color="auto" w:sz="4" w:space="0"/>
              <w:bottom w:val="single" w:color="auto" w:sz="4" w:space="0"/>
              <w:right w:val="single" w:color="auto" w:sz="4" w:space="0"/>
            </w:tcBorders>
            <w:noWrap w:val="0"/>
            <w:vAlign w:val="center"/>
          </w:tcPr>
          <w:p w14:paraId="435FAA86">
            <w:pPr>
              <w:spacing w:line="360" w:lineRule="exact"/>
              <w:ind w:firstLine="420"/>
              <w:jc w:val="both"/>
              <w:rPr>
                <w:rFonts w:ascii="宋体" w:hAnsi="宋体"/>
                <w:color w:val="auto"/>
                <w:sz w:val="24"/>
                <w:highlight w:val="none"/>
                <w:lang w:val="en-US" w:eastAsia="zh-CN"/>
              </w:rPr>
            </w:pPr>
            <w:r>
              <w:rPr>
                <w:rFonts w:hint="eastAsia" w:ascii="宋体" w:hAnsi="宋体" w:eastAsia="宋体" w:cs="宋体"/>
                <w:color w:val="auto"/>
                <w:szCs w:val="21"/>
                <w:highlight w:val="none"/>
                <w:lang w:val="en-US" w:eastAsia="zh-CN"/>
              </w:rPr>
              <w:t>......</w:t>
            </w:r>
          </w:p>
        </w:tc>
        <w:tc>
          <w:tcPr>
            <w:tcW w:w="2902" w:type="dxa"/>
            <w:tcBorders>
              <w:top w:val="single" w:color="auto" w:sz="4" w:space="0"/>
              <w:left w:val="single" w:color="auto" w:sz="4" w:space="0"/>
              <w:bottom w:val="single" w:color="auto" w:sz="4" w:space="0"/>
              <w:right w:val="single" w:color="auto" w:sz="4" w:space="0"/>
            </w:tcBorders>
            <w:noWrap w:val="0"/>
            <w:vAlign w:val="top"/>
          </w:tcPr>
          <w:p w14:paraId="1E2F643D">
            <w:pPr>
              <w:spacing w:before="12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4CF1A9EC">
            <w:pPr>
              <w:spacing w:before="12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7CC111FB">
            <w:pPr>
              <w:spacing w:before="120"/>
              <w:jc w:val="center"/>
              <w:rPr>
                <w:rFonts w:hint="eastAsia" w:ascii="宋体" w:hAnsi="宋体"/>
                <w:color w:val="auto"/>
                <w:sz w:val="24"/>
                <w:highlight w:val="none"/>
              </w:rPr>
            </w:pPr>
          </w:p>
        </w:tc>
      </w:tr>
    </w:tbl>
    <w:p w14:paraId="780B7BB6">
      <w:pPr>
        <w:pStyle w:val="220"/>
        <w:rPr>
          <w:rFonts w:hint="eastAsia" w:ascii="宋体" w:hAnsi="宋体"/>
          <w:color w:val="auto"/>
          <w:highlight w:val="none"/>
        </w:rPr>
      </w:pPr>
      <w:r>
        <w:rPr>
          <w:rFonts w:hint="eastAsia" w:ascii="宋体" w:hAnsi="宋体"/>
          <w:color w:val="auto"/>
          <w:highlight w:val="none"/>
        </w:rPr>
        <w:t>注：</w:t>
      </w:r>
    </w:p>
    <w:p w14:paraId="63A9F0E1">
      <w:pPr>
        <w:pStyle w:val="224"/>
        <w:spacing w:line="520" w:lineRule="exact"/>
        <w:ind w:firstLine="0"/>
        <w:rPr>
          <w:rFonts w:hint="eastAsia"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采购需求”中的商务要求逐条作明确的投标响应，并作出偏离说明。</w:t>
      </w:r>
    </w:p>
    <w:p w14:paraId="6AFDD918">
      <w:pPr>
        <w:pStyle w:val="220"/>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74F79EA3">
      <w:pPr>
        <w:spacing w:before="50" w:after="50"/>
        <w:rPr>
          <w:rFonts w:ascii="宋体" w:hAnsi="宋体"/>
          <w:color w:val="auto"/>
          <w:sz w:val="24"/>
          <w:highlight w:val="none"/>
        </w:rPr>
      </w:pPr>
    </w:p>
    <w:p w14:paraId="2F007682">
      <w:pPr>
        <w:spacing w:before="50" w:after="50"/>
        <w:rPr>
          <w:rFonts w:ascii="宋体" w:hAnsi="宋体"/>
          <w:color w:val="auto"/>
          <w:sz w:val="24"/>
          <w:highlight w:val="none"/>
        </w:rPr>
      </w:pPr>
    </w:p>
    <w:p w14:paraId="5A16FBC5">
      <w:pPr>
        <w:spacing w:before="50" w:after="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0102C37B">
      <w:pPr>
        <w:spacing w:before="120"/>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57FAA78C">
      <w:pPr>
        <w:spacing w:before="120"/>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19D516F7">
      <w:pPr>
        <w:spacing w:before="120" w:after="50"/>
        <w:jc w:val="left"/>
        <w:rPr>
          <w:rFonts w:ascii="宋体" w:hAnsi="宋体"/>
          <w:color w:val="auto"/>
          <w:sz w:val="24"/>
          <w:szCs w:val="20"/>
          <w:highlight w:val="none"/>
        </w:rPr>
        <w:sectPr>
          <w:footerReference r:id="rId11" w:type="first"/>
          <w:headerReference r:id="rId8" w:type="default"/>
          <w:footerReference r:id="rId9" w:type="default"/>
          <w:footerReference r:id="rId10" w:type="even"/>
          <w:pgSz w:w="11906" w:h="16838"/>
          <w:pgMar w:top="1440" w:right="1489" w:bottom="1440" w:left="1797" w:header="851" w:footer="992" w:gutter="0"/>
          <w:pgBorders>
            <w:top w:val="none" w:sz="0" w:space="0"/>
            <w:left w:val="none" w:sz="0" w:space="0"/>
            <w:bottom w:val="none" w:sz="0" w:space="0"/>
            <w:right w:val="none" w:sz="0" w:space="0"/>
          </w:pgBorders>
          <w:cols w:space="1701" w:num="1"/>
        </w:sectPr>
      </w:pPr>
    </w:p>
    <w:p w14:paraId="2192091E">
      <w:pPr>
        <w:spacing w:before="120" w:after="50"/>
        <w:jc w:val="left"/>
        <w:rPr>
          <w:rFonts w:hint="eastAsia" w:ascii="宋体" w:hAnsi="宋体"/>
          <w:b/>
          <w:color w:val="auto"/>
          <w:sz w:val="24"/>
          <w:highlight w:val="none"/>
        </w:rPr>
      </w:pPr>
      <w:r>
        <w:rPr>
          <w:rFonts w:hint="eastAsia" w:ascii="宋体" w:hAnsi="宋体"/>
          <w:b/>
          <w:color w:val="auto"/>
          <w:sz w:val="24"/>
          <w:highlight w:val="none"/>
          <w:lang w:val="en-US" w:eastAsia="zh-CN"/>
        </w:rPr>
        <w:t>8</w:t>
      </w:r>
      <w:r>
        <w:rPr>
          <w:rFonts w:hint="eastAsia" w:ascii="宋体" w:hAnsi="宋体"/>
          <w:b/>
          <w:color w:val="auto"/>
          <w:sz w:val="24"/>
          <w:highlight w:val="none"/>
        </w:rPr>
        <w:t>.投标人业绩证明材料</w:t>
      </w:r>
    </w:p>
    <w:p w14:paraId="2BD44A45">
      <w:pPr>
        <w:pStyle w:val="248"/>
        <w:ind w:left="480" w:hanging="480"/>
        <w:rPr>
          <w:rFonts w:hint="eastAsia" w:ascii="宋体" w:hAnsi="宋体"/>
          <w:color w:val="auto"/>
          <w:sz w:val="24"/>
          <w:highlight w:val="none"/>
        </w:rPr>
      </w:pPr>
    </w:p>
    <w:p w14:paraId="4B2FCB1D">
      <w:pPr>
        <w:pStyle w:val="248"/>
        <w:ind w:left="480" w:hanging="480"/>
        <w:rPr>
          <w:rFonts w:hint="eastAsia"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3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6E5783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1250" w:type="pct"/>
            <w:vMerge w:val="restart"/>
            <w:tcBorders>
              <w:top w:val="single" w:color="auto" w:sz="4" w:space="0"/>
              <w:left w:val="single" w:color="auto" w:sz="4" w:space="0"/>
              <w:bottom w:val="single" w:color="auto" w:sz="4" w:space="0"/>
              <w:right w:val="single" w:color="auto" w:sz="4" w:space="0"/>
            </w:tcBorders>
            <w:noWrap w:val="0"/>
            <w:vAlign w:val="center"/>
          </w:tcPr>
          <w:p w14:paraId="468C1C4E">
            <w:pPr>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1916DC6E">
            <w:pPr>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43DB490F">
            <w:pPr>
              <w:spacing w:line="240" w:lineRule="exact"/>
              <w:jc w:val="center"/>
              <w:rPr>
                <w:rFonts w:hint="eastAsia" w:ascii="宋体" w:hAnsi="宋体"/>
                <w:color w:val="auto"/>
                <w:sz w:val="24"/>
                <w:highlight w:val="none"/>
              </w:rPr>
            </w:pPr>
            <w:r>
              <w:rPr>
                <w:rFonts w:hint="eastAsia" w:ascii="宋体" w:hAnsi="宋体"/>
                <w:color w:val="auto"/>
                <w:sz w:val="24"/>
                <w:highlight w:val="none"/>
              </w:rPr>
              <w:t>合同金额</w:t>
            </w:r>
          </w:p>
          <w:p w14:paraId="7041190A">
            <w:pPr>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noWrap w:val="0"/>
            <w:vAlign w:val="center"/>
          </w:tcPr>
          <w:p w14:paraId="16C7BC21">
            <w:pPr>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w:t>
            </w:r>
          </w:p>
          <w:p w14:paraId="0B4B8B8E">
            <w:pPr>
              <w:spacing w:line="240" w:lineRule="exact"/>
              <w:jc w:val="center"/>
              <w:rPr>
                <w:rFonts w:hint="eastAsia" w:ascii="宋体" w:hAnsi="宋体"/>
                <w:color w:val="auto"/>
                <w:sz w:val="24"/>
                <w:highlight w:val="none"/>
              </w:rPr>
            </w:pPr>
            <w:r>
              <w:rPr>
                <w:rFonts w:hint="eastAsia" w:ascii="宋体" w:hAnsi="宋体"/>
                <w:color w:val="auto"/>
                <w:sz w:val="24"/>
                <w:highlight w:val="none"/>
              </w:rPr>
              <w:t>联系电话</w:t>
            </w:r>
          </w:p>
        </w:tc>
      </w:tr>
      <w:tr w14:paraId="558F37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250" w:type="pct"/>
            <w:tcBorders>
              <w:top w:val="single" w:color="auto" w:sz="4" w:space="0"/>
              <w:left w:val="single" w:color="auto" w:sz="4" w:space="0"/>
              <w:bottom w:val="single" w:color="auto" w:sz="4" w:space="0"/>
              <w:right w:val="single" w:color="auto" w:sz="4" w:space="0"/>
            </w:tcBorders>
            <w:noWrap w:val="0"/>
            <w:vAlign w:val="top"/>
          </w:tcPr>
          <w:p w14:paraId="3C17CC6D">
            <w:pPr>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71CE082">
            <w:pPr>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07097CB">
            <w:pPr>
              <w:spacing w:line="24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2B41750C">
            <w:pPr>
              <w:spacing w:line="240" w:lineRule="exact"/>
              <w:jc w:val="left"/>
              <w:rPr>
                <w:rFonts w:hint="eastAsia" w:ascii="宋体" w:hAnsi="宋体"/>
                <w:color w:val="auto"/>
                <w:sz w:val="24"/>
                <w:highlight w:val="none"/>
              </w:rPr>
            </w:pPr>
          </w:p>
        </w:tc>
      </w:tr>
      <w:tr w14:paraId="67FCA6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0" w:type="pct"/>
            <w:tcBorders>
              <w:top w:val="single" w:color="auto" w:sz="4" w:space="0"/>
              <w:left w:val="single" w:color="auto" w:sz="4" w:space="0"/>
              <w:bottom w:val="single" w:color="auto" w:sz="4" w:space="0"/>
              <w:right w:val="single" w:color="auto" w:sz="4" w:space="0"/>
            </w:tcBorders>
            <w:noWrap w:val="0"/>
            <w:vAlign w:val="top"/>
          </w:tcPr>
          <w:p w14:paraId="53DB637A">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F5016DA">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C72ACE6">
            <w:pPr>
              <w:spacing w:before="50" w:after="12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55E5C31F">
            <w:pPr>
              <w:spacing w:before="50" w:after="120" w:line="400" w:lineRule="exact"/>
              <w:jc w:val="left"/>
              <w:rPr>
                <w:rFonts w:hint="eastAsia" w:ascii="宋体" w:hAnsi="宋体"/>
                <w:color w:val="auto"/>
                <w:sz w:val="24"/>
                <w:highlight w:val="none"/>
              </w:rPr>
            </w:pPr>
          </w:p>
        </w:tc>
      </w:tr>
      <w:tr w14:paraId="4BA9AF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250" w:type="pct"/>
            <w:tcBorders>
              <w:top w:val="single" w:color="auto" w:sz="4" w:space="0"/>
              <w:left w:val="single" w:color="auto" w:sz="4" w:space="0"/>
              <w:bottom w:val="single" w:color="auto" w:sz="4" w:space="0"/>
              <w:right w:val="single" w:color="auto" w:sz="4" w:space="0"/>
            </w:tcBorders>
            <w:noWrap w:val="0"/>
            <w:vAlign w:val="top"/>
          </w:tcPr>
          <w:p w14:paraId="61D89EDE">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5EC4024C">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AFFE654">
            <w:pPr>
              <w:spacing w:before="50" w:after="12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0D92D793">
            <w:pPr>
              <w:spacing w:before="50" w:after="120" w:line="400" w:lineRule="exact"/>
              <w:jc w:val="left"/>
              <w:rPr>
                <w:rFonts w:hint="eastAsia" w:ascii="宋体" w:hAnsi="宋体"/>
                <w:color w:val="auto"/>
                <w:sz w:val="24"/>
                <w:highlight w:val="none"/>
              </w:rPr>
            </w:pPr>
          </w:p>
        </w:tc>
      </w:tr>
      <w:tr w14:paraId="2E9ECD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0" w:type="pct"/>
            <w:tcBorders>
              <w:top w:val="single" w:color="auto" w:sz="4" w:space="0"/>
              <w:left w:val="single" w:color="auto" w:sz="4" w:space="0"/>
              <w:bottom w:val="single" w:color="auto" w:sz="4" w:space="0"/>
              <w:right w:val="single" w:color="auto" w:sz="4" w:space="0"/>
            </w:tcBorders>
            <w:noWrap w:val="0"/>
            <w:vAlign w:val="top"/>
          </w:tcPr>
          <w:p w14:paraId="26C4A287">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CAA7527">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31B9FE3">
            <w:pPr>
              <w:spacing w:before="50" w:after="12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2EA71A2C">
            <w:pPr>
              <w:spacing w:before="50" w:after="120" w:line="400" w:lineRule="exact"/>
              <w:jc w:val="left"/>
              <w:rPr>
                <w:rFonts w:hint="eastAsia" w:ascii="宋体" w:hAnsi="宋体"/>
                <w:color w:val="auto"/>
                <w:sz w:val="24"/>
                <w:highlight w:val="none"/>
              </w:rPr>
            </w:pPr>
          </w:p>
        </w:tc>
      </w:tr>
      <w:tr w14:paraId="794C6C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0" w:type="pct"/>
            <w:tcBorders>
              <w:top w:val="single" w:color="auto" w:sz="4" w:space="0"/>
              <w:left w:val="single" w:color="auto" w:sz="4" w:space="0"/>
              <w:bottom w:val="single" w:color="auto" w:sz="4" w:space="0"/>
              <w:right w:val="single" w:color="auto" w:sz="4" w:space="0"/>
            </w:tcBorders>
            <w:noWrap w:val="0"/>
            <w:vAlign w:val="top"/>
          </w:tcPr>
          <w:p w14:paraId="3CE61C5A">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7590327">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F19B4D5">
            <w:pPr>
              <w:spacing w:before="50" w:after="12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3250552C">
            <w:pPr>
              <w:spacing w:before="50" w:after="120" w:line="400" w:lineRule="exact"/>
              <w:jc w:val="left"/>
              <w:rPr>
                <w:rFonts w:hint="eastAsia" w:ascii="宋体" w:hAnsi="宋体"/>
                <w:color w:val="auto"/>
                <w:sz w:val="24"/>
                <w:highlight w:val="none"/>
              </w:rPr>
            </w:pPr>
          </w:p>
        </w:tc>
      </w:tr>
    </w:tbl>
    <w:p w14:paraId="69ECFB94">
      <w:pPr>
        <w:pStyle w:val="217"/>
        <w:spacing w:before="0" w:after="0" w:line="360" w:lineRule="auto"/>
        <w:contextualSpacing/>
        <w:rPr>
          <w:rFonts w:hint="eastAsia" w:ascii="宋体" w:hAnsi="宋体" w:eastAsia="宋体"/>
          <w:color w:val="auto"/>
          <w:sz w:val="24"/>
          <w:szCs w:val="24"/>
          <w:highlight w:val="none"/>
        </w:rPr>
      </w:pPr>
    </w:p>
    <w:p w14:paraId="59D7FBE4">
      <w:pPr>
        <w:pStyle w:val="217"/>
        <w:spacing w:before="0" w:after="0" w:line="360" w:lineRule="auto"/>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eastAsia="宋体"/>
          <w:color w:val="auto"/>
          <w:sz w:val="24"/>
          <w:highlight w:val="none"/>
        </w:rPr>
        <w:t>投标人</w:t>
      </w:r>
      <w:r>
        <w:rPr>
          <w:rFonts w:hint="eastAsia" w:ascii="宋体" w:hAnsi="宋体"/>
          <w:color w:val="auto"/>
          <w:sz w:val="24"/>
          <w:highlight w:val="none"/>
        </w:rPr>
        <w:t>根据评标标准具体要求附业绩证明材料。</w:t>
      </w:r>
    </w:p>
    <w:p w14:paraId="4850FC5D">
      <w:pPr>
        <w:pStyle w:val="217"/>
        <w:spacing w:before="0" w:after="0" w:line="360" w:lineRule="auto"/>
        <w:contextualSpacing/>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法定代表人或者委托代理人（签字或者电子签名）：</w:t>
      </w:r>
      <w:r>
        <w:rPr>
          <w:rFonts w:hint="eastAsia" w:ascii="宋体" w:hAnsi="宋体" w:eastAsia="宋体"/>
          <w:color w:val="auto"/>
          <w:sz w:val="24"/>
          <w:szCs w:val="24"/>
          <w:highlight w:val="none"/>
          <w:u w:val="single"/>
        </w:rPr>
        <w:t>　　　　　</w:t>
      </w:r>
    </w:p>
    <w:p w14:paraId="7EF56F1E">
      <w:pPr>
        <w:spacing w:line="360" w:lineRule="auto"/>
        <w:ind w:right="480"/>
        <w:contextualSpacing/>
        <w:jc w:val="left"/>
        <w:rPr>
          <w:rFonts w:hint="eastAsia" w:ascii="宋体" w:hAnsi="宋体"/>
          <w:color w:val="auto"/>
          <w:sz w:val="24"/>
          <w:szCs w:val="20"/>
          <w:highlight w:val="none"/>
        </w:rPr>
      </w:pPr>
      <w:r>
        <w:rPr>
          <w:rFonts w:hint="eastAsia" w:ascii="宋体" w:hAnsi="宋体" w:cs="Arial"/>
          <w:color w:val="auto"/>
          <w:sz w:val="24"/>
          <w:highlight w:val="none"/>
        </w:rPr>
        <w:t xml:space="preserve">投标人名称（电子签章）：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月    日</w:t>
      </w:r>
    </w:p>
    <w:p w14:paraId="7B9C0E9E">
      <w:pPr>
        <w:numPr>
          <w:ilvl w:val="0"/>
          <w:numId w:val="0"/>
        </w:numPr>
        <w:spacing w:before="120" w:after="50"/>
        <w:jc w:val="left"/>
        <w:rPr>
          <w:rFonts w:hint="eastAsia" w:ascii="宋体" w:hAnsi="宋体" w:cs="宋体"/>
          <w:bCs/>
          <w:color w:val="auto"/>
          <w:szCs w:val="21"/>
          <w:highlight w:val="none"/>
        </w:rPr>
      </w:pPr>
      <w:r>
        <w:rPr>
          <w:rFonts w:ascii="宋体" w:hAnsi="宋体"/>
          <w:color w:val="auto"/>
          <w:sz w:val="24"/>
          <w:highlight w:val="none"/>
        </w:rPr>
        <w:br w:type="page" w:clear="all"/>
      </w:r>
      <w:r>
        <w:rPr>
          <w:rFonts w:hint="eastAsia" w:ascii="宋体" w:hAnsi="宋体"/>
          <w:color w:val="auto"/>
          <w:sz w:val="24"/>
          <w:highlight w:val="none"/>
          <w:lang w:val="en-US" w:eastAsia="zh-CN"/>
        </w:rPr>
        <w:t>9.</w:t>
      </w:r>
      <w:r>
        <w:rPr>
          <w:rFonts w:hint="eastAsia" w:ascii="宋体" w:hAnsi="宋体"/>
          <w:b/>
          <w:color w:val="auto"/>
          <w:sz w:val="24"/>
          <w:highlight w:val="none"/>
        </w:rPr>
        <w:t>代理服务费承诺书</w:t>
      </w:r>
    </w:p>
    <w:p w14:paraId="47ED00FA">
      <w:pPr>
        <w:numPr>
          <w:ilvl w:val="0"/>
          <w:numId w:val="0"/>
        </w:numPr>
        <w:spacing w:before="120" w:after="50"/>
        <w:jc w:val="left"/>
        <w:rPr>
          <w:rFonts w:hint="eastAsia" w:ascii="宋体" w:hAnsi="宋体" w:cs="宋体"/>
          <w:bCs/>
          <w:color w:val="auto"/>
          <w:szCs w:val="21"/>
          <w:highlight w:val="none"/>
        </w:rPr>
      </w:pPr>
    </w:p>
    <w:p w14:paraId="1E3409B6">
      <w:pPr>
        <w:spacing w:before="12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代理服务费承诺书</w:t>
      </w:r>
    </w:p>
    <w:p w14:paraId="54294CC2">
      <w:pPr>
        <w:spacing w:before="120" w:after="50"/>
        <w:jc w:val="center"/>
        <w:rPr>
          <w:rFonts w:hint="eastAsia" w:ascii="宋体" w:hAnsi="宋体"/>
          <w:b/>
          <w:color w:val="auto"/>
          <w:sz w:val="24"/>
          <w:highlight w:val="none"/>
        </w:rPr>
      </w:pPr>
    </w:p>
    <w:p w14:paraId="058D6AC2">
      <w:pPr>
        <w:spacing w:line="360" w:lineRule="auto"/>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招标代理机构名称</w:t>
      </w:r>
      <w:r>
        <w:rPr>
          <w:rFonts w:hint="eastAsia" w:ascii="宋体" w:hAnsi="宋体"/>
          <w:color w:val="auto"/>
          <w:sz w:val="24"/>
          <w:highlight w:val="none"/>
        </w:rPr>
        <w:t>：</w:t>
      </w:r>
    </w:p>
    <w:p w14:paraId="60B9D4CC">
      <w:pPr>
        <w:spacing w:line="360" w:lineRule="auto"/>
        <w:ind w:firstLine="480"/>
        <w:rPr>
          <w:rFonts w:hint="eastAsia"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6FE95E14">
      <w:pPr>
        <w:spacing w:line="360" w:lineRule="auto"/>
        <w:ind w:firstLine="360"/>
        <w:rPr>
          <w:rFonts w:hint="eastAsia" w:ascii="宋体" w:hAnsi="宋体"/>
          <w:color w:val="auto"/>
          <w:sz w:val="24"/>
          <w:highlight w:val="none"/>
        </w:rPr>
      </w:pPr>
      <w:r>
        <w:rPr>
          <w:rFonts w:hint="eastAsia" w:ascii="宋体" w:hAnsi="宋体"/>
          <w:color w:val="auto"/>
          <w:sz w:val="24"/>
          <w:highlight w:val="none"/>
        </w:rPr>
        <w:t>1.我方承诺，若本单位中标，保证在发出中标通知书之日起25日内，按本项目招标文件的规定标准向贵单位一次性足额支付代理服务费, 在领取中标通知书后，由于被质疑、投诉或者其他原因而导致中标结果改变，我方将放弃对已缴纳的</w:t>
      </w:r>
      <w:r>
        <w:rPr>
          <w:rFonts w:hint="eastAsia" w:ascii="宋体" w:hAnsi="宋体"/>
          <w:color w:val="auto"/>
          <w:sz w:val="24"/>
          <w:highlight w:val="none"/>
          <w:lang w:val="en-US" w:eastAsia="zh-CN"/>
        </w:rPr>
        <w:t>代理</w:t>
      </w:r>
      <w:r>
        <w:rPr>
          <w:rFonts w:hint="eastAsia" w:ascii="宋体" w:hAnsi="宋体"/>
          <w:color w:val="auto"/>
          <w:sz w:val="24"/>
          <w:highlight w:val="none"/>
        </w:rPr>
        <w:t>服务费追还的一切权利。</w:t>
      </w:r>
    </w:p>
    <w:p w14:paraId="64334CFB">
      <w:pPr>
        <w:spacing w:line="360" w:lineRule="auto"/>
        <w:ind w:firstLine="360"/>
        <w:rPr>
          <w:rFonts w:hint="eastAsia"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7E76A0A3">
      <w:pPr>
        <w:spacing w:line="360" w:lineRule="auto"/>
        <w:ind w:firstLine="360"/>
        <w:rPr>
          <w:rFonts w:hint="eastAsia" w:ascii="宋体" w:hAnsi="宋体"/>
          <w:color w:val="auto"/>
          <w:sz w:val="24"/>
          <w:highlight w:val="none"/>
        </w:rPr>
      </w:pPr>
      <w:r>
        <w:rPr>
          <w:rFonts w:hint="eastAsia" w:ascii="宋体" w:hAnsi="宋体"/>
          <w:color w:val="auto"/>
          <w:sz w:val="24"/>
          <w:highlight w:val="none"/>
        </w:rPr>
        <w:t>第一种方式：开具增值税普通发票。开票信息如下：</w:t>
      </w:r>
    </w:p>
    <w:p w14:paraId="7167343E">
      <w:pPr>
        <w:spacing w:line="360" w:lineRule="auto"/>
        <w:ind w:firstLine="36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75B994BA">
      <w:pPr>
        <w:spacing w:line="360" w:lineRule="auto"/>
        <w:ind w:firstLine="36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D75F5D8">
      <w:pPr>
        <w:spacing w:line="360" w:lineRule="auto"/>
        <w:ind w:firstLine="360"/>
        <w:rPr>
          <w:rFonts w:hint="eastAsia" w:ascii="宋体" w:hAnsi="宋体"/>
          <w:color w:val="auto"/>
          <w:sz w:val="24"/>
          <w:highlight w:val="none"/>
        </w:rPr>
      </w:pPr>
      <w:r>
        <w:rPr>
          <w:rFonts w:hint="eastAsia" w:ascii="宋体" w:hAnsi="宋体"/>
          <w:color w:val="auto"/>
          <w:sz w:val="24"/>
          <w:highlight w:val="none"/>
        </w:rPr>
        <w:t>第二种方式：开具增值税专用发票，开票信息如下：</w:t>
      </w:r>
    </w:p>
    <w:p w14:paraId="3AA6E1AC">
      <w:pPr>
        <w:spacing w:line="360" w:lineRule="auto"/>
        <w:ind w:firstLine="36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E45F229">
      <w:pPr>
        <w:spacing w:line="360" w:lineRule="auto"/>
        <w:ind w:firstLine="36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68A136A9">
      <w:pPr>
        <w:spacing w:line="360" w:lineRule="auto"/>
        <w:ind w:firstLine="360"/>
        <w:rPr>
          <w:rFonts w:hint="eastAsia" w:ascii="宋体" w:hAnsi="宋体"/>
          <w:color w:val="auto"/>
          <w:sz w:val="24"/>
          <w:highlight w:val="none"/>
        </w:rPr>
      </w:pPr>
      <w:r>
        <w:rPr>
          <w:rFonts w:hint="eastAsia" w:ascii="宋体" w:hAnsi="宋体"/>
          <w:color w:val="auto"/>
          <w:sz w:val="24"/>
          <w:highlight w:val="none"/>
        </w:rPr>
        <w:t>（3）在</w:t>
      </w:r>
      <w:r>
        <w:rPr>
          <w:rFonts w:hint="eastAsia" w:ascii="宋体" w:hAnsi="宋体"/>
          <w:color w:val="auto"/>
          <w:sz w:val="24"/>
          <w:highlight w:val="none"/>
          <w:lang w:val="en-US" w:eastAsia="zh-CN"/>
        </w:rPr>
        <w:t>税务局</w:t>
      </w:r>
      <w:r>
        <w:rPr>
          <w:rFonts w:hint="eastAsia" w:ascii="宋体" w:hAnsi="宋体"/>
          <w:color w:val="auto"/>
          <w:sz w:val="24"/>
          <w:highlight w:val="none"/>
        </w:rPr>
        <w:t>登记的地址</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545D0060">
      <w:pPr>
        <w:spacing w:line="360" w:lineRule="auto"/>
        <w:ind w:firstLine="360"/>
        <w:rPr>
          <w:rFonts w:hint="eastAsia" w:ascii="宋体" w:hAnsi="宋体"/>
          <w:color w:val="auto"/>
          <w:sz w:val="24"/>
          <w:highlight w:val="none"/>
        </w:rPr>
      </w:pPr>
      <w:r>
        <w:rPr>
          <w:rFonts w:hint="eastAsia" w:ascii="宋体" w:hAnsi="宋体"/>
          <w:color w:val="auto"/>
          <w:sz w:val="24"/>
          <w:highlight w:val="none"/>
        </w:rPr>
        <w:t>（4）在</w:t>
      </w:r>
      <w:r>
        <w:rPr>
          <w:rFonts w:hint="eastAsia" w:ascii="宋体" w:hAnsi="宋体"/>
          <w:color w:val="auto"/>
          <w:sz w:val="24"/>
          <w:highlight w:val="none"/>
          <w:lang w:val="en-US" w:eastAsia="zh-CN"/>
        </w:rPr>
        <w:t>税务局</w:t>
      </w:r>
      <w:r>
        <w:rPr>
          <w:rFonts w:hint="eastAsia" w:ascii="宋体" w:hAnsi="宋体"/>
          <w:color w:val="auto"/>
          <w:sz w:val="24"/>
          <w:highlight w:val="none"/>
        </w:rPr>
        <w:t>登记的电话</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74380284">
      <w:pPr>
        <w:spacing w:line="360" w:lineRule="auto"/>
        <w:ind w:firstLine="360"/>
        <w:rPr>
          <w:rFonts w:hint="eastAsia"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5A9D2A08">
      <w:pPr>
        <w:spacing w:line="360" w:lineRule="auto"/>
        <w:ind w:firstLine="360"/>
        <w:rPr>
          <w:rFonts w:hint="eastAsia"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7BCF47F">
      <w:pPr>
        <w:spacing w:line="440" w:lineRule="exact"/>
        <w:rPr>
          <w:rFonts w:hint="eastAsia" w:ascii="宋体" w:hAnsi="宋体"/>
          <w:color w:val="auto"/>
          <w:sz w:val="24"/>
          <w:highlight w:val="none"/>
        </w:rPr>
      </w:pPr>
    </w:p>
    <w:p w14:paraId="7B6C73C8">
      <w:pPr>
        <w:spacing w:line="440" w:lineRule="exact"/>
        <w:rPr>
          <w:rFonts w:hint="eastAsia" w:ascii="宋体" w:hAnsi="宋体"/>
          <w:color w:val="auto"/>
          <w:sz w:val="24"/>
          <w:highlight w:val="none"/>
        </w:rPr>
      </w:pPr>
    </w:p>
    <w:p w14:paraId="52EF4386">
      <w:pPr>
        <w:spacing w:line="440" w:lineRule="exact"/>
        <w:rPr>
          <w:rFonts w:hint="eastAsia" w:ascii="宋体" w:hAnsi="宋体"/>
          <w:color w:val="auto"/>
          <w:sz w:val="24"/>
          <w:highlight w:val="none"/>
        </w:rPr>
      </w:pPr>
    </w:p>
    <w:p w14:paraId="37129139">
      <w:pPr>
        <w:spacing w:line="360" w:lineRule="auto"/>
        <w:ind w:left="-2" w:right="-817" w:firstLine="1920"/>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36DD1B1F">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供应商公章（电子签章）：</w:t>
      </w:r>
    </w:p>
    <w:p w14:paraId="70358202">
      <w:pPr>
        <w:spacing w:line="360" w:lineRule="auto"/>
        <w:ind w:right="480" w:firstLine="240"/>
        <w:jc w:val="left"/>
        <w:rPr>
          <w:rFonts w:ascii="宋体" w:hAnsi="宋体"/>
          <w:color w:val="auto"/>
          <w:szCs w:val="21"/>
          <w:highlight w:val="none"/>
        </w:rPr>
        <w:sectPr>
          <w:pgSz w:w="11906" w:h="16838"/>
          <w:pgMar w:top="1440" w:right="1797" w:bottom="1440" w:left="1797" w:header="851" w:footer="992" w:gutter="0"/>
          <w:pgBorders>
            <w:top w:val="none" w:sz="0" w:space="0"/>
            <w:left w:val="none" w:sz="0" w:space="0"/>
            <w:bottom w:val="none" w:sz="0" w:space="0"/>
            <w:right w:val="none" w:sz="0" w:space="0"/>
          </w:pgBorders>
          <w:cols w:space="1701" w:num="1"/>
        </w:sectPr>
      </w:pPr>
      <w:r>
        <w:rPr>
          <w:rFonts w:hint="eastAsia" w:ascii="宋体" w:hAnsi="宋体"/>
          <w:color w:val="auto"/>
          <w:sz w:val="24"/>
          <w:highlight w:val="none"/>
        </w:rPr>
        <w:t xml:space="preserve">                                    日期：    年   月   日</w:t>
      </w:r>
    </w:p>
    <w:p w14:paraId="2CDF635B">
      <w:pPr>
        <w:spacing w:before="120" w:after="50"/>
        <w:jc w:val="left"/>
        <w:rPr>
          <w:rFonts w:hint="eastAsia" w:ascii="宋体" w:hAnsi="宋体"/>
          <w:b/>
          <w:color w:val="auto"/>
          <w:sz w:val="24"/>
          <w:highlight w:val="none"/>
        </w:rPr>
      </w:pPr>
      <w:r>
        <w:rPr>
          <w:rFonts w:hint="eastAsia" w:ascii="宋体" w:hAnsi="宋体"/>
          <w:b/>
          <w:color w:val="auto"/>
          <w:sz w:val="24"/>
          <w:highlight w:val="none"/>
          <w:lang w:val="en-US" w:eastAsia="zh-CN"/>
        </w:rPr>
        <w:t>10</w:t>
      </w:r>
      <w:r>
        <w:rPr>
          <w:rFonts w:hint="eastAsia" w:ascii="宋体" w:hAnsi="宋体"/>
          <w:b/>
          <w:color w:val="auto"/>
          <w:sz w:val="24"/>
          <w:highlight w:val="none"/>
        </w:rPr>
        <w:t>.技术要求偏离表格式</w:t>
      </w:r>
    </w:p>
    <w:p w14:paraId="6B323AB0">
      <w:pPr>
        <w:spacing w:before="120" w:after="50"/>
        <w:ind w:left="142"/>
        <w:jc w:val="left"/>
        <w:rPr>
          <w:rFonts w:hint="eastAsia" w:ascii="宋体" w:hAnsi="宋体"/>
          <w:b/>
          <w:color w:val="auto"/>
          <w:sz w:val="24"/>
          <w:highlight w:val="none"/>
        </w:rPr>
      </w:pPr>
    </w:p>
    <w:p w14:paraId="14A72A32">
      <w:pPr>
        <w:spacing w:before="12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技术要求偏离表</w:t>
      </w:r>
    </w:p>
    <w:tbl>
      <w:tblPr>
        <w:tblStyle w:val="30"/>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351D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14:paraId="3F10EDE8">
            <w:pPr>
              <w:pStyle w:val="231"/>
              <w:spacing w:line="400" w:lineRule="exact"/>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项号</w:t>
            </w:r>
          </w:p>
        </w:tc>
        <w:tc>
          <w:tcPr>
            <w:tcW w:w="2143" w:type="dxa"/>
            <w:tcBorders>
              <w:top w:val="single" w:color="auto" w:sz="4" w:space="0"/>
              <w:left w:val="single" w:color="auto" w:sz="4" w:space="0"/>
              <w:bottom w:val="single" w:color="auto" w:sz="4" w:space="0"/>
              <w:right w:val="single" w:color="auto" w:sz="4" w:space="0"/>
            </w:tcBorders>
            <w:noWrap w:val="0"/>
            <w:vAlign w:val="center"/>
          </w:tcPr>
          <w:p w14:paraId="29FAF5E0">
            <w:pPr>
              <w:pStyle w:val="231"/>
              <w:spacing w:line="400" w:lineRule="exact"/>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标的的名称</w:t>
            </w:r>
          </w:p>
        </w:tc>
        <w:tc>
          <w:tcPr>
            <w:tcW w:w="1834" w:type="dxa"/>
            <w:tcBorders>
              <w:top w:val="single" w:color="auto" w:sz="4" w:space="0"/>
              <w:left w:val="single" w:color="auto" w:sz="4" w:space="0"/>
              <w:bottom w:val="single" w:color="auto" w:sz="4" w:space="0"/>
              <w:right w:val="single" w:color="auto" w:sz="4" w:space="0"/>
            </w:tcBorders>
            <w:noWrap w:val="0"/>
            <w:vAlign w:val="center"/>
          </w:tcPr>
          <w:p w14:paraId="08C40AD3">
            <w:pPr>
              <w:pStyle w:val="231"/>
              <w:spacing w:line="400" w:lineRule="exact"/>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技术要求</w:t>
            </w:r>
          </w:p>
        </w:tc>
        <w:tc>
          <w:tcPr>
            <w:tcW w:w="2181" w:type="dxa"/>
            <w:tcBorders>
              <w:top w:val="single" w:color="auto" w:sz="4" w:space="0"/>
              <w:left w:val="single" w:color="auto" w:sz="4" w:space="0"/>
              <w:bottom w:val="single" w:color="auto" w:sz="4" w:space="0"/>
              <w:right w:val="single" w:color="auto" w:sz="4" w:space="0"/>
            </w:tcBorders>
            <w:noWrap w:val="0"/>
            <w:vAlign w:val="center"/>
          </w:tcPr>
          <w:p w14:paraId="51436FB3">
            <w:pPr>
              <w:pStyle w:val="231"/>
              <w:spacing w:line="400" w:lineRule="exact"/>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投标响应</w:t>
            </w:r>
          </w:p>
        </w:tc>
        <w:tc>
          <w:tcPr>
            <w:tcW w:w="1934" w:type="dxa"/>
            <w:tcBorders>
              <w:top w:val="single" w:color="auto" w:sz="4" w:space="0"/>
              <w:left w:val="single" w:color="auto" w:sz="4" w:space="0"/>
              <w:bottom w:val="single" w:color="auto" w:sz="4" w:space="0"/>
              <w:right w:val="single" w:color="auto" w:sz="4" w:space="0"/>
            </w:tcBorders>
            <w:noWrap w:val="0"/>
            <w:vAlign w:val="center"/>
          </w:tcPr>
          <w:p w14:paraId="55A06820">
            <w:pPr>
              <w:pStyle w:val="231"/>
              <w:spacing w:line="400" w:lineRule="exact"/>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偏离说明</w:t>
            </w:r>
          </w:p>
        </w:tc>
      </w:tr>
      <w:tr w14:paraId="118F7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2CFF11CD">
            <w:pPr>
              <w:pStyle w:val="231"/>
              <w:spacing w:line="600" w:lineRule="exact"/>
              <w:jc w:val="center"/>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0B67479C">
            <w:pPr>
              <w:pStyle w:val="231"/>
              <w:spacing w:line="600" w:lineRule="exact"/>
              <w:jc w:val="center"/>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center"/>
          </w:tcPr>
          <w:p w14:paraId="11900584">
            <w:pPr>
              <w:pStyle w:val="231"/>
              <w:spacing w:line="600" w:lineRule="exact"/>
              <w:jc w:val="center"/>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center"/>
          </w:tcPr>
          <w:p w14:paraId="41E9DBB0">
            <w:pPr>
              <w:pStyle w:val="231"/>
              <w:spacing w:line="600" w:lineRule="exact"/>
              <w:jc w:val="center"/>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14:paraId="1112C821">
            <w:pPr>
              <w:pStyle w:val="231"/>
              <w:spacing w:line="600" w:lineRule="exact"/>
              <w:jc w:val="center"/>
              <w:rPr>
                <w:rFonts w:hint="eastAsia" w:hAnsi="宋体" w:cs="Courier New"/>
                <w:color w:val="auto"/>
                <w:sz w:val="24"/>
                <w:szCs w:val="24"/>
                <w:highlight w:val="none"/>
                <w:lang w:val="en-US" w:eastAsia="zh-CN"/>
              </w:rPr>
            </w:pPr>
          </w:p>
        </w:tc>
      </w:tr>
      <w:tr w14:paraId="07C64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20D2FA91">
            <w:pPr>
              <w:pStyle w:val="231"/>
              <w:spacing w:line="600" w:lineRule="exact"/>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573FF699">
            <w:pPr>
              <w:pStyle w:val="231"/>
              <w:spacing w:line="600" w:lineRule="exact"/>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0F385594">
            <w:pPr>
              <w:pStyle w:val="231"/>
              <w:spacing w:line="600" w:lineRule="exact"/>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541F206D">
            <w:pPr>
              <w:pStyle w:val="231"/>
              <w:spacing w:line="600" w:lineRule="exact"/>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4CB22E98">
            <w:pPr>
              <w:pStyle w:val="231"/>
              <w:spacing w:line="600" w:lineRule="exact"/>
              <w:rPr>
                <w:rFonts w:hint="eastAsia" w:hAnsi="宋体" w:cs="Courier New"/>
                <w:color w:val="auto"/>
                <w:sz w:val="24"/>
                <w:szCs w:val="24"/>
                <w:highlight w:val="none"/>
                <w:lang w:val="en-US" w:eastAsia="zh-CN"/>
              </w:rPr>
            </w:pPr>
          </w:p>
        </w:tc>
      </w:tr>
      <w:tr w14:paraId="7C60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14F6DE99">
            <w:pPr>
              <w:pStyle w:val="231"/>
              <w:spacing w:line="600" w:lineRule="exact"/>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53FAD23A">
            <w:pPr>
              <w:pStyle w:val="231"/>
              <w:spacing w:line="600" w:lineRule="exact"/>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35C8813C">
            <w:pPr>
              <w:pStyle w:val="231"/>
              <w:spacing w:line="600" w:lineRule="exact"/>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387F3CD4">
            <w:pPr>
              <w:pStyle w:val="231"/>
              <w:spacing w:line="600" w:lineRule="exact"/>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4AB70627">
            <w:pPr>
              <w:pStyle w:val="231"/>
              <w:spacing w:line="600" w:lineRule="exact"/>
              <w:rPr>
                <w:rFonts w:hint="eastAsia" w:hAnsi="宋体" w:cs="Courier New"/>
                <w:color w:val="auto"/>
                <w:sz w:val="24"/>
                <w:szCs w:val="24"/>
                <w:highlight w:val="none"/>
                <w:lang w:val="en-US" w:eastAsia="zh-CN"/>
              </w:rPr>
            </w:pPr>
          </w:p>
        </w:tc>
      </w:tr>
      <w:tr w14:paraId="7246B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06F631A7">
            <w:pPr>
              <w:pStyle w:val="231"/>
              <w:spacing w:line="600" w:lineRule="exact"/>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03FECE30">
            <w:pPr>
              <w:pStyle w:val="231"/>
              <w:spacing w:line="600" w:lineRule="exact"/>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4F5CD587">
            <w:pPr>
              <w:pStyle w:val="231"/>
              <w:spacing w:line="600" w:lineRule="exact"/>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326585EC">
            <w:pPr>
              <w:pStyle w:val="231"/>
              <w:spacing w:line="600" w:lineRule="exact"/>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6393C399">
            <w:pPr>
              <w:pStyle w:val="231"/>
              <w:spacing w:line="600" w:lineRule="exact"/>
              <w:rPr>
                <w:rFonts w:hint="eastAsia" w:hAnsi="宋体" w:cs="Courier New"/>
                <w:color w:val="auto"/>
                <w:sz w:val="24"/>
                <w:szCs w:val="24"/>
                <w:highlight w:val="none"/>
                <w:lang w:val="en-US" w:eastAsia="zh-CN"/>
              </w:rPr>
            </w:pPr>
          </w:p>
        </w:tc>
      </w:tr>
      <w:tr w14:paraId="1B38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7273FDD8">
            <w:pPr>
              <w:pStyle w:val="231"/>
              <w:spacing w:line="600" w:lineRule="exact"/>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241D93ED">
            <w:pPr>
              <w:pStyle w:val="231"/>
              <w:spacing w:line="600" w:lineRule="exact"/>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70817E55">
            <w:pPr>
              <w:pStyle w:val="231"/>
              <w:spacing w:line="600" w:lineRule="exact"/>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6446DB6D">
            <w:pPr>
              <w:pStyle w:val="231"/>
              <w:spacing w:line="600" w:lineRule="exact"/>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780B7E75">
            <w:pPr>
              <w:pStyle w:val="231"/>
              <w:spacing w:line="600" w:lineRule="exact"/>
              <w:rPr>
                <w:rFonts w:hint="eastAsia" w:hAnsi="宋体" w:cs="Courier New"/>
                <w:color w:val="auto"/>
                <w:sz w:val="24"/>
                <w:szCs w:val="24"/>
                <w:highlight w:val="none"/>
                <w:lang w:val="en-US" w:eastAsia="zh-CN"/>
              </w:rPr>
            </w:pPr>
          </w:p>
        </w:tc>
      </w:tr>
      <w:tr w14:paraId="1156F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625A1E5A">
            <w:pPr>
              <w:pStyle w:val="231"/>
              <w:spacing w:line="600" w:lineRule="exact"/>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14C37188">
            <w:pPr>
              <w:pStyle w:val="231"/>
              <w:spacing w:line="600" w:lineRule="exact"/>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7A161626">
            <w:pPr>
              <w:pStyle w:val="231"/>
              <w:spacing w:line="600" w:lineRule="exact"/>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54CEBEEE">
            <w:pPr>
              <w:pStyle w:val="231"/>
              <w:spacing w:line="600" w:lineRule="exact"/>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5E43A750">
            <w:pPr>
              <w:pStyle w:val="231"/>
              <w:spacing w:line="600" w:lineRule="exact"/>
              <w:rPr>
                <w:rFonts w:hint="eastAsia" w:hAnsi="宋体" w:cs="Courier New"/>
                <w:color w:val="auto"/>
                <w:sz w:val="24"/>
                <w:szCs w:val="24"/>
                <w:highlight w:val="none"/>
                <w:lang w:val="en-US" w:eastAsia="zh-CN"/>
              </w:rPr>
            </w:pPr>
          </w:p>
        </w:tc>
      </w:tr>
      <w:tr w14:paraId="74F51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45D12BBF">
            <w:pPr>
              <w:pStyle w:val="231"/>
              <w:spacing w:line="600" w:lineRule="exact"/>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49DA7B13">
            <w:pPr>
              <w:pStyle w:val="231"/>
              <w:spacing w:line="600" w:lineRule="exact"/>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23373BB3">
            <w:pPr>
              <w:pStyle w:val="231"/>
              <w:spacing w:line="600" w:lineRule="exact"/>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3309F42F">
            <w:pPr>
              <w:pStyle w:val="231"/>
              <w:spacing w:line="600" w:lineRule="exact"/>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5DCF0F5C">
            <w:pPr>
              <w:pStyle w:val="231"/>
              <w:spacing w:line="600" w:lineRule="exact"/>
              <w:rPr>
                <w:rFonts w:hint="eastAsia" w:hAnsi="宋体" w:cs="Courier New"/>
                <w:color w:val="auto"/>
                <w:sz w:val="24"/>
                <w:szCs w:val="24"/>
                <w:highlight w:val="none"/>
                <w:lang w:val="en-US" w:eastAsia="zh-CN"/>
              </w:rPr>
            </w:pPr>
          </w:p>
        </w:tc>
      </w:tr>
    </w:tbl>
    <w:p w14:paraId="5A0D54B6">
      <w:pPr>
        <w:pStyle w:val="220"/>
        <w:spacing w:line="360" w:lineRule="auto"/>
        <w:contextualSpacing/>
        <w:rPr>
          <w:rFonts w:hint="eastAsia" w:ascii="宋体" w:hAnsi="宋体"/>
          <w:color w:val="auto"/>
          <w:highlight w:val="none"/>
        </w:rPr>
      </w:pPr>
      <w:r>
        <w:rPr>
          <w:rFonts w:hint="eastAsia" w:ascii="宋体" w:hAnsi="宋体"/>
          <w:color w:val="auto"/>
          <w:highlight w:val="none"/>
        </w:rPr>
        <w:t>注：</w:t>
      </w:r>
    </w:p>
    <w:p w14:paraId="7622F660">
      <w:pPr>
        <w:pStyle w:val="224"/>
        <w:spacing w:line="360" w:lineRule="auto"/>
        <w:ind w:firstLine="0"/>
        <w:contextualSpacing/>
        <w:rPr>
          <w:rFonts w:hint="eastAsia"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采购需求”中的技术要求逐条作明确的投标响应，并作出偏离说明。</w:t>
      </w:r>
    </w:p>
    <w:p w14:paraId="2C1BB2C0">
      <w:pPr>
        <w:pStyle w:val="220"/>
        <w:spacing w:line="360" w:lineRule="auto"/>
        <w:contextualSpacing/>
        <w:rPr>
          <w:rFonts w:hint="eastAsia" w:ascii="宋体" w:hAnsi="宋体"/>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0CEF480B">
      <w:pPr>
        <w:pStyle w:val="220"/>
        <w:spacing w:line="360" w:lineRule="auto"/>
        <w:contextualSpacing/>
        <w:rPr>
          <w:rFonts w:hint="eastAsia" w:ascii="宋体" w:hAnsi="宋体"/>
          <w:color w:val="auto"/>
          <w:spacing w:val="20"/>
          <w:highlight w:val="none"/>
        </w:rPr>
      </w:pPr>
    </w:p>
    <w:p w14:paraId="7A9F419C">
      <w:pPr>
        <w:spacing w:line="360" w:lineRule="auto"/>
        <w:contextualSpacing/>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7155D9E1">
      <w:pPr>
        <w:spacing w:line="360" w:lineRule="auto"/>
        <w:contextualSpacing/>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37B7559C">
      <w:pPr>
        <w:spacing w:line="360" w:lineRule="auto"/>
        <w:contextualSpacing/>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3E70EC24">
      <w:pPr>
        <w:spacing w:line="360" w:lineRule="auto"/>
        <w:contextualSpacing/>
        <w:rPr>
          <w:rFonts w:hint="eastAsia" w:ascii="宋体" w:hAnsi="宋体"/>
          <w:color w:val="auto"/>
          <w:spacing w:val="20"/>
          <w:sz w:val="24"/>
          <w:highlight w:val="none"/>
          <w:u w:val="single"/>
        </w:rPr>
      </w:pPr>
    </w:p>
    <w:p w14:paraId="214F23E7">
      <w:pPr>
        <w:spacing w:line="360" w:lineRule="auto"/>
        <w:contextualSpacing/>
        <w:rPr>
          <w:rFonts w:hint="eastAsia" w:ascii="宋体" w:hAnsi="宋体"/>
          <w:color w:val="auto"/>
          <w:sz w:val="24"/>
          <w:szCs w:val="20"/>
          <w:highlight w:val="none"/>
        </w:rPr>
      </w:pPr>
    </w:p>
    <w:p w14:paraId="56CCD8BF">
      <w:pPr>
        <w:spacing w:before="120" w:after="50"/>
        <w:ind w:left="142"/>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10.项目实施人员一览表格式</w:t>
      </w:r>
    </w:p>
    <w:p w14:paraId="2AD7E9F8">
      <w:pPr>
        <w:spacing w:before="120" w:after="50"/>
        <w:ind w:left="142"/>
        <w:jc w:val="left"/>
        <w:rPr>
          <w:rFonts w:hint="eastAsia" w:ascii="宋体" w:hAnsi="宋体"/>
          <w:b/>
          <w:color w:val="auto"/>
          <w:sz w:val="24"/>
          <w:highlight w:val="none"/>
        </w:rPr>
      </w:pPr>
    </w:p>
    <w:p w14:paraId="53EE2997">
      <w:pPr>
        <w:spacing w:before="156" w:after="50"/>
        <w:jc w:val="center"/>
        <w:rPr>
          <w:rFonts w:ascii="宋体" w:hAnsi="宋体"/>
          <w:b/>
          <w:color w:val="auto"/>
          <w:sz w:val="28"/>
          <w:szCs w:val="28"/>
          <w:highlight w:val="none"/>
        </w:rPr>
      </w:pPr>
      <w:r>
        <w:rPr>
          <w:rFonts w:hint="eastAsia" w:ascii="宋体" w:hAnsi="宋体"/>
          <w:b/>
          <w:color w:val="auto"/>
          <w:sz w:val="28"/>
          <w:szCs w:val="28"/>
          <w:highlight w:val="none"/>
          <w:lang w:eastAsia="zh-CN"/>
        </w:rPr>
        <w:t>（</w:t>
      </w:r>
      <w:r>
        <w:rPr>
          <w:rFonts w:hint="eastAsia" w:ascii="宋体" w:hAnsi="宋体"/>
          <w:b/>
          <w:color w:val="auto"/>
          <w:sz w:val="28"/>
          <w:szCs w:val="28"/>
          <w:highlight w:val="none"/>
          <w:lang w:val="en-US" w:eastAsia="zh-CN"/>
        </w:rPr>
        <w:t>1</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项目管理机构配备情况表</w:t>
      </w:r>
    </w:p>
    <w:tbl>
      <w:tblPr>
        <w:tblStyle w:val="30"/>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969"/>
        <w:gridCol w:w="960"/>
        <w:gridCol w:w="990"/>
        <w:gridCol w:w="900"/>
        <w:gridCol w:w="1065"/>
        <w:gridCol w:w="1052"/>
      </w:tblGrid>
      <w:tr w14:paraId="3350E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tcBorders>
              <w:top w:val="single" w:color="auto" w:sz="4" w:space="0"/>
              <w:left w:val="single" w:color="auto" w:sz="4" w:space="0"/>
              <w:bottom w:val="single" w:color="auto" w:sz="4" w:space="0"/>
              <w:right w:val="single" w:color="auto" w:sz="4" w:space="0"/>
            </w:tcBorders>
            <w:noWrap w:val="0"/>
            <w:vAlign w:val="center"/>
          </w:tcPr>
          <w:p w14:paraId="6EEDC93B">
            <w:pPr>
              <w:ind w:left="223" w:hanging="222"/>
              <w:jc w:val="center"/>
              <w:rPr>
                <w:color w:val="auto"/>
                <w:highlight w:val="none"/>
              </w:rPr>
            </w:pPr>
            <w:r>
              <w:rPr>
                <w:rFonts w:hint="eastAsia"/>
                <w:color w:val="auto"/>
                <w:highlight w:val="none"/>
              </w:rPr>
              <w:t>岗位</w:t>
            </w:r>
          </w:p>
        </w:tc>
        <w:tc>
          <w:tcPr>
            <w:tcW w:w="670" w:type="dxa"/>
            <w:vMerge w:val="restart"/>
            <w:tcBorders>
              <w:top w:val="single" w:color="auto" w:sz="4" w:space="0"/>
              <w:left w:val="single" w:color="auto" w:sz="4" w:space="0"/>
              <w:bottom w:val="single" w:color="auto" w:sz="4" w:space="0"/>
              <w:right w:val="single" w:color="auto" w:sz="4" w:space="0"/>
            </w:tcBorders>
            <w:noWrap w:val="0"/>
            <w:vAlign w:val="center"/>
          </w:tcPr>
          <w:p w14:paraId="0F7BE281">
            <w:pPr>
              <w:ind w:left="223" w:hanging="222"/>
              <w:jc w:val="center"/>
              <w:rPr>
                <w:color w:val="auto"/>
                <w:highlight w:val="none"/>
              </w:rPr>
            </w:pPr>
            <w:r>
              <w:rPr>
                <w:rFonts w:hint="eastAsia"/>
                <w:color w:val="auto"/>
                <w:highlight w:val="none"/>
              </w:rPr>
              <w:t>姓名</w:t>
            </w:r>
          </w:p>
        </w:tc>
        <w:tc>
          <w:tcPr>
            <w:tcW w:w="829" w:type="dxa"/>
            <w:vMerge w:val="restart"/>
            <w:tcBorders>
              <w:top w:val="single" w:color="auto" w:sz="4" w:space="0"/>
              <w:left w:val="single" w:color="auto" w:sz="4" w:space="0"/>
              <w:bottom w:val="single" w:color="auto" w:sz="4" w:space="0"/>
              <w:right w:val="single" w:color="auto" w:sz="4" w:space="0"/>
            </w:tcBorders>
            <w:noWrap w:val="0"/>
            <w:vAlign w:val="center"/>
          </w:tcPr>
          <w:p w14:paraId="3BA7B2DA">
            <w:pPr>
              <w:jc w:val="center"/>
              <w:rPr>
                <w:color w:val="auto"/>
                <w:highlight w:val="none"/>
              </w:rPr>
            </w:pPr>
            <w:r>
              <w:rPr>
                <w:rFonts w:hint="eastAsia"/>
                <w:color w:val="auto"/>
                <w:highlight w:val="none"/>
              </w:rPr>
              <w:t>身份证号</w:t>
            </w:r>
          </w:p>
        </w:tc>
        <w:tc>
          <w:tcPr>
            <w:tcW w:w="816" w:type="dxa"/>
            <w:vMerge w:val="restart"/>
            <w:tcBorders>
              <w:top w:val="single" w:color="auto" w:sz="4" w:space="0"/>
              <w:left w:val="single" w:color="auto" w:sz="4" w:space="0"/>
              <w:bottom w:val="single" w:color="auto" w:sz="4" w:space="0"/>
              <w:right w:val="single" w:color="auto" w:sz="4" w:space="0"/>
            </w:tcBorders>
            <w:noWrap w:val="0"/>
            <w:vAlign w:val="center"/>
          </w:tcPr>
          <w:p w14:paraId="2BFE8936">
            <w:pPr>
              <w:ind w:left="223" w:hanging="222"/>
              <w:jc w:val="center"/>
              <w:rPr>
                <w:color w:val="auto"/>
                <w:highlight w:val="none"/>
              </w:rPr>
            </w:pPr>
            <w:r>
              <w:rPr>
                <w:rFonts w:hint="eastAsia"/>
                <w:color w:val="auto"/>
                <w:highlight w:val="none"/>
              </w:rPr>
              <w:t>职称</w:t>
            </w:r>
          </w:p>
        </w:tc>
        <w:tc>
          <w:tcPr>
            <w:tcW w:w="3819" w:type="dxa"/>
            <w:gridSpan w:val="4"/>
            <w:tcBorders>
              <w:top w:val="single" w:color="auto" w:sz="4" w:space="0"/>
              <w:left w:val="single" w:color="auto" w:sz="4" w:space="0"/>
              <w:bottom w:val="single" w:color="auto" w:sz="4" w:space="0"/>
              <w:right w:val="single" w:color="auto" w:sz="4" w:space="0"/>
            </w:tcBorders>
            <w:noWrap w:val="0"/>
            <w:vAlign w:val="center"/>
          </w:tcPr>
          <w:p w14:paraId="482988DA">
            <w:pPr>
              <w:ind w:left="223" w:hanging="222"/>
              <w:jc w:val="center"/>
              <w:rPr>
                <w:color w:val="auto"/>
                <w:highlight w:val="none"/>
              </w:rPr>
            </w:pPr>
            <w:r>
              <w:rPr>
                <w:rFonts w:hint="eastAsia"/>
                <w:color w:val="auto"/>
                <w:highlight w:val="none"/>
              </w:rPr>
              <w:t>执业或职业资格</w:t>
            </w:r>
          </w:p>
        </w:tc>
        <w:tc>
          <w:tcPr>
            <w:tcW w:w="2117" w:type="dxa"/>
            <w:gridSpan w:val="2"/>
            <w:tcBorders>
              <w:top w:val="single" w:color="auto" w:sz="4" w:space="0"/>
              <w:left w:val="single" w:color="auto" w:sz="4" w:space="0"/>
              <w:bottom w:val="single" w:color="auto" w:sz="4" w:space="0"/>
              <w:right w:val="single" w:color="auto" w:sz="4" w:space="0"/>
            </w:tcBorders>
            <w:noWrap w:val="0"/>
            <w:vAlign w:val="center"/>
          </w:tcPr>
          <w:p w14:paraId="7B94ABAF">
            <w:pPr>
              <w:jc w:val="center"/>
              <w:rPr>
                <w:color w:val="auto"/>
                <w:highlight w:val="none"/>
              </w:rPr>
            </w:pPr>
            <w:r>
              <w:rPr>
                <w:rFonts w:hint="eastAsia"/>
                <w:color w:val="auto"/>
                <w:highlight w:val="none"/>
              </w:rPr>
              <w:t>承担完工、在建工程情况</w:t>
            </w:r>
          </w:p>
        </w:tc>
      </w:tr>
      <w:tr w14:paraId="240E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tcBorders>
              <w:top w:val="single" w:color="auto" w:sz="4" w:space="0"/>
              <w:left w:val="single" w:color="auto" w:sz="4" w:space="0"/>
              <w:bottom w:val="single" w:color="auto" w:sz="4" w:space="0"/>
              <w:right w:val="single" w:color="auto" w:sz="4" w:space="0"/>
            </w:tcBorders>
            <w:noWrap w:val="0"/>
            <w:vAlign w:val="center"/>
          </w:tcPr>
          <w:p w14:paraId="7A4A517D">
            <w:pPr>
              <w:widowControl/>
              <w:jc w:val="left"/>
              <w:rPr>
                <w:color w:val="auto"/>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0B24F34F">
            <w:pPr>
              <w:widowControl/>
              <w:jc w:val="left"/>
              <w:rPr>
                <w:color w:val="auto"/>
                <w:highlight w:val="none"/>
              </w:rPr>
            </w:pPr>
          </w:p>
        </w:tc>
        <w:tc>
          <w:tcPr>
            <w:tcW w:w="829" w:type="dxa"/>
            <w:vMerge w:val="continue"/>
            <w:tcBorders>
              <w:top w:val="single" w:color="auto" w:sz="4" w:space="0"/>
              <w:left w:val="single" w:color="auto" w:sz="4" w:space="0"/>
              <w:bottom w:val="single" w:color="auto" w:sz="4" w:space="0"/>
              <w:right w:val="single" w:color="auto" w:sz="4" w:space="0"/>
            </w:tcBorders>
            <w:noWrap w:val="0"/>
            <w:vAlign w:val="center"/>
          </w:tcPr>
          <w:p w14:paraId="2FA5807D">
            <w:pPr>
              <w:widowControl/>
              <w:jc w:val="left"/>
              <w:rPr>
                <w:color w:val="auto"/>
                <w:highlight w:val="none"/>
              </w:rPr>
            </w:pPr>
          </w:p>
        </w:tc>
        <w:tc>
          <w:tcPr>
            <w:tcW w:w="816" w:type="dxa"/>
            <w:vMerge w:val="continue"/>
            <w:tcBorders>
              <w:top w:val="single" w:color="auto" w:sz="4" w:space="0"/>
              <w:left w:val="single" w:color="auto" w:sz="4" w:space="0"/>
              <w:bottom w:val="single" w:color="auto" w:sz="4" w:space="0"/>
              <w:right w:val="single" w:color="auto" w:sz="4" w:space="0"/>
            </w:tcBorders>
            <w:noWrap w:val="0"/>
            <w:vAlign w:val="center"/>
          </w:tcPr>
          <w:p w14:paraId="6D338BE0">
            <w:pPr>
              <w:widowControl/>
              <w:jc w:val="left"/>
              <w:rPr>
                <w:color w:val="auto"/>
                <w:highlight w:val="none"/>
              </w:rPr>
            </w:pPr>
          </w:p>
        </w:tc>
        <w:tc>
          <w:tcPr>
            <w:tcW w:w="969" w:type="dxa"/>
            <w:tcBorders>
              <w:top w:val="single" w:color="auto" w:sz="4" w:space="0"/>
              <w:left w:val="single" w:color="auto" w:sz="4" w:space="0"/>
              <w:bottom w:val="single" w:color="auto" w:sz="4" w:space="0"/>
              <w:right w:val="single" w:color="auto" w:sz="4" w:space="0"/>
            </w:tcBorders>
            <w:noWrap w:val="0"/>
            <w:vAlign w:val="center"/>
          </w:tcPr>
          <w:p w14:paraId="09EB3372">
            <w:pPr>
              <w:ind w:left="223" w:hanging="222"/>
              <w:jc w:val="center"/>
              <w:rPr>
                <w:rFonts w:hint="eastAsia"/>
                <w:color w:val="auto"/>
                <w:highlight w:val="none"/>
              </w:rPr>
            </w:pPr>
            <w:r>
              <w:rPr>
                <w:rFonts w:hint="eastAsia"/>
                <w:color w:val="auto"/>
                <w:highlight w:val="none"/>
              </w:rPr>
              <w:t>证书</w:t>
            </w:r>
          </w:p>
          <w:p w14:paraId="4B28E287">
            <w:pPr>
              <w:ind w:left="223" w:hanging="222"/>
              <w:jc w:val="center"/>
              <w:rPr>
                <w:color w:val="auto"/>
                <w:highlight w:val="none"/>
              </w:rPr>
            </w:pPr>
            <w:r>
              <w:rPr>
                <w:rFonts w:hint="eastAsia"/>
                <w:color w:val="auto"/>
                <w:highlight w:val="none"/>
              </w:rPr>
              <w:t>名称</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262B7102">
            <w:pPr>
              <w:ind w:left="223" w:hanging="222"/>
              <w:jc w:val="center"/>
              <w:rPr>
                <w:color w:val="auto"/>
                <w:highlight w:val="none"/>
              </w:rPr>
            </w:pPr>
            <w:r>
              <w:rPr>
                <w:rFonts w:hint="eastAsia"/>
                <w:color w:val="auto"/>
                <w:highlight w:val="none"/>
              </w:rPr>
              <w:t>级别</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622D56F5">
            <w:pPr>
              <w:ind w:left="223" w:hanging="222"/>
              <w:jc w:val="center"/>
              <w:rPr>
                <w:color w:val="auto"/>
                <w:highlight w:val="none"/>
              </w:rPr>
            </w:pPr>
            <w:r>
              <w:rPr>
                <w:rFonts w:hint="eastAsia"/>
                <w:color w:val="auto"/>
                <w:highlight w:val="none"/>
              </w:rPr>
              <w:t>证号</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F613513">
            <w:pPr>
              <w:ind w:left="223" w:hanging="222"/>
              <w:jc w:val="center"/>
              <w:rPr>
                <w:color w:val="auto"/>
                <w:highlight w:val="none"/>
              </w:rPr>
            </w:pPr>
            <w:r>
              <w:rPr>
                <w:rFonts w:hint="eastAsia"/>
                <w:color w:val="auto"/>
                <w:highlight w:val="none"/>
              </w:rPr>
              <w:t>专业</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5171468">
            <w:pPr>
              <w:jc w:val="center"/>
              <w:rPr>
                <w:color w:val="auto"/>
                <w:highlight w:val="none"/>
              </w:rPr>
            </w:pPr>
            <w:r>
              <w:rPr>
                <w:rFonts w:hint="eastAsia"/>
                <w:color w:val="auto"/>
                <w:highlight w:val="none"/>
              </w:rPr>
              <w:t>完工</w:t>
            </w:r>
            <w:r>
              <w:rPr>
                <w:color w:val="auto"/>
                <w:highlight w:val="none"/>
              </w:rPr>
              <w:t>/</w:t>
            </w:r>
            <w:r>
              <w:rPr>
                <w:rFonts w:hint="eastAsia"/>
                <w:color w:val="auto"/>
                <w:highlight w:val="none"/>
              </w:rPr>
              <w:t>在建</w:t>
            </w:r>
          </w:p>
        </w:tc>
        <w:tc>
          <w:tcPr>
            <w:tcW w:w="1052" w:type="dxa"/>
            <w:tcBorders>
              <w:top w:val="single" w:color="auto" w:sz="4" w:space="0"/>
              <w:left w:val="single" w:color="auto" w:sz="4" w:space="0"/>
              <w:bottom w:val="single" w:color="auto" w:sz="4" w:space="0"/>
              <w:right w:val="single" w:color="auto" w:sz="4" w:space="0"/>
            </w:tcBorders>
            <w:noWrap w:val="0"/>
            <w:vAlign w:val="center"/>
          </w:tcPr>
          <w:p w14:paraId="03F107D4">
            <w:pPr>
              <w:jc w:val="center"/>
              <w:rPr>
                <w:color w:val="auto"/>
                <w:highlight w:val="none"/>
              </w:rPr>
            </w:pPr>
            <w:r>
              <w:rPr>
                <w:rFonts w:hint="eastAsia"/>
                <w:color w:val="auto"/>
                <w:highlight w:val="none"/>
              </w:rPr>
              <w:t>主要项目名称</w:t>
            </w:r>
          </w:p>
        </w:tc>
      </w:tr>
      <w:tr w14:paraId="2212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14:paraId="368B757F">
            <w:pPr>
              <w:pStyle w:val="379"/>
              <w:spacing w:line="240" w:lineRule="auto"/>
              <w:ind w:firstLine="0" w:firstLineChars="0"/>
              <w:jc w:val="center"/>
              <w:rPr>
                <w:rFonts w:ascii="宋体" w:hAnsi="宋体" w:eastAsia="宋体"/>
                <w:color w:val="auto"/>
                <w:sz w:val="21"/>
                <w:szCs w:val="21"/>
                <w:highlight w:val="none"/>
              </w:rPr>
            </w:pPr>
            <w:r>
              <w:rPr>
                <w:rFonts w:hint="eastAsia" w:ascii="宋体" w:hAnsi="宋体" w:eastAsia="宋体"/>
                <w:color w:val="auto"/>
                <w:kern w:val="2"/>
                <w:sz w:val="21"/>
                <w:szCs w:val="21"/>
                <w:highlight w:val="none"/>
              </w:rPr>
              <w:t>项目经理</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08EFC7EA">
            <w:pPr>
              <w:ind w:left="223" w:hanging="222"/>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68AE0F72">
            <w:pPr>
              <w:ind w:left="223" w:hanging="222"/>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692D53AF">
            <w:pPr>
              <w:ind w:left="223" w:hanging="222"/>
              <w:jc w:val="center"/>
              <w:rPr>
                <w:color w:val="auto"/>
                <w:szCs w:val="21"/>
                <w:highlight w:val="none"/>
              </w:rPr>
            </w:pPr>
          </w:p>
        </w:tc>
        <w:tc>
          <w:tcPr>
            <w:tcW w:w="969" w:type="dxa"/>
            <w:tcBorders>
              <w:top w:val="single" w:color="auto" w:sz="4" w:space="0"/>
              <w:left w:val="single" w:color="auto" w:sz="4" w:space="0"/>
              <w:bottom w:val="single" w:color="auto" w:sz="4" w:space="0"/>
              <w:right w:val="single" w:color="auto" w:sz="4" w:space="0"/>
            </w:tcBorders>
            <w:noWrap w:val="0"/>
            <w:vAlign w:val="center"/>
          </w:tcPr>
          <w:p w14:paraId="7D35E2C2">
            <w:pPr>
              <w:ind w:left="223" w:hanging="222"/>
              <w:jc w:val="center"/>
              <w:rPr>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5DBCAD4B">
            <w:pPr>
              <w:ind w:left="223" w:hanging="222"/>
              <w:jc w:val="center"/>
              <w:rPr>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13907AD0">
            <w:pPr>
              <w:ind w:left="223" w:hanging="222"/>
              <w:jc w:val="center"/>
              <w:rPr>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2CB7E64A">
            <w:pPr>
              <w:ind w:left="223" w:hanging="222"/>
              <w:jc w:val="center"/>
              <w:rPr>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258DB8E">
            <w:pPr>
              <w:ind w:left="223" w:hanging="222"/>
              <w:jc w:val="center"/>
              <w:rPr>
                <w:color w:val="auto"/>
                <w:szCs w:val="21"/>
                <w:highlight w:val="none"/>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14:paraId="503AA15F">
            <w:pPr>
              <w:ind w:left="223" w:hanging="222"/>
              <w:jc w:val="center"/>
              <w:rPr>
                <w:color w:val="auto"/>
                <w:szCs w:val="21"/>
                <w:highlight w:val="none"/>
              </w:rPr>
            </w:pPr>
          </w:p>
        </w:tc>
      </w:tr>
      <w:tr w14:paraId="24E87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14:paraId="3D71A5AE">
            <w:pPr>
              <w:pStyle w:val="379"/>
              <w:spacing w:line="240" w:lineRule="auto"/>
              <w:ind w:firstLine="0" w:firstLineChars="0"/>
              <w:jc w:val="center"/>
              <w:rPr>
                <w:rFonts w:ascii="宋体" w:hAnsi="宋体" w:eastAsia="宋体"/>
                <w:color w:val="auto"/>
                <w:sz w:val="21"/>
                <w:szCs w:val="21"/>
                <w:highlight w:val="none"/>
              </w:rPr>
            </w:pPr>
            <w:r>
              <w:rPr>
                <w:rFonts w:hint="eastAsia" w:ascii="宋体" w:hAnsi="宋体" w:eastAsia="宋体"/>
                <w:color w:val="auto"/>
                <w:kern w:val="2"/>
                <w:sz w:val="21"/>
                <w:szCs w:val="21"/>
                <w:highlight w:val="none"/>
              </w:rPr>
              <w:t>技术负责人</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61DD6CD3">
            <w:pPr>
              <w:ind w:left="223" w:hanging="222"/>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0D42742D">
            <w:pPr>
              <w:ind w:left="223" w:hanging="222"/>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3E7F1540">
            <w:pPr>
              <w:ind w:left="223" w:hanging="222"/>
              <w:jc w:val="center"/>
              <w:rPr>
                <w:color w:val="auto"/>
                <w:szCs w:val="21"/>
                <w:highlight w:val="none"/>
              </w:rPr>
            </w:pPr>
          </w:p>
        </w:tc>
        <w:tc>
          <w:tcPr>
            <w:tcW w:w="969" w:type="dxa"/>
            <w:tcBorders>
              <w:top w:val="single" w:color="auto" w:sz="4" w:space="0"/>
              <w:left w:val="single" w:color="auto" w:sz="4" w:space="0"/>
              <w:bottom w:val="single" w:color="auto" w:sz="4" w:space="0"/>
              <w:right w:val="single" w:color="auto" w:sz="4" w:space="0"/>
            </w:tcBorders>
            <w:noWrap w:val="0"/>
            <w:vAlign w:val="center"/>
          </w:tcPr>
          <w:p w14:paraId="600F8F37">
            <w:pPr>
              <w:ind w:left="223" w:hanging="222"/>
              <w:jc w:val="center"/>
              <w:rPr>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20D83DED">
            <w:pPr>
              <w:ind w:left="223" w:hanging="222"/>
              <w:jc w:val="center"/>
              <w:rPr>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5579540D">
            <w:pPr>
              <w:ind w:left="223" w:hanging="222"/>
              <w:jc w:val="center"/>
              <w:rPr>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1E6607DB">
            <w:pPr>
              <w:ind w:left="223" w:hanging="222"/>
              <w:jc w:val="center"/>
              <w:rPr>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1419D0B">
            <w:pPr>
              <w:ind w:left="223" w:hanging="222"/>
              <w:jc w:val="center"/>
              <w:rPr>
                <w:color w:val="auto"/>
                <w:szCs w:val="21"/>
                <w:highlight w:val="none"/>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14:paraId="47D6A717">
            <w:pPr>
              <w:ind w:left="223" w:hanging="222"/>
              <w:jc w:val="center"/>
              <w:rPr>
                <w:color w:val="auto"/>
                <w:szCs w:val="21"/>
                <w:highlight w:val="none"/>
              </w:rPr>
            </w:pPr>
          </w:p>
        </w:tc>
      </w:tr>
      <w:tr w14:paraId="0247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14:paraId="2615423A">
            <w:pPr>
              <w:pStyle w:val="379"/>
              <w:spacing w:line="240" w:lineRule="auto"/>
              <w:ind w:firstLine="0" w:firstLineChars="0"/>
              <w:jc w:val="center"/>
              <w:rPr>
                <w:rFonts w:ascii="宋体" w:hAnsi="宋体" w:eastAsia="宋体" w:cs="Times New Roman"/>
                <w:color w:val="auto"/>
                <w:sz w:val="21"/>
                <w:szCs w:val="21"/>
                <w:highlight w:val="none"/>
                <w:lang w:val="en-US" w:bidi="en-US"/>
              </w:rPr>
            </w:pPr>
            <w:r>
              <w:rPr>
                <w:rFonts w:hint="eastAsia" w:ascii="宋体" w:hAnsi="宋体" w:eastAsia="宋体"/>
                <w:color w:val="auto"/>
                <w:kern w:val="2"/>
                <w:sz w:val="21"/>
                <w:szCs w:val="21"/>
                <w:highlight w:val="none"/>
              </w:rPr>
              <w:t>专职安全生产管理人员</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32EA6257">
            <w:pPr>
              <w:ind w:left="223" w:hanging="222"/>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15D88B92">
            <w:pPr>
              <w:ind w:left="223" w:hanging="222"/>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6DB5896C">
            <w:pPr>
              <w:ind w:left="223" w:hanging="222"/>
              <w:jc w:val="center"/>
              <w:rPr>
                <w:color w:val="auto"/>
                <w:szCs w:val="21"/>
                <w:highlight w:val="none"/>
              </w:rPr>
            </w:pPr>
          </w:p>
        </w:tc>
        <w:tc>
          <w:tcPr>
            <w:tcW w:w="969" w:type="dxa"/>
            <w:tcBorders>
              <w:top w:val="single" w:color="auto" w:sz="4" w:space="0"/>
              <w:left w:val="single" w:color="auto" w:sz="4" w:space="0"/>
              <w:bottom w:val="single" w:color="auto" w:sz="4" w:space="0"/>
              <w:right w:val="single" w:color="auto" w:sz="4" w:space="0"/>
            </w:tcBorders>
            <w:noWrap w:val="0"/>
            <w:vAlign w:val="center"/>
          </w:tcPr>
          <w:p w14:paraId="23162197">
            <w:pPr>
              <w:ind w:left="223" w:hanging="222"/>
              <w:jc w:val="center"/>
              <w:rPr>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0995310C">
            <w:pPr>
              <w:ind w:left="223" w:hanging="222"/>
              <w:jc w:val="center"/>
              <w:rPr>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3F764772">
            <w:pPr>
              <w:ind w:left="223" w:hanging="222"/>
              <w:jc w:val="center"/>
              <w:rPr>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1E72FB0E">
            <w:pPr>
              <w:ind w:left="223" w:hanging="222"/>
              <w:jc w:val="center"/>
              <w:rPr>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3591B1F">
            <w:pPr>
              <w:ind w:left="223" w:hanging="222"/>
              <w:jc w:val="center"/>
              <w:rPr>
                <w:color w:val="auto"/>
                <w:szCs w:val="21"/>
                <w:highlight w:val="none"/>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14:paraId="20218F3A">
            <w:pPr>
              <w:ind w:left="223" w:hanging="222"/>
              <w:jc w:val="center"/>
              <w:rPr>
                <w:color w:val="auto"/>
                <w:szCs w:val="21"/>
                <w:highlight w:val="none"/>
              </w:rPr>
            </w:pPr>
          </w:p>
        </w:tc>
      </w:tr>
      <w:tr w14:paraId="588C3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14:paraId="1FCD38DB">
            <w:pPr>
              <w:pStyle w:val="379"/>
              <w:numPr>
                <w:ilvl w:val="0"/>
                <w:numId w:val="0"/>
              </w:numPr>
              <w:spacing w:line="240" w:lineRule="auto"/>
              <w:ind w:leftChars="0"/>
              <w:jc w:val="both"/>
              <w:rPr>
                <w:rFonts w:hint="eastAsia" w:ascii="宋体" w:hAnsi="宋体" w:eastAsia="宋体"/>
                <w:color w:val="auto"/>
                <w:sz w:val="21"/>
                <w:szCs w:val="21"/>
                <w:highlight w:val="none"/>
                <w:lang w:eastAsia="zh-CN"/>
              </w:rPr>
            </w:pPr>
            <w:r>
              <w:rPr>
                <w:rFonts w:hint="eastAsia" w:ascii="宋体" w:hAnsi="宋体" w:eastAsia="宋体"/>
                <w:color w:val="auto"/>
                <w:kern w:val="2"/>
                <w:sz w:val="21"/>
                <w:szCs w:val="21"/>
                <w:highlight w:val="none"/>
              </w:rPr>
              <w:t>施工员</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19876A1C">
            <w:pPr>
              <w:ind w:left="223" w:hanging="222"/>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7322094B">
            <w:pPr>
              <w:ind w:left="223" w:hanging="222"/>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4C687C1B">
            <w:pPr>
              <w:ind w:left="223" w:hanging="222"/>
              <w:jc w:val="center"/>
              <w:rPr>
                <w:color w:val="auto"/>
                <w:szCs w:val="21"/>
                <w:highlight w:val="none"/>
              </w:rPr>
            </w:pPr>
          </w:p>
        </w:tc>
        <w:tc>
          <w:tcPr>
            <w:tcW w:w="969" w:type="dxa"/>
            <w:tcBorders>
              <w:top w:val="single" w:color="auto" w:sz="4" w:space="0"/>
              <w:left w:val="single" w:color="auto" w:sz="4" w:space="0"/>
              <w:bottom w:val="single" w:color="auto" w:sz="4" w:space="0"/>
              <w:right w:val="single" w:color="auto" w:sz="4" w:space="0"/>
            </w:tcBorders>
            <w:noWrap w:val="0"/>
            <w:vAlign w:val="center"/>
          </w:tcPr>
          <w:p w14:paraId="3215C98A">
            <w:pPr>
              <w:ind w:left="223" w:hanging="222"/>
              <w:jc w:val="center"/>
              <w:rPr>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4941F1BF">
            <w:pPr>
              <w:ind w:left="223" w:hanging="222"/>
              <w:jc w:val="center"/>
              <w:rPr>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6B30A427">
            <w:pPr>
              <w:ind w:left="223" w:hanging="222"/>
              <w:jc w:val="center"/>
              <w:rPr>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99BAE89">
            <w:pPr>
              <w:ind w:left="223" w:hanging="222"/>
              <w:jc w:val="center"/>
              <w:rPr>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C9A269F">
            <w:pPr>
              <w:ind w:left="223" w:hanging="222"/>
              <w:jc w:val="center"/>
              <w:rPr>
                <w:color w:val="auto"/>
                <w:szCs w:val="21"/>
                <w:highlight w:val="none"/>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14:paraId="20988154">
            <w:pPr>
              <w:ind w:left="223" w:hanging="222"/>
              <w:jc w:val="center"/>
              <w:rPr>
                <w:color w:val="auto"/>
                <w:szCs w:val="21"/>
                <w:highlight w:val="none"/>
              </w:rPr>
            </w:pPr>
          </w:p>
        </w:tc>
      </w:tr>
      <w:tr w14:paraId="7CF1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14:paraId="0F632DD5">
            <w:pPr>
              <w:jc w:val="center"/>
              <w:rPr>
                <w:rFonts w:ascii="宋体" w:hAnsi="宋体" w:eastAsia="宋体"/>
                <w:color w:val="auto"/>
                <w:szCs w:val="21"/>
                <w:highlight w:val="none"/>
                <w:lang w:val="en-US" w:eastAsia="zh-CN"/>
              </w:rPr>
            </w:pPr>
            <w:r>
              <w:rPr>
                <w:rFonts w:hint="eastAsia" w:ascii="宋体" w:hAnsi="宋体" w:cs="宋体"/>
                <w:color w:val="auto"/>
                <w:szCs w:val="21"/>
                <w:highlight w:val="none"/>
                <w:lang w:val="en-US" w:eastAsia="zh-CN"/>
              </w:rPr>
              <w:t>质量员</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511B11F2">
            <w:pPr>
              <w:ind w:left="223" w:hanging="222"/>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1039FFB4">
            <w:pPr>
              <w:ind w:left="223" w:hanging="222"/>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77DA08C8">
            <w:pPr>
              <w:ind w:left="223" w:hanging="222"/>
              <w:jc w:val="center"/>
              <w:rPr>
                <w:color w:val="auto"/>
                <w:szCs w:val="21"/>
                <w:highlight w:val="none"/>
              </w:rPr>
            </w:pPr>
          </w:p>
        </w:tc>
        <w:tc>
          <w:tcPr>
            <w:tcW w:w="969" w:type="dxa"/>
            <w:tcBorders>
              <w:top w:val="single" w:color="auto" w:sz="4" w:space="0"/>
              <w:left w:val="single" w:color="auto" w:sz="4" w:space="0"/>
              <w:bottom w:val="single" w:color="auto" w:sz="4" w:space="0"/>
              <w:right w:val="single" w:color="auto" w:sz="4" w:space="0"/>
            </w:tcBorders>
            <w:noWrap w:val="0"/>
            <w:vAlign w:val="center"/>
          </w:tcPr>
          <w:p w14:paraId="41F13BA3">
            <w:pPr>
              <w:ind w:left="223" w:hanging="222"/>
              <w:jc w:val="center"/>
              <w:rPr>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07BBA260">
            <w:pPr>
              <w:ind w:left="223" w:hanging="222"/>
              <w:jc w:val="center"/>
              <w:rPr>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1405C51B">
            <w:pPr>
              <w:ind w:left="223" w:hanging="222"/>
              <w:jc w:val="center"/>
              <w:rPr>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1E60949">
            <w:pPr>
              <w:ind w:left="223" w:hanging="222"/>
              <w:jc w:val="center"/>
              <w:rPr>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F362C57">
            <w:pPr>
              <w:ind w:left="223" w:hanging="222"/>
              <w:jc w:val="center"/>
              <w:rPr>
                <w:color w:val="auto"/>
                <w:szCs w:val="21"/>
                <w:highlight w:val="none"/>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14:paraId="7C6A5FF3">
            <w:pPr>
              <w:ind w:left="223" w:hanging="222"/>
              <w:jc w:val="center"/>
              <w:rPr>
                <w:color w:val="auto"/>
                <w:szCs w:val="21"/>
                <w:highlight w:val="none"/>
              </w:rPr>
            </w:pPr>
          </w:p>
        </w:tc>
      </w:tr>
      <w:tr w14:paraId="76940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14:paraId="38297EC7">
            <w:pPr>
              <w:pStyle w:val="379"/>
              <w:spacing w:line="240" w:lineRule="auto"/>
              <w:ind w:firstLine="0" w:firstLineChars="0"/>
              <w:jc w:val="center"/>
              <w:rPr>
                <w:rFonts w:hint="eastAsia" w:ascii="宋体" w:hAnsi="宋体" w:eastAsia="宋体"/>
                <w:color w:val="auto"/>
                <w:szCs w:val="21"/>
                <w:highlight w:val="none"/>
                <w:lang w:val="en-US" w:eastAsia="zh-CN"/>
              </w:rPr>
            </w:pPr>
            <w:r>
              <w:rPr>
                <w:rFonts w:hint="eastAsia"/>
                <w:color w:val="auto"/>
                <w:kern w:val="2"/>
                <w:sz w:val="21"/>
                <w:szCs w:val="21"/>
                <w:highlight w:val="none"/>
                <w:lang w:eastAsia="zh-CN"/>
              </w:rPr>
              <w:t>电工</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3F01729C">
            <w:pPr>
              <w:ind w:left="223" w:hanging="222"/>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05F0CFB0">
            <w:pPr>
              <w:ind w:left="223" w:hanging="222"/>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7A7A7FE0">
            <w:pPr>
              <w:ind w:left="223" w:hanging="222"/>
              <w:jc w:val="center"/>
              <w:rPr>
                <w:color w:val="auto"/>
                <w:szCs w:val="21"/>
                <w:highlight w:val="none"/>
              </w:rPr>
            </w:pPr>
          </w:p>
        </w:tc>
        <w:tc>
          <w:tcPr>
            <w:tcW w:w="969" w:type="dxa"/>
            <w:tcBorders>
              <w:top w:val="single" w:color="auto" w:sz="4" w:space="0"/>
              <w:left w:val="single" w:color="auto" w:sz="4" w:space="0"/>
              <w:bottom w:val="single" w:color="auto" w:sz="4" w:space="0"/>
              <w:right w:val="single" w:color="auto" w:sz="4" w:space="0"/>
            </w:tcBorders>
            <w:noWrap w:val="0"/>
            <w:vAlign w:val="center"/>
          </w:tcPr>
          <w:p w14:paraId="32ACE6EE">
            <w:pPr>
              <w:ind w:left="223" w:hanging="222"/>
              <w:jc w:val="center"/>
              <w:rPr>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4437FE1B">
            <w:pPr>
              <w:ind w:left="223" w:hanging="222"/>
              <w:jc w:val="center"/>
              <w:rPr>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421CC1FA">
            <w:pPr>
              <w:ind w:left="223" w:hanging="222"/>
              <w:jc w:val="center"/>
              <w:rPr>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630B09CD">
            <w:pPr>
              <w:ind w:left="223" w:hanging="222"/>
              <w:jc w:val="center"/>
              <w:rPr>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7043455">
            <w:pPr>
              <w:ind w:left="223" w:hanging="222"/>
              <w:jc w:val="center"/>
              <w:rPr>
                <w:color w:val="auto"/>
                <w:szCs w:val="21"/>
                <w:highlight w:val="none"/>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14:paraId="7236B1E1">
            <w:pPr>
              <w:ind w:left="223" w:hanging="222"/>
              <w:jc w:val="center"/>
              <w:rPr>
                <w:color w:val="auto"/>
                <w:szCs w:val="21"/>
                <w:highlight w:val="none"/>
              </w:rPr>
            </w:pPr>
          </w:p>
        </w:tc>
      </w:tr>
      <w:tr w14:paraId="5622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14:paraId="25B44A44">
            <w:pPr>
              <w:jc w:val="left"/>
              <w:rPr>
                <w:rFonts w:ascii="宋体" w:hAnsi="宋体" w:eastAsia="宋体"/>
                <w:color w:val="auto"/>
                <w:szCs w:val="21"/>
                <w:highlight w:val="none"/>
                <w:lang w:val="en-US" w:eastAsia="zh-CN"/>
              </w:rPr>
            </w:pPr>
          </w:p>
        </w:tc>
        <w:tc>
          <w:tcPr>
            <w:tcW w:w="670" w:type="dxa"/>
            <w:tcBorders>
              <w:top w:val="single" w:color="auto" w:sz="4" w:space="0"/>
              <w:left w:val="single" w:color="auto" w:sz="4" w:space="0"/>
              <w:bottom w:val="single" w:color="auto" w:sz="4" w:space="0"/>
              <w:right w:val="single" w:color="auto" w:sz="4" w:space="0"/>
            </w:tcBorders>
            <w:noWrap w:val="0"/>
            <w:vAlign w:val="center"/>
          </w:tcPr>
          <w:p w14:paraId="659399B4">
            <w:pPr>
              <w:ind w:left="223" w:hanging="222"/>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20BE9189">
            <w:pPr>
              <w:ind w:left="223" w:hanging="222"/>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56BCB580">
            <w:pPr>
              <w:ind w:left="223" w:hanging="222"/>
              <w:jc w:val="center"/>
              <w:rPr>
                <w:color w:val="auto"/>
                <w:szCs w:val="21"/>
                <w:highlight w:val="none"/>
              </w:rPr>
            </w:pPr>
          </w:p>
        </w:tc>
        <w:tc>
          <w:tcPr>
            <w:tcW w:w="969" w:type="dxa"/>
            <w:tcBorders>
              <w:top w:val="single" w:color="auto" w:sz="4" w:space="0"/>
              <w:left w:val="single" w:color="auto" w:sz="4" w:space="0"/>
              <w:bottom w:val="single" w:color="auto" w:sz="4" w:space="0"/>
              <w:right w:val="single" w:color="auto" w:sz="4" w:space="0"/>
            </w:tcBorders>
            <w:noWrap w:val="0"/>
            <w:vAlign w:val="center"/>
          </w:tcPr>
          <w:p w14:paraId="7B727183">
            <w:pPr>
              <w:ind w:left="223" w:hanging="222"/>
              <w:jc w:val="center"/>
              <w:rPr>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76D51060">
            <w:pPr>
              <w:ind w:left="223" w:hanging="222"/>
              <w:jc w:val="center"/>
              <w:rPr>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457EB2FF">
            <w:pPr>
              <w:ind w:left="223" w:hanging="222"/>
              <w:jc w:val="center"/>
              <w:rPr>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6B7DDFE">
            <w:pPr>
              <w:ind w:left="223" w:hanging="222"/>
              <w:jc w:val="center"/>
              <w:rPr>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89FA0A0">
            <w:pPr>
              <w:ind w:left="223" w:hanging="222"/>
              <w:jc w:val="center"/>
              <w:rPr>
                <w:color w:val="auto"/>
                <w:szCs w:val="21"/>
                <w:highlight w:val="none"/>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14:paraId="04AB85C0">
            <w:pPr>
              <w:ind w:left="223" w:hanging="222"/>
              <w:jc w:val="center"/>
              <w:rPr>
                <w:color w:val="auto"/>
                <w:szCs w:val="21"/>
                <w:highlight w:val="none"/>
              </w:rPr>
            </w:pPr>
          </w:p>
        </w:tc>
      </w:tr>
      <w:tr w14:paraId="29327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14:paraId="17BB88C8">
            <w:pPr>
              <w:jc w:val="left"/>
              <w:rPr>
                <w:rFonts w:ascii="宋体" w:hAnsi="宋体" w:eastAsia="宋体"/>
                <w:color w:val="auto"/>
                <w:szCs w:val="21"/>
                <w:highlight w:val="none"/>
                <w:lang w:val="en-US" w:eastAsia="zh-CN"/>
              </w:rPr>
            </w:pPr>
          </w:p>
        </w:tc>
        <w:tc>
          <w:tcPr>
            <w:tcW w:w="670" w:type="dxa"/>
            <w:tcBorders>
              <w:top w:val="single" w:color="auto" w:sz="4" w:space="0"/>
              <w:left w:val="single" w:color="auto" w:sz="4" w:space="0"/>
              <w:bottom w:val="single" w:color="auto" w:sz="4" w:space="0"/>
              <w:right w:val="single" w:color="auto" w:sz="4" w:space="0"/>
            </w:tcBorders>
            <w:noWrap w:val="0"/>
            <w:vAlign w:val="center"/>
          </w:tcPr>
          <w:p w14:paraId="1EC05820">
            <w:pPr>
              <w:ind w:left="223" w:hanging="222"/>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1529B8DA">
            <w:pPr>
              <w:ind w:left="223" w:hanging="222"/>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5A73F04A">
            <w:pPr>
              <w:ind w:left="223" w:hanging="222"/>
              <w:jc w:val="center"/>
              <w:rPr>
                <w:color w:val="auto"/>
                <w:szCs w:val="21"/>
                <w:highlight w:val="none"/>
              </w:rPr>
            </w:pPr>
          </w:p>
        </w:tc>
        <w:tc>
          <w:tcPr>
            <w:tcW w:w="969" w:type="dxa"/>
            <w:tcBorders>
              <w:top w:val="single" w:color="auto" w:sz="4" w:space="0"/>
              <w:left w:val="single" w:color="auto" w:sz="4" w:space="0"/>
              <w:bottom w:val="single" w:color="auto" w:sz="4" w:space="0"/>
              <w:right w:val="single" w:color="auto" w:sz="4" w:space="0"/>
            </w:tcBorders>
            <w:noWrap w:val="0"/>
            <w:vAlign w:val="center"/>
          </w:tcPr>
          <w:p w14:paraId="16882DE4">
            <w:pPr>
              <w:ind w:left="223" w:hanging="222"/>
              <w:jc w:val="center"/>
              <w:rPr>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7F161215">
            <w:pPr>
              <w:ind w:left="223" w:hanging="222"/>
              <w:jc w:val="center"/>
              <w:rPr>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5DD94D98">
            <w:pPr>
              <w:ind w:left="223" w:hanging="222"/>
              <w:jc w:val="center"/>
              <w:rPr>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7306ADE7">
            <w:pPr>
              <w:ind w:left="223" w:hanging="222"/>
              <w:jc w:val="center"/>
              <w:rPr>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3E4113E">
            <w:pPr>
              <w:ind w:left="223" w:hanging="222"/>
              <w:jc w:val="center"/>
              <w:rPr>
                <w:color w:val="auto"/>
                <w:szCs w:val="21"/>
                <w:highlight w:val="none"/>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14:paraId="435E9001">
            <w:pPr>
              <w:ind w:left="223" w:hanging="222"/>
              <w:jc w:val="center"/>
              <w:rPr>
                <w:color w:val="auto"/>
                <w:szCs w:val="21"/>
                <w:highlight w:val="none"/>
              </w:rPr>
            </w:pPr>
          </w:p>
        </w:tc>
      </w:tr>
      <w:tr w14:paraId="31C76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14:paraId="1814DE55">
            <w:pPr>
              <w:jc w:val="left"/>
              <w:rPr>
                <w:rFonts w:ascii="宋体" w:hAnsi="宋体" w:eastAsia="宋体"/>
                <w:color w:val="auto"/>
                <w:szCs w:val="21"/>
                <w:highlight w:val="none"/>
              </w:rPr>
            </w:pPr>
            <w:r>
              <w:rPr>
                <w:rFonts w:hint="eastAsia" w:ascii="宋体" w:hAnsi="宋体" w:eastAsia="宋体"/>
                <w:color w:val="auto"/>
                <w:szCs w:val="21"/>
                <w:highlight w:val="none"/>
              </w:rPr>
              <w:t>......</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6C9CE438">
            <w:pPr>
              <w:ind w:left="223" w:hanging="222"/>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459E615E">
            <w:pPr>
              <w:ind w:left="223" w:hanging="222"/>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5EDAADC7">
            <w:pPr>
              <w:ind w:left="223" w:hanging="222"/>
              <w:jc w:val="center"/>
              <w:rPr>
                <w:color w:val="auto"/>
                <w:szCs w:val="21"/>
                <w:highlight w:val="none"/>
              </w:rPr>
            </w:pPr>
          </w:p>
        </w:tc>
        <w:tc>
          <w:tcPr>
            <w:tcW w:w="969" w:type="dxa"/>
            <w:tcBorders>
              <w:top w:val="single" w:color="auto" w:sz="4" w:space="0"/>
              <w:left w:val="single" w:color="auto" w:sz="4" w:space="0"/>
              <w:bottom w:val="single" w:color="auto" w:sz="4" w:space="0"/>
              <w:right w:val="single" w:color="auto" w:sz="4" w:space="0"/>
            </w:tcBorders>
            <w:noWrap w:val="0"/>
            <w:vAlign w:val="center"/>
          </w:tcPr>
          <w:p w14:paraId="143D32E5">
            <w:pPr>
              <w:ind w:left="223" w:hanging="222"/>
              <w:jc w:val="center"/>
              <w:rPr>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41166C57">
            <w:pPr>
              <w:ind w:left="223" w:hanging="222"/>
              <w:jc w:val="center"/>
              <w:rPr>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6FC11A7A">
            <w:pPr>
              <w:ind w:left="223" w:hanging="222"/>
              <w:jc w:val="center"/>
              <w:rPr>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2F71A693">
            <w:pPr>
              <w:ind w:left="223" w:hanging="222"/>
              <w:jc w:val="center"/>
              <w:rPr>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EE380F5">
            <w:pPr>
              <w:ind w:left="223" w:hanging="222"/>
              <w:jc w:val="center"/>
              <w:rPr>
                <w:color w:val="auto"/>
                <w:szCs w:val="21"/>
                <w:highlight w:val="none"/>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14:paraId="645B0E2D">
            <w:pPr>
              <w:ind w:left="223" w:hanging="222"/>
              <w:jc w:val="center"/>
              <w:rPr>
                <w:color w:val="auto"/>
                <w:szCs w:val="21"/>
                <w:highlight w:val="none"/>
              </w:rPr>
            </w:pPr>
          </w:p>
        </w:tc>
      </w:tr>
      <w:tr w14:paraId="31B3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171" w:type="dxa"/>
            <w:gridSpan w:val="10"/>
            <w:tcBorders>
              <w:top w:val="single" w:color="auto" w:sz="4" w:space="0"/>
              <w:left w:val="single" w:color="auto" w:sz="4" w:space="0"/>
              <w:bottom w:val="single" w:color="auto" w:sz="4" w:space="0"/>
              <w:right w:val="single" w:color="auto" w:sz="4" w:space="0"/>
            </w:tcBorders>
            <w:noWrap w:val="0"/>
            <w:vAlign w:val="center"/>
          </w:tcPr>
          <w:p w14:paraId="7F0824AE">
            <w:pPr>
              <w:ind w:left="223" w:hanging="222"/>
              <w:jc w:val="left"/>
              <w:rPr>
                <w:color w:val="auto"/>
                <w:highlight w:val="none"/>
              </w:rPr>
            </w:pPr>
            <w:r>
              <w:rPr>
                <w:rFonts w:hint="eastAsia"/>
                <w:color w:val="auto"/>
                <w:highlight w:val="none"/>
              </w:rPr>
              <w:t>一旦我单位</w:t>
            </w:r>
            <w:r>
              <w:rPr>
                <w:rFonts w:hint="eastAsia"/>
                <w:color w:val="auto"/>
                <w:highlight w:val="none"/>
                <w:lang w:val="en-US" w:eastAsia="zh-CN"/>
              </w:rPr>
              <w:t>中标</w:t>
            </w:r>
            <w:r>
              <w:rPr>
                <w:rFonts w:hint="eastAsia"/>
                <w:color w:val="auto"/>
                <w:highlight w:val="none"/>
              </w:rPr>
              <w:t>，将实行项目经理负责制，我方保证并配备上述项目管理机构。上述填报内容真实，若不真实，愿按有关规定接受处理。</w:t>
            </w:r>
          </w:p>
        </w:tc>
      </w:tr>
    </w:tbl>
    <w:p w14:paraId="0607F0A7">
      <w:pPr>
        <w:keepNext w:val="0"/>
        <w:keepLines w:val="0"/>
        <w:pageBreakBefore w:val="0"/>
        <w:widowControl w:val="0"/>
        <w:bidi w:val="0"/>
        <w:spacing w:line="400" w:lineRule="exact"/>
        <w:ind w:firstLine="422"/>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备注：</w:t>
      </w:r>
    </w:p>
    <w:p w14:paraId="3D5CA7C0">
      <w:pPr>
        <w:keepNext w:val="0"/>
        <w:keepLines w:val="0"/>
        <w:pageBreakBefore w:val="0"/>
        <w:widowControl w:val="0"/>
        <w:bidi w:val="0"/>
        <w:spacing w:line="400" w:lineRule="exact"/>
        <w:ind w:firstLine="422"/>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1.本表所列岗位的所有管理人员的情况均应如实填写。可按以上格式扩展为多页填写。</w:t>
      </w:r>
    </w:p>
    <w:p w14:paraId="463B68D7">
      <w:pPr>
        <w:pStyle w:val="326"/>
        <w:ind w:firstLine="422"/>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2.附以下证明材料：</w:t>
      </w:r>
      <w:r>
        <w:rPr>
          <w:rFonts w:hint="eastAsia" w:ascii="宋体" w:hAnsi="宋体" w:eastAsia="宋体" w:cs="Times New Roman"/>
          <w:b/>
          <w:color w:val="auto"/>
          <w:szCs w:val="21"/>
          <w:highlight w:val="none"/>
          <w:lang w:val="en-US" w:eastAsia="zh-CN"/>
        </w:rPr>
        <w:t>在投标文件中提供拟投入项目经理市政公用工程专业二级以上（含二级）注册建造师资格及有效的安全生产考核合格证书（B类）、技术负责人的市政公用工程相关专业工程师及以上职称证书、专职安全生产管理人员有效的安全生产考核合格证（C类）、施工员和质量员有效的相应施工现场专业人员职业培训合格证书、电工的电工证等材料复印件或扫描件</w:t>
      </w:r>
      <w:r>
        <w:rPr>
          <w:rFonts w:hint="eastAsia" w:ascii="宋体" w:hAnsi="宋体" w:eastAsia="宋体" w:cs="Times New Roman"/>
          <w:b/>
          <w:color w:val="auto"/>
          <w:szCs w:val="21"/>
          <w:highlight w:val="none"/>
        </w:rPr>
        <w:t>，加盖供应商公章。</w:t>
      </w:r>
    </w:p>
    <w:p w14:paraId="359CB42C">
      <w:pPr>
        <w:pStyle w:val="326"/>
        <w:rPr>
          <w:color w:val="auto"/>
          <w:highlight w:val="none"/>
        </w:rPr>
      </w:pPr>
    </w:p>
    <w:p w14:paraId="5AA13D9D">
      <w:pPr>
        <w:spacing w:line="360" w:lineRule="auto"/>
        <w:ind w:firstLine="480"/>
        <w:rPr>
          <w:rFonts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20768202">
      <w:pPr>
        <w:spacing w:line="360" w:lineRule="auto"/>
        <w:ind w:firstLine="560"/>
        <w:jc w:val="left"/>
        <w:rPr>
          <w:rFonts w:ascii="宋体" w:hAnsi="宋体"/>
          <w:color w:val="auto"/>
          <w:spacing w:val="20"/>
          <w:sz w:val="24"/>
          <w:highlight w:val="none"/>
        </w:rPr>
      </w:pPr>
      <w:r>
        <w:rPr>
          <w:rFonts w:hint="eastAsia" w:ascii="宋体" w:hAnsi="宋体"/>
          <w:color w:val="auto"/>
          <w:spacing w:val="20"/>
          <w:sz w:val="24"/>
          <w:highlight w:val="none"/>
        </w:rPr>
        <w:t>供应商（</w:t>
      </w:r>
      <w:r>
        <w:rPr>
          <w:rFonts w:hint="eastAsia" w:ascii="宋体" w:hAnsi="宋体"/>
          <w:color w:val="auto"/>
          <w:spacing w:val="20"/>
          <w:sz w:val="24"/>
          <w:highlight w:val="none"/>
          <w:lang w:eastAsia="zh-CN"/>
        </w:rPr>
        <w:t>公章</w:t>
      </w:r>
      <w:r>
        <w:rPr>
          <w:rFonts w:hint="eastAsia" w:ascii="宋体" w:hAnsi="宋体"/>
          <w:color w:val="auto"/>
          <w:spacing w:val="20"/>
          <w:sz w:val="24"/>
          <w:highlight w:val="none"/>
        </w:rPr>
        <w:t>）：</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0CEDB35F">
      <w:pPr>
        <w:spacing w:line="360" w:lineRule="auto"/>
        <w:ind w:firstLine="560"/>
        <w:jc w:val="left"/>
        <w:rPr>
          <w:rFonts w:hint="eastAsia" w:cs="宋体"/>
          <w:b/>
          <w:color w:val="auto"/>
          <w:sz w:val="28"/>
          <w:szCs w:val="28"/>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4A3F34D7">
      <w:pPr>
        <w:spacing w:line="360" w:lineRule="auto"/>
        <w:ind w:firstLine="562"/>
        <w:jc w:val="center"/>
        <w:rPr>
          <w:rFonts w:hint="eastAsia" w:cs="宋体"/>
          <w:b/>
          <w:color w:val="auto"/>
          <w:sz w:val="28"/>
          <w:szCs w:val="28"/>
          <w:highlight w:val="none"/>
          <w:lang w:eastAsia="zh-CN"/>
        </w:rPr>
      </w:pPr>
    </w:p>
    <w:p w14:paraId="1330D154">
      <w:pPr>
        <w:spacing w:line="360" w:lineRule="auto"/>
        <w:ind w:firstLine="562"/>
        <w:jc w:val="center"/>
        <w:rPr>
          <w:rFonts w:hint="eastAsia" w:cs="宋体"/>
          <w:b/>
          <w:color w:val="auto"/>
          <w:sz w:val="28"/>
          <w:szCs w:val="28"/>
          <w:highlight w:val="none"/>
          <w:lang w:eastAsia="zh-CN"/>
        </w:rPr>
      </w:pPr>
    </w:p>
    <w:p w14:paraId="0E8FDAF2">
      <w:pPr>
        <w:spacing w:line="360" w:lineRule="auto"/>
        <w:ind w:firstLine="562"/>
        <w:jc w:val="center"/>
        <w:rPr>
          <w:color w:val="auto"/>
          <w:sz w:val="28"/>
          <w:szCs w:val="28"/>
          <w:highlight w:val="none"/>
          <w:u w:val="single"/>
        </w:rPr>
      </w:pPr>
      <w:r>
        <w:rPr>
          <w:rFonts w:hint="eastAsia" w:cs="宋体"/>
          <w:b/>
          <w:color w:val="auto"/>
          <w:sz w:val="28"/>
          <w:szCs w:val="28"/>
          <w:highlight w:val="none"/>
          <w:lang w:eastAsia="zh-CN"/>
        </w:rPr>
        <w:t>（</w:t>
      </w:r>
      <w:r>
        <w:rPr>
          <w:rFonts w:hint="eastAsia" w:cs="宋体"/>
          <w:b/>
          <w:color w:val="auto"/>
          <w:sz w:val="28"/>
          <w:szCs w:val="28"/>
          <w:highlight w:val="none"/>
          <w:lang w:val="en-US" w:eastAsia="zh-CN"/>
        </w:rPr>
        <w:t>2</w:t>
      </w:r>
      <w:r>
        <w:rPr>
          <w:rFonts w:hint="eastAsia" w:cs="宋体"/>
          <w:b/>
          <w:color w:val="auto"/>
          <w:sz w:val="28"/>
          <w:szCs w:val="28"/>
          <w:highlight w:val="none"/>
          <w:lang w:eastAsia="zh-CN"/>
        </w:rPr>
        <w:t>）</w:t>
      </w:r>
      <w:r>
        <w:rPr>
          <w:rFonts w:hint="eastAsia" w:cs="宋体"/>
          <w:b/>
          <w:color w:val="auto"/>
          <w:sz w:val="28"/>
          <w:szCs w:val="28"/>
          <w:highlight w:val="none"/>
        </w:rPr>
        <w:t>项目经理简历表</w:t>
      </w:r>
    </w:p>
    <w:tbl>
      <w:tblPr>
        <w:tblStyle w:val="30"/>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442"/>
        <w:gridCol w:w="888"/>
        <w:gridCol w:w="660"/>
        <w:gridCol w:w="328"/>
        <w:gridCol w:w="1893"/>
        <w:gridCol w:w="1088"/>
        <w:gridCol w:w="88"/>
        <w:gridCol w:w="409"/>
        <w:gridCol w:w="1108"/>
        <w:gridCol w:w="36"/>
        <w:gridCol w:w="79"/>
        <w:gridCol w:w="1405"/>
        <w:gridCol w:w="11"/>
      </w:tblGrid>
      <w:tr w14:paraId="3B6AE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
          <w:p w14:paraId="155F8B4C">
            <w:pPr>
              <w:jc w:val="center"/>
              <w:rPr>
                <w:color w:val="auto"/>
                <w:highlight w:val="none"/>
              </w:rPr>
            </w:pPr>
            <w:r>
              <w:rPr>
                <w:rFonts w:hint="eastAsia" w:cs="宋体"/>
                <w:color w:val="auto"/>
                <w:highlight w:val="none"/>
              </w:rPr>
              <w:t>岗位</w:t>
            </w:r>
          </w:p>
        </w:tc>
        <w:tc>
          <w:tcPr>
            <w:tcW w:w="2318" w:type="dxa"/>
            <w:gridSpan w:val="4"/>
            <w:tcBorders>
              <w:top w:val="single" w:color="auto" w:sz="4" w:space="0"/>
              <w:left w:val="single" w:color="auto" w:sz="4" w:space="0"/>
              <w:bottom w:val="single" w:color="auto" w:sz="4" w:space="0"/>
              <w:right w:val="single" w:color="auto" w:sz="4" w:space="0"/>
            </w:tcBorders>
            <w:noWrap w:val="0"/>
            <w:vAlign w:val="center"/>
          </w:tcPr>
          <w:p w14:paraId="4D283C2D">
            <w:pPr>
              <w:jc w:val="center"/>
              <w:rPr>
                <w:color w:val="auto"/>
                <w:highlight w:val="none"/>
              </w:rPr>
            </w:pPr>
            <w:r>
              <w:rPr>
                <w:rFonts w:hint="eastAsia"/>
                <w:color w:val="auto"/>
                <w:highlight w:val="none"/>
              </w:rPr>
              <w:t>项目经理</w:t>
            </w:r>
          </w:p>
        </w:tc>
        <w:tc>
          <w:tcPr>
            <w:tcW w:w="1893" w:type="dxa"/>
            <w:tcBorders>
              <w:top w:val="single" w:color="auto" w:sz="4" w:space="0"/>
              <w:left w:val="single" w:color="auto" w:sz="4" w:space="0"/>
              <w:bottom w:val="single" w:color="auto" w:sz="4" w:space="0"/>
              <w:right w:val="single" w:color="auto" w:sz="4" w:space="0"/>
            </w:tcBorders>
            <w:noWrap w:val="0"/>
            <w:vAlign w:val="center"/>
          </w:tcPr>
          <w:p w14:paraId="0E0EC144">
            <w:pPr>
              <w:jc w:val="center"/>
              <w:rPr>
                <w:color w:val="auto"/>
                <w:highlight w:val="none"/>
              </w:rPr>
            </w:pPr>
            <w:r>
              <w:rPr>
                <w:rFonts w:hint="eastAsia" w:cs="宋体"/>
                <w:color w:val="auto"/>
                <w:highlight w:val="none"/>
              </w:rPr>
              <w:t>职称</w:t>
            </w:r>
          </w:p>
        </w:tc>
        <w:tc>
          <w:tcPr>
            <w:tcW w:w="1585" w:type="dxa"/>
            <w:gridSpan w:val="3"/>
            <w:tcBorders>
              <w:top w:val="single" w:color="auto" w:sz="4" w:space="0"/>
              <w:left w:val="single" w:color="auto" w:sz="4" w:space="0"/>
              <w:bottom w:val="single" w:color="auto" w:sz="4" w:space="0"/>
              <w:right w:val="single" w:color="auto" w:sz="4" w:space="0"/>
            </w:tcBorders>
            <w:noWrap w:val="0"/>
            <w:vAlign w:val="center"/>
          </w:tcPr>
          <w:p w14:paraId="1343417A">
            <w:pPr>
              <w:jc w:val="center"/>
              <w:rPr>
                <w:color w:val="auto"/>
                <w:highlight w:val="none"/>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7B4A72BD">
            <w:pPr>
              <w:jc w:val="center"/>
              <w:rPr>
                <w:color w:val="auto"/>
                <w:highlight w:val="none"/>
              </w:rPr>
            </w:pPr>
            <w:r>
              <w:rPr>
                <w:rFonts w:hint="eastAsia" w:cs="宋体"/>
                <w:color w:val="auto"/>
                <w:highlight w:val="none"/>
              </w:rPr>
              <w:t>学历</w:t>
            </w:r>
          </w:p>
        </w:tc>
        <w:tc>
          <w:tcPr>
            <w:tcW w:w="1531" w:type="dxa"/>
            <w:gridSpan w:val="4"/>
            <w:tcBorders>
              <w:top w:val="single" w:color="auto" w:sz="4" w:space="0"/>
              <w:left w:val="single" w:color="auto" w:sz="4" w:space="0"/>
              <w:bottom w:val="single" w:color="auto" w:sz="4" w:space="0"/>
              <w:right w:val="single" w:color="auto" w:sz="4" w:space="0"/>
            </w:tcBorders>
            <w:noWrap w:val="0"/>
            <w:vAlign w:val="center"/>
          </w:tcPr>
          <w:p w14:paraId="471DBB11">
            <w:pPr>
              <w:jc w:val="center"/>
              <w:rPr>
                <w:color w:val="auto"/>
                <w:highlight w:val="none"/>
              </w:rPr>
            </w:pPr>
          </w:p>
        </w:tc>
      </w:tr>
      <w:tr w14:paraId="5A702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
          <w:p w14:paraId="2EAC2FCD">
            <w:pPr>
              <w:jc w:val="center"/>
              <w:rPr>
                <w:rFonts w:hint="eastAsia" w:cs="宋体"/>
                <w:color w:val="auto"/>
                <w:highlight w:val="none"/>
              </w:rPr>
            </w:pPr>
            <w:r>
              <w:rPr>
                <w:rFonts w:hint="eastAsia" w:cs="宋体"/>
                <w:color w:val="auto"/>
                <w:highlight w:val="none"/>
              </w:rPr>
              <w:t>从业开始时间</w:t>
            </w:r>
          </w:p>
        </w:tc>
        <w:tc>
          <w:tcPr>
            <w:tcW w:w="2318" w:type="dxa"/>
            <w:gridSpan w:val="4"/>
            <w:tcBorders>
              <w:top w:val="single" w:color="auto" w:sz="4" w:space="0"/>
              <w:left w:val="single" w:color="auto" w:sz="4" w:space="0"/>
              <w:bottom w:val="single" w:color="auto" w:sz="4" w:space="0"/>
              <w:right w:val="single" w:color="auto" w:sz="4" w:space="0"/>
            </w:tcBorders>
            <w:noWrap w:val="0"/>
            <w:vAlign w:val="center"/>
          </w:tcPr>
          <w:p w14:paraId="6CF5E8BF">
            <w:pPr>
              <w:jc w:val="center"/>
              <w:rPr>
                <w:color w:val="auto"/>
                <w:highlight w:val="none"/>
              </w:rPr>
            </w:pPr>
          </w:p>
        </w:tc>
        <w:tc>
          <w:tcPr>
            <w:tcW w:w="1893" w:type="dxa"/>
            <w:tcBorders>
              <w:top w:val="single" w:color="auto" w:sz="4" w:space="0"/>
              <w:left w:val="single" w:color="auto" w:sz="4" w:space="0"/>
              <w:bottom w:val="single" w:color="auto" w:sz="4" w:space="0"/>
              <w:right w:val="single" w:color="auto" w:sz="4" w:space="0"/>
            </w:tcBorders>
            <w:noWrap w:val="0"/>
            <w:vAlign w:val="center"/>
          </w:tcPr>
          <w:p w14:paraId="305938DB">
            <w:pPr>
              <w:jc w:val="center"/>
              <w:rPr>
                <w:rFonts w:hint="eastAsia"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tcBorders>
              <w:top w:val="single" w:color="auto" w:sz="4" w:space="0"/>
              <w:left w:val="single" w:color="auto" w:sz="4" w:space="0"/>
              <w:bottom w:val="single" w:color="auto" w:sz="4" w:space="0"/>
              <w:right w:val="single" w:color="auto" w:sz="4" w:space="0"/>
            </w:tcBorders>
            <w:noWrap w:val="0"/>
            <w:vAlign w:val="center"/>
          </w:tcPr>
          <w:p w14:paraId="70E9682A">
            <w:pPr>
              <w:jc w:val="center"/>
              <w:rPr>
                <w:color w:val="auto"/>
                <w:highlight w:val="none"/>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20C960C5">
            <w:pPr>
              <w:jc w:val="center"/>
              <w:rPr>
                <w:rFonts w:hint="eastAsia" w:cs="宋体"/>
                <w:color w:val="auto"/>
                <w:highlight w:val="none"/>
              </w:rPr>
            </w:pPr>
            <w:r>
              <w:rPr>
                <w:rFonts w:hint="eastAsia" w:cs="宋体"/>
                <w:color w:val="auto"/>
                <w:highlight w:val="none"/>
              </w:rPr>
              <w:t>毕业时间</w:t>
            </w:r>
          </w:p>
        </w:tc>
        <w:tc>
          <w:tcPr>
            <w:tcW w:w="1531" w:type="dxa"/>
            <w:gridSpan w:val="4"/>
            <w:tcBorders>
              <w:top w:val="single" w:color="auto" w:sz="4" w:space="0"/>
              <w:left w:val="single" w:color="auto" w:sz="4" w:space="0"/>
              <w:bottom w:val="single" w:color="auto" w:sz="4" w:space="0"/>
              <w:right w:val="single" w:color="auto" w:sz="4" w:space="0"/>
            </w:tcBorders>
            <w:noWrap w:val="0"/>
            <w:vAlign w:val="center"/>
          </w:tcPr>
          <w:p w14:paraId="69CE3699">
            <w:pPr>
              <w:jc w:val="center"/>
              <w:rPr>
                <w:color w:val="auto"/>
                <w:highlight w:val="none"/>
              </w:rPr>
            </w:pPr>
          </w:p>
        </w:tc>
      </w:tr>
      <w:tr w14:paraId="6926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
          <w:p w14:paraId="03422B65">
            <w:pPr>
              <w:jc w:val="center"/>
              <w:rPr>
                <w:color w:val="auto"/>
                <w:highlight w:val="none"/>
              </w:rPr>
            </w:pPr>
            <w:r>
              <w:rPr>
                <w:rFonts w:hint="eastAsia" w:cs="宋体"/>
                <w:color w:val="auto"/>
                <w:highlight w:val="none"/>
              </w:rPr>
              <w:t>担任项目经理年限</w:t>
            </w:r>
          </w:p>
        </w:tc>
        <w:tc>
          <w:tcPr>
            <w:tcW w:w="2318" w:type="dxa"/>
            <w:gridSpan w:val="4"/>
            <w:tcBorders>
              <w:top w:val="single" w:color="auto" w:sz="4" w:space="0"/>
              <w:left w:val="single" w:color="auto" w:sz="4" w:space="0"/>
              <w:bottom w:val="single" w:color="auto" w:sz="4" w:space="0"/>
              <w:right w:val="single" w:color="auto" w:sz="4" w:space="0"/>
            </w:tcBorders>
            <w:noWrap w:val="0"/>
            <w:vAlign w:val="center"/>
          </w:tcPr>
          <w:p w14:paraId="2A8BF662">
            <w:pPr>
              <w:jc w:val="center"/>
              <w:rPr>
                <w:color w:val="auto"/>
                <w:highlight w:val="none"/>
              </w:rPr>
            </w:pPr>
          </w:p>
        </w:tc>
        <w:tc>
          <w:tcPr>
            <w:tcW w:w="1893" w:type="dxa"/>
            <w:tcBorders>
              <w:top w:val="single" w:color="auto" w:sz="4" w:space="0"/>
              <w:left w:val="single" w:color="auto" w:sz="4" w:space="0"/>
              <w:bottom w:val="single" w:color="auto" w:sz="4" w:space="0"/>
              <w:right w:val="single" w:color="auto" w:sz="4" w:space="0"/>
            </w:tcBorders>
            <w:noWrap w:val="0"/>
            <w:vAlign w:val="center"/>
          </w:tcPr>
          <w:p w14:paraId="70A10D0D">
            <w:pPr>
              <w:jc w:val="center"/>
              <w:rPr>
                <w:color w:val="auto"/>
                <w:highlight w:val="none"/>
              </w:rPr>
            </w:pPr>
            <w:r>
              <w:rPr>
                <w:rFonts w:hint="eastAsia"/>
                <w:color w:val="auto"/>
                <w:highlight w:val="none"/>
              </w:rPr>
              <w:t>身份</w:t>
            </w:r>
            <w:r>
              <w:rPr>
                <w:color w:val="auto"/>
                <w:highlight w:val="none"/>
              </w:rPr>
              <w:t>证号码</w:t>
            </w:r>
          </w:p>
        </w:tc>
        <w:tc>
          <w:tcPr>
            <w:tcW w:w="4224" w:type="dxa"/>
            <w:gridSpan w:val="8"/>
            <w:tcBorders>
              <w:top w:val="single" w:color="auto" w:sz="4" w:space="0"/>
              <w:left w:val="single" w:color="auto" w:sz="4" w:space="0"/>
              <w:bottom w:val="single" w:color="auto" w:sz="4" w:space="0"/>
              <w:right w:val="single" w:color="auto" w:sz="4" w:space="0"/>
            </w:tcBorders>
            <w:noWrap w:val="0"/>
            <w:vAlign w:val="center"/>
          </w:tcPr>
          <w:p w14:paraId="2E4A7AAD">
            <w:pPr>
              <w:jc w:val="center"/>
              <w:rPr>
                <w:color w:val="auto"/>
                <w:highlight w:val="none"/>
              </w:rPr>
            </w:pPr>
          </w:p>
        </w:tc>
      </w:tr>
      <w:tr w14:paraId="1382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
          <w:p w14:paraId="2E81B09D">
            <w:pPr>
              <w:jc w:val="center"/>
              <w:rPr>
                <w:color w:val="auto"/>
                <w:highlight w:val="none"/>
              </w:rPr>
            </w:pPr>
            <w:r>
              <w:rPr>
                <w:rFonts w:hint="eastAsia"/>
                <w:color w:val="auto"/>
                <w:highlight w:val="none"/>
              </w:rPr>
              <w:t>证书名称</w:t>
            </w:r>
          </w:p>
        </w:tc>
        <w:tc>
          <w:tcPr>
            <w:tcW w:w="1330" w:type="dxa"/>
            <w:gridSpan w:val="2"/>
            <w:tcBorders>
              <w:top w:val="single" w:color="auto" w:sz="4" w:space="0"/>
              <w:left w:val="single" w:color="auto" w:sz="4" w:space="0"/>
              <w:bottom w:val="single" w:color="auto" w:sz="4" w:space="0"/>
              <w:right w:val="single" w:color="auto" w:sz="4" w:space="0"/>
            </w:tcBorders>
            <w:noWrap w:val="0"/>
            <w:vAlign w:val="center"/>
          </w:tcPr>
          <w:p w14:paraId="09627F3A">
            <w:pPr>
              <w:jc w:val="center"/>
              <w:rPr>
                <w:color w:val="auto"/>
                <w:highlight w:val="none"/>
              </w:rPr>
            </w:pPr>
            <w:r>
              <w:rPr>
                <w:rFonts w:hint="eastAsia"/>
                <w:color w:val="auto"/>
                <w:highlight w:val="none"/>
              </w:rPr>
              <w:t>注册专业</w:t>
            </w:r>
          </w:p>
        </w:tc>
        <w:tc>
          <w:tcPr>
            <w:tcW w:w="988" w:type="dxa"/>
            <w:gridSpan w:val="2"/>
            <w:tcBorders>
              <w:top w:val="single" w:color="auto" w:sz="4" w:space="0"/>
              <w:left w:val="single" w:color="auto" w:sz="4" w:space="0"/>
              <w:bottom w:val="single" w:color="auto" w:sz="4" w:space="0"/>
              <w:right w:val="single" w:color="auto" w:sz="4" w:space="0"/>
            </w:tcBorders>
            <w:noWrap w:val="0"/>
            <w:vAlign w:val="center"/>
          </w:tcPr>
          <w:p w14:paraId="37DAD1F0">
            <w:pPr>
              <w:jc w:val="center"/>
              <w:rPr>
                <w:color w:val="auto"/>
                <w:highlight w:val="none"/>
              </w:rPr>
            </w:pPr>
            <w:r>
              <w:rPr>
                <w:color w:val="auto"/>
                <w:highlight w:val="none"/>
              </w:rPr>
              <w:t>级别</w:t>
            </w:r>
          </w:p>
        </w:tc>
        <w:tc>
          <w:tcPr>
            <w:tcW w:w="1893" w:type="dxa"/>
            <w:tcBorders>
              <w:top w:val="single" w:color="auto" w:sz="4" w:space="0"/>
              <w:left w:val="single" w:color="auto" w:sz="4" w:space="0"/>
              <w:bottom w:val="single" w:color="auto" w:sz="4" w:space="0"/>
              <w:right w:val="single" w:color="auto" w:sz="4" w:space="0"/>
            </w:tcBorders>
            <w:noWrap w:val="0"/>
            <w:vAlign w:val="center"/>
          </w:tcPr>
          <w:p w14:paraId="1EA849DD">
            <w:pPr>
              <w:jc w:val="center"/>
              <w:rPr>
                <w:color w:val="auto"/>
                <w:highlight w:val="none"/>
              </w:rPr>
            </w:pPr>
            <w:r>
              <w:rPr>
                <w:rFonts w:hint="eastAsia" w:cs="宋体"/>
                <w:color w:val="auto"/>
                <w:highlight w:val="none"/>
              </w:rPr>
              <w:t>证书编号</w:t>
            </w:r>
          </w:p>
        </w:tc>
        <w:tc>
          <w:tcPr>
            <w:tcW w:w="1176" w:type="dxa"/>
            <w:gridSpan w:val="2"/>
            <w:tcBorders>
              <w:top w:val="single" w:color="auto" w:sz="4" w:space="0"/>
              <w:left w:val="single" w:color="auto" w:sz="4" w:space="0"/>
              <w:bottom w:val="single" w:color="auto" w:sz="4" w:space="0"/>
              <w:right w:val="single" w:color="auto" w:sz="4" w:space="0"/>
            </w:tcBorders>
            <w:noWrap w:val="0"/>
            <w:vAlign w:val="center"/>
          </w:tcPr>
          <w:p w14:paraId="6D018D1B">
            <w:pPr>
              <w:jc w:val="center"/>
              <w:rPr>
                <w:color w:val="auto"/>
                <w:highlight w:val="none"/>
              </w:rPr>
            </w:pPr>
            <w:r>
              <w:rPr>
                <w:rFonts w:hint="eastAsia"/>
                <w:color w:val="auto"/>
                <w:highlight w:val="none"/>
              </w:rPr>
              <w:t>注册时间</w:t>
            </w:r>
          </w:p>
        </w:tc>
        <w:tc>
          <w:tcPr>
            <w:tcW w:w="1632" w:type="dxa"/>
            <w:gridSpan w:val="4"/>
            <w:tcBorders>
              <w:top w:val="single" w:color="auto" w:sz="4" w:space="0"/>
              <w:left w:val="single" w:color="auto" w:sz="4" w:space="0"/>
              <w:bottom w:val="single" w:color="auto" w:sz="4" w:space="0"/>
              <w:right w:val="single" w:color="auto" w:sz="4" w:space="0"/>
            </w:tcBorders>
            <w:noWrap w:val="0"/>
            <w:vAlign w:val="center"/>
          </w:tcPr>
          <w:p w14:paraId="5AECF17B">
            <w:pPr>
              <w:jc w:val="center"/>
              <w:rPr>
                <w:color w:val="auto"/>
                <w:highlight w:val="none"/>
              </w:rPr>
            </w:pPr>
            <w:r>
              <w:rPr>
                <w:rFonts w:hint="eastAsia"/>
                <w:color w:val="auto"/>
                <w:highlight w:val="none"/>
              </w:rPr>
              <w:t>注册单位</w:t>
            </w:r>
          </w:p>
        </w:tc>
        <w:tc>
          <w:tcPr>
            <w:tcW w:w="1416" w:type="dxa"/>
            <w:gridSpan w:val="2"/>
            <w:tcBorders>
              <w:top w:val="single" w:color="auto" w:sz="4" w:space="0"/>
              <w:left w:val="single" w:color="auto" w:sz="4" w:space="0"/>
              <w:bottom w:val="single" w:color="auto" w:sz="4" w:space="0"/>
              <w:right w:val="single" w:color="auto" w:sz="4" w:space="0"/>
            </w:tcBorders>
            <w:noWrap w:val="0"/>
            <w:vAlign w:val="center"/>
          </w:tcPr>
          <w:p w14:paraId="795B5603">
            <w:pPr>
              <w:jc w:val="center"/>
              <w:rPr>
                <w:color w:val="auto"/>
                <w:highlight w:val="none"/>
              </w:rPr>
            </w:pPr>
            <w:r>
              <w:rPr>
                <w:rFonts w:hint="eastAsia"/>
                <w:color w:val="auto"/>
                <w:highlight w:val="none"/>
              </w:rPr>
              <w:t>注册有效期</w:t>
            </w:r>
          </w:p>
        </w:tc>
      </w:tr>
      <w:tr w14:paraId="08DA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
          <w:p w14:paraId="401327BB">
            <w:pPr>
              <w:jc w:val="center"/>
              <w:rPr>
                <w:rFonts w:hint="eastAsia"/>
                <w:color w:val="auto"/>
                <w:highlight w:val="none"/>
              </w:rPr>
            </w:pPr>
          </w:p>
        </w:tc>
        <w:tc>
          <w:tcPr>
            <w:tcW w:w="1330" w:type="dxa"/>
            <w:gridSpan w:val="2"/>
            <w:tcBorders>
              <w:top w:val="single" w:color="auto" w:sz="4" w:space="0"/>
              <w:left w:val="single" w:color="auto" w:sz="4" w:space="0"/>
              <w:bottom w:val="single" w:color="auto" w:sz="4" w:space="0"/>
              <w:right w:val="single" w:color="auto" w:sz="4" w:space="0"/>
            </w:tcBorders>
            <w:noWrap w:val="0"/>
            <w:vAlign w:val="center"/>
          </w:tcPr>
          <w:p w14:paraId="3CE54D78">
            <w:pPr>
              <w:jc w:val="center"/>
              <w:rPr>
                <w:rFonts w:hint="eastAsia"/>
                <w:color w:val="auto"/>
                <w:highlight w:val="none"/>
              </w:rPr>
            </w:pPr>
          </w:p>
        </w:tc>
        <w:tc>
          <w:tcPr>
            <w:tcW w:w="988" w:type="dxa"/>
            <w:gridSpan w:val="2"/>
            <w:tcBorders>
              <w:top w:val="single" w:color="auto" w:sz="4" w:space="0"/>
              <w:left w:val="single" w:color="auto" w:sz="4" w:space="0"/>
              <w:bottom w:val="single" w:color="auto" w:sz="4" w:space="0"/>
              <w:right w:val="single" w:color="auto" w:sz="4" w:space="0"/>
            </w:tcBorders>
            <w:noWrap w:val="0"/>
            <w:vAlign w:val="center"/>
          </w:tcPr>
          <w:p w14:paraId="1A8D1B0F">
            <w:pPr>
              <w:jc w:val="center"/>
              <w:rPr>
                <w:rFonts w:hint="eastAsia" w:cs="宋体"/>
                <w:color w:val="auto"/>
                <w:highlight w:val="none"/>
              </w:rPr>
            </w:pPr>
          </w:p>
        </w:tc>
        <w:tc>
          <w:tcPr>
            <w:tcW w:w="1893" w:type="dxa"/>
            <w:tcBorders>
              <w:top w:val="single" w:color="auto" w:sz="4" w:space="0"/>
              <w:left w:val="single" w:color="auto" w:sz="4" w:space="0"/>
              <w:bottom w:val="single" w:color="auto" w:sz="4" w:space="0"/>
              <w:right w:val="single" w:color="auto" w:sz="4" w:space="0"/>
            </w:tcBorders>
            <w:noWrap w:val="0"/>
            <w:vAlign w:val="center"/>
          </w:tcPr>
          <w:p w14:paraId="5BB634AF">
            <w:pPr>
              <w:jc w:val="center"/>
              <w:rPr>
                <w:rFonts w:hint="eastAsia"/>
                <w:color w:val="auto"/>
                <w:highlight w:val="none"/>
              </w:rPr>
            </w:pPr>
          </w:p>
        </w:tc>
        <w:tc>
          <w:tcPr>
            <w:tcW w:w="1176" w:type="dxa"/>
            <w:gridSpan w:val="2"/>
            <w:tcBorders>
              <w:top w:val="single" w:color="auto" w:sz="4" w:space="0"/>
              <w:left w:val="single" w:color="auto" w:sz="4" w:space="0"/>
              <w:bottom w:val="single" w:color="auto" w:sz="4" w:space="0"/>
              <w:right w:val="single" w:color="auto" w:sz="4" w:space="0"/>
            </w:tcBorders>
            <w:noWrap w:val="0"/>
            <w:vAlign w:val="center"/>
          </w:tcPr>
          <w:p w14:paraId="4A3E6F3E">
            <w:pPr>
              <w:jc w:val="center"/>
              <w:rPr>
                <w:rFonts w:hint="eastAsia"/>
                <w:color w:val="auto"/>
                <w:highlight w:val="none"/>
              </w:rPr>
            </w:pPr>
          </w:p>
        </w:tc>
        <w:tc>
          <w:tcPr>
            <w:tcW w:w="1632" w:type="dxa"/>
            <w:gridSpan w:val="4"/>
            <w:tcBorders>
              <w:top w:val="single" w:color="auto" w:sz="4" w:space="0"/>
              <w:left w:val="single" w:color="auto" w:sz="4" w:space="0"/>
              <w:bottom w:val="single" w:color="auto" w:sz="4" w:space="0"/>
              <w:right w:val="single" w:color="auto" w:sz="4" w:space="0"/>
            </w:tcBorders>
            <w:noWrap w:val="0"/>
            <w:vAlign w:val="center"/>
          </w:tcPr>
          <w:p w14:paraId="3E7E9C72">
            <w:pPr>
              <w:jc w:val="center"/>
              <w:rPr>
                <w:rFonts w:hint="eastAsia"/>
                <w:color w:val="auto"/>
                <w:highlight w:val="none"/>
              </w:rPr>
            </w:pPr>
          </w:p>
        </w:tc>
        <w:tc>
          <w:tcPr>
            <w:tcW w:w="1416" w:type="dxa"/>
            <w:gridSpan w:val="2"/>
            <w:tcBorders>
              <w:top w:val="single" w:color="auto" w:sz="4" w:space="0"/>
              <w:left w:val="single" w:color="auto" w:sz="4" w:space="0"/>
              <w:bottom w:val="single" w:color="auto" w:sz="4" w:space="0"/>
              <w:right w:val="single" w:color="auto" w:sz="4" w:space="0"/>
            </w:tcBorders>
            <w:noWrap w:val="0"/>
            <w:vAlign w:val="center"/>
          </w:tcPr>
          <w:p w14:paraId="50E0D87A">
            <w:pPr>
              <w:jc w:val="center"/>
              <w:rPr>
                <w:rFonts w:hint="eastAsia"/>
                <w:color w:val="auto"/>
                <w:highlight w:val="none"/>
              </w:rPr>
            </w:pPr>
          </w:p>
        </w:tc>
      </w:tr>
      <w:tr w14:paraId="100E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
          <w:p w14:paraId="68C23C47">
            <w:pPr>
              <w:jc w:val="center"/>
              <w:rPr>
                <w:rFonts w:hint="eastAsia"/>
                <w:color w:val="auto"/>
                <w:highlight w:val="none"/>
              </w:rPr>
            </w:pPr>
            <w:r>
              <w:rPr>
                <w:rFonts w:hint="eastAsia"/>
                <w:color w:val="auto"/>
                <w:highlight w:val="none"/>
              </w:rPr>
              <w:t>安全生产考核合格证书</w:t>
            </w:r>
          </w:p>
        </w:tc>
        <w:tc>
          <w:tcPr>
            <w:tcW w:w="1330" w:type="dxa"/>
            <w:gridSpan w:val="2"/>
            <w:tcBorders>
              <w:top w:val="single" w:color="auto" w:sz="4" w:space="0"/>
              <w:left w:val="single" w:color="auto" w:sz="4" w:space="0"/>
              <w:bottom w:val="single" w:color="auto" w:sz="4" w:space="0"/>
              <w:right w:val="single" w:color="auto" w:sz="4" w:space="0"/>
            </w:tcBorders>
            <w:noWrap w:val="0"/>
            <w:vAlign w:val="center"/>
          </w:tcPr>
          <w:p w14:paraId="7E277E1F">
            <w:pPr>
              <w:jc w:val="center"/>
              <w:rPr>
                <w:rFonts w:hint="eastAsia"/>
                <w:color w:val="auto"/>
                <w:highlight w:val="none"/>
              </w:rPr>
            </w:pPr>
          </w:p>
        </w:tc>
        <w:tc>
          <w:tcPr>
            <w:tcW w:w="988" w:type="dxa"/>
            <w:gridSpan w:val="2"/>
            <w:tcBorders>
              <w:top w:val="single" w:color="auto" w:sz="4" w:space="0"/>
              <w:left w:val="single" w:color="auto" w:sz="4" w:space="0"/>
              <w:bottom w:val="single" w:color="auto" w:sz="4" w:space="0"/>
              <w:right w:val="single" w:color="auto" w:sz="4" w:space="0"/>
            </w:tcBorders>
            <w:noWrap w:val="0"/>
            <w:vAlign w:val="center"/>
          </w:tcPr>
          <w:p w14:paraId="73DEDC93">
            <w:pPr>
              <w:jc w:val="center"/>
              <w:rPr>
                <w:rFonts w:hint="eastAsia" w:cs="宋体"/>
                <w:color w:val="auto"/>
                <w:highlight w:val="none"/>
              </w:rPr>
            </w:pPr>
            <w:r>
              <w:rPr>
                <w:rFonts w:hint="eastAsia"/>
                <w:color w:val="auto"/>
                <w:highlight w:val="none"/>
              </w:rPr>
              <w:t>B类</w:t>
            </w:r>
          </w:p>
        </w:tc>
        <w:tc>
          <w:tcPr>
            <w:tcW w:w="1893" w:type="dxa"/>
            <w:tcBorders>
              <w:top w:val="single" w:color="auto" w:sz="4" w:space="0"/>
              <w:left w:val="single" w:color="auto" w:sz="4" w:space="0"/>
              <w:bottom w:val="single" w:color="auto" w:sz="4" w:space="0"/>
              <w:right w:val="single" w:color="auto" w:sz="4" w:space="0"/>
            </w:tcBorders>
            <w:noWrap w:val="0"/>
            <w:vAlign w:val="center"/>
          </w:tcPr>
          <w:p w14:paraId="1A5ED858">
            <w:pPr>
              <w:jc w:val="center"/>
              <w:rPr>
                <w:rFonts w:hint="eastAsia"/>
                <w:color w:val="auto"/>
                <w:highlight w:val="none"/>
              </w:rPr>
            </w:pPr>
          </w:p>
        </w:tc>
        <w:tc>
          <w:tcPr>
            <w:tcW w:w="1176" w:type="dxa"/>
            <w:gridSpan w:val="2"/>
            <w:tcBorders>
              <w:top w:val="single" w:color="auto" w:sz="4" w:space="0"/>
              <w:left w:val="single" w:color="auto" w:sz="4" w:space="0"/>
              <w:bottom w:val="single" w:color="auto" w:sz="4" w:space="0"/>
              <w:right w:val="single" w:color="auto" w:sz="4" w:space="0"/>
            </w:tcBorders>
            <w:noWrap w:val="0"/>
            <w:vAlign w:val="center"/>
          </w:tcPr>
          <w:p w14:paraId="10A67900">
            <w:pPr>
              <w:jc w:val="center"/>
              <w:rPr>
                <w:rFonts w:hint="eastAsia"/>
                <w:color w:val="auto"/>
                <w:highlight w:val="none"/>
              </w:rPr>
            </w:pPr>
          </w:p>
        </w:tc>
        <w:tc>
          <w:tcPr>
            <w:tcW w:w="1632" w:type="dxa"/>
            <w:gridSpan w:val="4"/>
            <w:tcBorders>
              <w:top w:val="single" w:color="auto" w:sz="4" w:space="0"/>
              <w:left w:val="single" w:color="auto" w:sz="4" w:space="0"/>
              <w:bottom w:val="single" w:color="auto" w:sz="4" w:space="0"/>
              <w:right w:val="single" w:color="auto" w:sz="4" w:space="0"/>
            </w:tcBorders>
            <w:noWrap w:val="0"/>
            <w:vAlign w:val="center"/>
          </w:tcPr>
          <w:p w14:paraId="46D6CC5F">
            <w:pPr>
              <w:jc w:val="center"/>
              <w:rPr>
                <w:rFonts w:hint="eastAsia"/>
                <w:color w:val="auto"/>
                <w:highlight w:val="none"/>
              </w:rPr>
            </w:pPr>
          </w:p>
        </w:tc>
        <w:tc>
          <w:tcPr>
            <w:tcW w:w="1416" w:type="dxa"/>
            <w:gridSpan w:val="2"/>
            <w:tcBorders>
              <w:top w:val="single" w:color="auto" w:sz="4" w:space="0"/>
              <w:left w:val="single" w:color="auto" w:sz="4" w:space="0"/>
              <w:bottom w:val="single" w:color="auto" w:sz="4" w:space="0"/>
              <w:right w:val="single" w:color="auto" w:sz="4" w:space="0"/>
            </w:tcBorders>
            <w:noWrap w:val="0"/>
            <w:vAlign w:val="center"/>
          </w:tcPr>
          <w:p w14:paraId="3B648FF7">
            <w:pPr>
              <w:jc w:val="center"/>
              <w:rPr>
                <w:rFonts w:hint="eastAsia"/>
                <w:color w:val="auto"/>
                <w:highlight w:val="none"/>
              </w:rPr>
            </w:pPr>
          </w:p>
        </w:tc>
      </w:tr>
      <w:tr w14:paraId="0045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4"/>
            <w:tcBorders>
              <w:top w:val="single" w:color="auto" w:sz="4" w:space="0"/>
              <w:left w:val="single" w:color="auto" w:sz="4" w:space="0"/>
              <w:bottom w:val="single" w:color="auto" w:sz="4" w:space="0"/>
              <w:right w:val="single" w:color="auto" w:sz="4" w:space="0"/>
            </w:tcBorders>
            <w:noWrap w:val="0"/>
            <w:vAlign w:val="center"/>
          </w:tcPr>
          <w:p w14:paraId="3B457F9A">
            <w:pPr>
              <w:jc w:val="center"/>
              <w:rPr>
                <w:color w:val="auto"/>
                <w:highlight w:val="none"/>
              </w:rPr>
            </w:pPr>
            <w:r>
              <w:rPr>
                <w:rFonts w:hint="eastAsia" w:cs="宋体"/>
                <w:color w:val="auto"/>
                <w:highlight w:val="none"/>
              </w:rPr>
              <w:t>在建和已完工程项目情况</w:t>
            </w:r>
          </w:p>
        </w:tc>
      </w:tr>
      <w:tr w14:paraId="22EF5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038C83E8">
            <w:pPr>
              <w:jc w:val="center"/>
              <w:rPr>
                <w:color w:val="auto"/>
                <w:highlight w:val="none"/>
              </w:rPr>
            </w:pP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7330296F">
            <w:pPr>
              <w:jc w:val="center"/>
              <w:rPr>
                <w:rFonts w:hint="eastAsia"/>
                <w:color w:val="auto"/>
                <w:highlight w:val="none"/>
              </w:rPr>
            </w:pPr>
            <w:r>
              <w:rPr>
                <w:rFonts w:hint="eastAsia"/>
                <w:color w:val="auto"/>
                <w:highlight w:val="none"/>
              </w:rPr>
              <w:t>项目1</w:t>
            </w: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36750892">
            <w:pPr>
              <w:jc w:val="center"/>
              <w:rPr>
                <w:color w:val="auto"/>
                <w:highlight w:val="none"/>
              </w:rPr>
            </w:pPr>
            <w:r>
              <w:rPr>
                <w:rFonts w:hint="eastAsia"/>
                <w:color w:val="auto"/>
                <w:highlight w:val="none"/>
              </w:rPr>
              <w:t>项目2</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34969BBE">
            <w:pPr>
              <w:jc w:val="center"/>
              <w:rPr>
                <w:color w:val="auto"/>
                <w:highlight w:val="none"/>
              </w:rPr>
            </w:pPr>
            <w:r>
              <w:rPr>
                <w:rFonts w:hint="eastAsia"/>
                <w:color w:val="auto"/>
                <w:highlight w:val="none"/>
              </w:rPr>
              <w:t>项目3</w:t>
            </w: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43A583C4">
            <w:pPr>
              <w:jc w:val="center"/>
              <w:rPr>
                <w:color w:val="auto"/>
                <w:highlight w:val="none"/>
              </w:rPr>
            </w:pPr>
            <w:r>
              <w:rPr>
                <w:rFonts w:hint="eastAsia"/>
                <w:color w:val="auto"/>
                <w:highlight w:val="none"/>
              </w:rPr>
              <w:t>项目4</w:t>
            </w: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384D9AAA">
            <w:pPr>
              <w:jc w:val="center"/>
              <w:rPr>
                <w:color w:val="auto"/>
                <w:highlight w:val="none"/>
              </w:rPr>
            </w:pPr>
            <w:r>
              <w:rPr>
                <w:rFonts w:hint="eastAsia"/>
                <w:color w:val="auto"/>
                <w:highlight w:val="none"/>
              </w:rPr>
              <w:t>……</w:t>
            </w:r>
          </w:p>
        </w:tc>
      </w:tr>
      <w:tr w14:paraId="47BF0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4563F9FA">
            <w:pPr>
              <w:jc w:val="center"/>
              <w:rPr>
                <w:color w:val="auto"/>
                <w:highlight w:val="none"/>
              </w:rPr>
            </w:pPr>
            <w:r>
              <w:rPr>
                <w:rFonts w:hint="eastAsia"/>
                <w:color w:val="auto"/>
                <w:highlight w:val="none"/>
              </w:rPr>
              <w:t>项目名称</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76C47097">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58E4E845">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3B40F81B">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548E8C61">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11439E21">
            <w:pPr>
              <w:jc w:val="center"/>
              <w:rPr>
                <w:color w:val="auto"/>
                <w:highlight w:val="none"/>
              </w:rPr>
            </w:pPr>
          </w:p>
        </w:tc>
      </w:tr>
      <w:tr w14:paraId="01043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7081ED48">
            <w:pPr>
              <w:jc w:val="center"/>
              <w:rPr>
                <w:color w:val="auto"/>
                <w:highlight w:val="none"/>
              </w:rPr>
            </w:pPr>
            <w:r>
              <w:rPr>
                <w:rFonts w:hint="eastAsia" w:cs="宋体"/>
                <w:color w:val="auto"/>
                <w:highlight w:val="none"/>
              </w:rPr>
              <w:t>建设单位</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14A428A4">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32D51462">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5809A5EA">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07DC61BA">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2C9A8FB8">
            <w:pPr>
              <w:jc w:val="center"/>
              <w:rPr>
                <w:color w:val="auto"/>
                <w:highlight w:val="none"/>
              </w:rPr>
            </w:pPr>
          </w:p>
        </w:tc>
      </w:tr>
      <w:tr w14:paraId="1E565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32320880">
            <w:pPr>
              <w:jc w:val="center"/>
              <w:rPr>
                <w:color w:val="auto"/>
                <w:highlight w:val="none"/>
              </w:rPr>
            </w:pPr>
            <w:r>
              <w:rPr>
                <w:rFonts w:hint="eastAsia" w:cs="宋体"/>
                <w:color w:val="auto"/>
                <w:highlight w:val="none"/>
              </w:rPr>
              <w:t>建设规模</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025BEB18">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450BD374">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20BAE56D">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5B7D0129">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57452981">
            <w:pPr>
              <w:jc w:val="center"/>
              <w:rPr>
                <w:color w:val="auto"/>
                <w:highlight w:val="none"/>
              </w:rPr>
            </w:pPr>
          </w:p>
        </w:tc>
      </w:tr>
      <w:tr w14:paraId="3CF1A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1F059FD9">
            <w:pPr>
              <w:jc w:val="center"/>
              <w:rPr>
                <w:rFonts w:hint="eastAsia" w:ascii="宋体" w:hAnsi="宋体" w:cs="宋体"/>
                <w:color w:val="auto"/>
                <w:sz w:val="27"/>
                <w:szCs w:val="27"/>
                <w:highlight w:val="none"/>
                <w:lang w:bidi="ar"/>
              </w:rPr>
            </w:pPr>
            <w:r>
              <w:rPr>
                <w:rFonts w:hint="eastAsia" w:cs="宋体"/>
                <w:color w:val="auto"/>
                <w:highlight w:val="none"/>
              </w:rPr>
              <w:t>开工日期</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2E58E591">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40541F70">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2DA0A759">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2577AD81">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2BE5C756">
            <w:pPr>
              <w:jc w:val="center"/>
              <w:rPr>
                <w:color w:val="auto"/>
                <w:highlight w:val="none"/>
              </w:rPr>
            </w:pPr>
          </w:p>
        </w:tc>
      </w:tr>
      <w:tr w14:paraId="09B5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127182D3">
            <w:pPr>
              <w:jc w:val="center"/>
              <w:rPr>
                <w:color w:val="auto"/>
                <w:highlight w:val="none"/>
              </w:rPr>
            </w:pPr>
            <w:r>
              <w:rPr>
                <w:rFonts w:hint="eastAsia" w:cs="宋体"/>
                <w:color w:val="auto"/>
                <w:highlight w:val="none"/>
              </w:rPr>
              <w:t>竣工日期</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2D2A952B">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36C61D9E">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1A8DBB2C">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30BADBBA">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57F62FA6">
            <w:pPr>
              <w:jc w:val="center"/>
              <w:rPr>
                <w:color w:val="auto"/>
                <w:highlight w:val="none"/>
              </w:rPr>
            </w:pPr>
          </w:p>
        </w:tc>
      </w:tr>
      <w:tr w14:paraId="6F2D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6063CCDC">
            <w:pPr>
              <w:jc w:val="center"/>
              <w:rPr>
                <w:rFonts w:hint="eastAsia" w:cs="宋体"/>
                <w:color w:val="auto"/>
                <w:highlight w:val="none"/>
              </w:rPr>
            </w:pPr>
            <w:r>
              <w:rPr>
                <w:rFonts w:hint="eastAsia" w:cs="宋体"/>
                <w:color w:val="auto"/>
                <w:highlight w:val="none"/>
              </w:rPr>
              <w:t>人员角色</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773179F5">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2E209916">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14EBC470">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23E3EEDC">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1A82803A">
            <w:pPr>
              <w:jc w:val="center"/>
              <w:rPr>
                <w:color w:val="auto"/>
                <w:highlight w:val="none"/>
              </w:rPr>
            </w:pPr>
          </w:p>
        </w:tc>
      </w:tr>
      <w:tr w14:paraId="3062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64BC09BE">
            <w:pPr>
              <w:jc w:val="center"/>
              <w:rPr>
                <w:rFonts w:hint="eastAsia" w:cs="宋体"/>
                <w:color w:val="auto"/>
                <w:highlight w:val="none"/>
              </w:rPr>
            </w:pPr>
            <w:r>
              <w:rPr>
                <w:rFonts w:hint="eastAsia" w:cs="宋体"/>
                <w:color w:val="auto"/>
                <w:highlight w:val="none"/>
              </w:rPr>
              <w:t>在建或已完</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320C7587">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71816107">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574A778B">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3EEF9C93">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7986CD97">
            <w:pPr>
              <w:jc w:val="center"/>
              <w:rPr>
                <w:color w:val="auto"/>
                <w:highlight w:val="none"/>
              </w:rPr>
            </w:pPr>
          </w:p>
        </w:tc>
      </w:tr>
      <w:tr w14:paraId="4E12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6FC80553">
            <w:pPr>
              <w:jc w:val="center"/>
              <w:rPr>
                <w:rFonts w:hint="eastAsia" w:cs="宋体"/>
                <w:color w:val="auto"/>
                <w:highlight w:val="none"/>
              </w:rPr>
            </w:pPr>
            <w:r>
              <w:rPr>
                <w:rFonts w:hint="eastAsia" w:cs="宋体"/>
                <w:color w:val="auto"/>
                <w:highlight w:val="none"/>
              </w:rPr>
              <w:t>工程质量</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52F47908">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0DF99959">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25FADD54">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36E77A4E">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4E6AD7D1">
            <w:pPr>
              <w:jc w:val="center"/>
              <w:rPr>
                <w:color w:val="auto"/>
                <w:highlight w:val="none"/>
              </w:rPr>
            </w:pPr>
          </w:p>
        </w:tc>
      </w:tr>
      <w:tr w14:paraId="28E9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1225E04F">
            <w:pPr>
              <w:jc w:val="center"/>
              <w:rPr>
                <w:rFonts w:hint="eastAsia" w:cs="宋体"/>
                <w:color w:val="auto"/>
                <w:highlight w:val="none"/>
              </w:rPr>
            </w:pPr>
            <w:r>
              <w:rPr>
                <w:rFonts w:hint="eastAsia" w:cs="宋体"/>
                <w:color w:val="auto"/>
                <w:highlight w:val="none"/>
              </w:rPr>
              <w:t>受奖情况</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7E1B3420">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40AC2AF4">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492644AE">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2D52FB85">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04739FC4">
            <w:pPr>
              <w:jc w:val="center"/>
              <w:rPr>
                <w:color w:val="auto"/>
                <w:highlight w:val="none"/>
              </w:rPr>
            </w:pPr>
          </w:p>
        </w:tc>
      </w:tr>
    </w:tbl>
    <w:p w14:paraId="6511C146">
      <w:pPr>
        <w:rPr>
          <w:rFonts w:ascii="宋体" w:hAnsi="宋体"/>
          <w:color w:val="auto"/>
          <w:szCs w:val="21"/>
          <w:highlight w:val="none"/>
        </w:rPr>
      </w:pPr>
      <w:r>
        <w:rPr>
          <w:rFonts w:hint="eastAsia" w:ascii="宋体" w:hAnsi="宋体" w:cs="楷体_GB2312"/>
          <w:color w:val="auto"/>
          <w:szCs w:val="21"/>
          <w:highlight w:val="none"/>
        </w:rPr>
        <w:t>备注：</w:t>
      </w:r>
    </w:p>
    <w:p w14:paraId="4D4D8D7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1.项目</w:t>
      </w:r>
      <w:r>
        <w:rPr>
          <w:rFonts w:ascii="宋体" w:hAnsi="宋体"/>
          <w:color w:val="auto"/>
          <w:szCs w:val="21"/>
          <w:highlight w:val="none"/>
        </w:rPr>
        <w:t>数</w:t>
      </w:r>
      <w:r>
        <w:rPr>
          <w:rFonts w:hint="eastAsia" w:ascii="宋体" w:hAnsi="宋体"/>
          <w:color w:val="auto"/>
          <w:szCs w:val="21"/>
          <w:highlight w:val="none"/>
        </w:rPr>
        <w:t>可</w:t>
      </w:r>
      <w:r>
        <w:rPr>
          <w:rFonts w:ascii="宋体" w:hAnsi="宋体"/>
          <w:color w:val="auto"/>
          <w:szCs w:val="21"/>
          <w:highlight w:val="none"/>
        </w:rPr>
        <w:t>以根据需要增加</w:t>
      </w:r>
      <w:r>
        <w:rPr>
          <w:rFonts w:hint="eastAsia" w:ascii="宋体" w:hAnsi="宋体"/>
          <w:color w:val="auto"/>
          <w:szCs w:val="21"/>
          <w:highlight w:val="none"/>
        </w:rPr>
        <w:t>。</w:t>
      </w:r>
    </w:p>
    <w:p w14:paraId="5AFB3699">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2.本表后附项目经理的学历证（如有）、安全生产考核合格证（B类）等材料，本表所列证书材料并加盖供应商</w:t>
      </w:r>
      <w:r>
        <w:rPr>
          <w:rFonts w:hint="eastAsia" w:ascii="宋体" w:hAnsi="宋体"/>
          <w:color w:val="auto"/>
          <w:szCs w:val="21"/>
          <w:highlight w:val="none"/>
          <w:lang w:eastAsia="zh-CN"/>
        </w:rPr>
        <w:t>公章</w:t>
      </w:r>
      <w:r>
        <w:rPr>
          <w:rFonts w:hint="eastAsia" w:ascii="宋体" w:hAnsi="宋体"/>
          <w:color w:val="auto"/>
          <w:szCs w:val="21"/>
          <w:highlight w:val="none"/>
        </w:rPr>
        <w:t>。</w:t>
      </w:r>
    </w:p>
    <w:p w14:paraId="1BFBC258">
      <w:pPr>
        <w:spacing w:line="360" w:lineRule="auto"/>
        <w:ind w:firstLine="420"/>
        <w:rPr>
          <w:rFonts w:ascii="宋体" w:hAnsi="宋体"/>
          <w:color w:val="auto"/>
          <w:spacing w:val="20"/>
          <w:sz w:val="21"/>
          <w:szCs w:val="16"/>
          <w:highlight w:val="none"/>
          <w:u w:val="single"/>
        </w:rPr>
      </w:pPr>
      <w:r>
        <w:rPr>
          <w:rFonts w:hint="eastAsia" w:ascii="宋体" w:hAnsi="宋体"/>
          <w:color w:val="auto"/>
          <w:sz w:val="21"/>
          <w:szCs w:val="21"/>
          <w:highlight w:val="none"/>
        </w:rPr>
        <w:t>法定代表人或者委托代理人</w:t>
      </w:r>
      <w:r>
        <w:rPr>
          <w:rFonts w:hint="eastAsia" w:ascii="宋体" w:hAnsi="宋体"/>
          <w:color w:val="auto"/>
          <w:spacing w:val="20"/>
          <w:sz w:val="21"/>
          <w:szCs w:val="21"/>
          <w:highlight w:val="none"/>
        </w:rPr>
        <w:t>签字：</w:t>
      </w:r>
      <w:r>
        <w:rPr>
          <w:rFonts w:hint="eastAsia" w:ascii="宋体" w:hAnsi="宋体"/>
          <w:color w:val="auto"/>
          <w:spacing w:val="20"/>
          <w:sz w:val="21"/>
          <w:szCs w:val="21"/>
          <w:highlight w:val="none"/>
          <w:u w:val="single"/>
        </w:rPr>
        <w:t xml:space="preserve">        </w:t>
      </w:r>
    </w:p>
    <w:p w14:paraId="745F0D35">
      <w:pPr>
        <w:spacing w:line="360" w:lineRule="auto"/>
        <w:ind w:firstLine="500"/>
        <w:jc w:val="left"/>
        <w:rPr>
          <w:rFonts w:ascii="宋体" w:hAnsi="宋体"/>
          <w:color w:val="auto"/>
          <w:spacing w:val="20"/>
          <w:sz w:val="21"/>
          <w:szCs w:val="21"/>
          <w:highlight w:val="none"/>
        </w:rPr>
      </w:pPr>
      <w:r>
        <w:rPr>
          <w:rFonts w:hint="eastAsia" w:ascii="宋体" w:hAnsi="宋体"/>
          <w:color w:val="auto"/>
          <w:spacing w:val="20"/>
          <w:sz w:val="21"/>
          <w:szCs w:val="21"/>
          <w:highlight w:val="none"/>
        </w:rPr>
        <w:t>供应商（</w:t>
      </w:r>
      <w:r>
        <w:rPr>
          <w:rFonts w:hint="eastAsia" w:ascii="宋体" w:hAnsi="宋体"/>
          <w:color w:val="auto"/>
          <w:spacing w:val="20"/>
          <w:sz w:val="21"/>
          <w:szCs w:val="21"/>
          <w:highlight w:val="none"/>
          <w:lang w:eastAsia="zh-CN"/>
        </w:rPr>
        <w:t>公章</w:t>
      </w:r>
      <w:r>
        <w:rPr>
          <w:rFonts w:hint="eastAsia" w:ascii="宋体" w:hAnsi="宋体"/>
          <w:color w:val="auto"/>
          <w:spacing w:val="20"/>
          <w:sz w:val="21"/>
          <w:szCs w:val="21"/>
          <w:highlight w:val="none"/>
        </w:rPr>
        <w:t>）：</w:t>
      </w:r>
      <w:r>
        <w:rPr>
          <w:rFonts w:hint="eastAsia" w:ascii="宋体" w:hAnsi="宋体"/>
          <w:color w:val="auto"/>
          <w:spacing w:val="20"/>
          <w:sz w:val="21"/>
          <w:szCs w:val="21"/>
          <w:highlight w:val="none"/>
          <w:u w:val="single"/>
        </w:rPr>
        <w:t xml:space="preserve">            </w:t>
      </w:r>
      <w:r>
        <w:rPr>
          <w:rFonts w:hint="eastAsia" w:ascii="宋体" w:hAnsi="宋体"/>
          <w:color w:val="auto"/>
          <w:spacing w:val="20"/>
          <w:sz w:val="21"/>
          <w:szCs w:val="21"/>
          <w:highlight w:val="none"/>
        </w:rPr>
        <w:t xml:space="preserve">       </w:t>
      </w:r>
    </w:p>
    <w:p w14:paraId="62C8C741">
      <w:pPr>
        <w:spacing w:line="360" w:lineRule="auto"/>
        <w:ind w:firstLine="500"/>
        <w:jc w:val="left"/>
        <w:rPr>
          <w:rFonts w:ascii="宋体" w:hAnsi="宋体"/>
          <w:color w:val="auto"/>
          <w:sz w:val="21"/>
          <w:szCs w:val="16"/>
          <w:highlight w:val="none"/>
        </w:rPr>
      </w:pPr>
      <w:r>
        <w:rPr>
          <w:rFonts w:hint="eastAsia" w:ascii="宋体" w:hAnsi="宋体"/>
          <w:color w:val="auto"/>
          <w:spacing w:val="20"/>
          <w:sz w:val="21"/>
          <w:szCs w:val="21"/>
          <w:highlight w:val="none"/>
        </w:rPr>
        <w:t>日 期：</w:t>
      </w:r>
      <w:r>
        <w:rPr>
          <w:rFonts w:hint="eastAsia" w:ascii="宋体" w:hAnsi="宋体"/>
          <w:color w:val="auto"/>
          <w:spacing w:val="20"/>
          <w:sz w:val="21"/>
          <w:szCs w:val="21"/>
          <w:highlight w:val="none"/>
          <w:u w:val="single"/>
        </w:rPr>
        <w:t xml:space="preserve">         </w:t>
      </w:r>
    </w:p>
    <w:p w14:paraId="66A362C6">
      <w:pPr>
        <w:numPr>
          <w:ilvl w:val="0"/>
          <w:numId w:val="11"/>
        </w:numPr>
        <w:spacing w:before="120" w:after="50"/>
        <w:ind w:left="262" w:leftChars="0" w:firstLine="0" w:firstLineChars="0"/>
        <w:jc w:val="left"/>
        <w:rPr>
          <w:rFonts w:hint="eastAsia" w:ascii="宋体" w:hAnsi="宋体"/>
          <w:b/>
          <w:color w:val="auto"/>
          <w:sz w:val="24"/>
          <w:highlight w:val="none"/>
        </w:rPr>
      </w:pPr>
      <w:r>
        <w:rPr>
          <w:rFonts w:ascii="宋体" w:hAnsi="宋体"/>
          <w:b/>
          <w:bCs/>
          <w:color w:val="auto"/>
          <w:sz w:val="24"/>
          <w:highlight w:val="none"/>
        </w:rPr>
        <w:br w:type="page" w:clear="all"/>
      </w:r>
      <w:r>
        <w:rPr>
          <w:rFonts w:hint="eastAsia" w:ascii="宋体" w:hAnsi="宋体"/>
          <w:b/>
          <w:color w:val="auto"/>
          <w:sz w:val="24"/>
          <w:highlight w:val="none"/>
        </w:rPr>
        <w:t>拟投入本项目的主要机械设备表</w:t>
      </w:r>
    </w:p>
    <w:p w14:paraId="5C44D699">
      <w:pPr>
        <w:numPr>
          <w:ilvl w:val="0"/>
          <w:numId w:val="0"/>
        </w:numPr>
        <w:spacing w:before="120" w:after="50"/>
        <w:ind w:left="262" w:leftChars="0"/>
        <w:jc w:val="left"/>
        <w:rPr>
          <w:rFonts w:hint="eastAsia" w:ascii="宋体" w:hAnsi="宋体"/>
          <w:b/>
          <w:color w:val="auto"/>
          <w:sz w:val="24"/>
          <w:highlight w:val="none"/>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1117"/>
        <w:gridCol w:w="1117"/>
        <w:gridCol w:w="1118"/>
        <w:gridCol w:w="1118"/>
        <w:gridCol w:w="1118"/>
        <w:gridCol w:w="1118"/>
        <w:gridCol w:w="1118"/>
      </w:tblGrid>
      <w:tr w14:paraId="1257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14:paraId="342B345E">
            <w:pPr>
              <w:spacing w:after="0" w:line="240" w:lineRule="auto"/>
              <w:rPr>
                <w:rFonts w:hint="eastAsia" w:ascii="宋体" w:hAnsi="宋体"/>
                <w:b/>
                <w:color w:val="auto"/>
                <w:sz w:val="24"/>
                <w:highlight w:val="none"/>
                <w:vertAlign w:val="baseline"/>
              </w:rPr>
            </w:pPr>
            <w:r>
              <w:rPr>
                <w:rFonts w:hint="eastAsia" w:ascii="宋体" w:hAnsi="宋体" w:cs="宋体"/>
                <w:color w:val="auto"/>
                <w:sz w:val="24"/>
                <w:highlight w:val="none"/>
              </w:rPr>
              <w:t>序号</w:t>
            </w:r>
          </w:p>
        </w:tc>
        <w:tc>
          <w:tcPr>
            <w:tcW w:w="1117" w:type="dxa"/>
            <w:vAlign w:val="center"/>
          </w:tcPr>
          <w:p w14:paraId="05093E00">
            <w:pPr>
              <w:spacing w:after="0" w:line="240" w:lineRule="auto"/>
              <w:rPr>
                <w:rFonts w:hint="eastAsia" w:ascii="宋体" w:hAnsi="宋体"/>
                <w:b/>
                <w:color w:val="auto"/>
                <w:sz w:val="24"/>
                <w:highlight w:val="none"/>
                <w:vertAlign w:val="baseline"/>
              </w:rPr>
            </w:pPr>
            <w:r>
              <w:rPr>
                <w:rFonts w:hint="eastAsia" w:ascii="宋体" w:hAnsi="宋体" w:cs="宋体"/>
                <w:color w:val="auto"/>
                <w:sz w:val="24"/>
                <w:highlight w:val="none"/>
              </w:rPr>
              <w:t>机械或设备名称</w:t>
            </w:r>
          </w:p>
        </w:tc>
        <w:tc>
          <w:tcPr>
            <w:tcW w:w="1117" w:type="dxa"/>
            <w:vAlign w:val="center"/>
          </w:tcPr>
          <w:p w14:paraId="4C5CECE3">
            <w:pPr>
              <w:spacing w:after="0" w:line="240" w:lineRule="auto"/>
              <w:rPr>
                <w:rFonts w:hint="eastAsia" w:ascii="宋体" w:hAnsi="宋体"/>
                <w:b/>
                <w:color w:val="auto"/>
                <w:sz w:val="24"/>
                <w:highlight w:val="none"/>
                <w:vertAlign w:val="baseline"/>
              </w:rPr>
            </w:pPr>
            <w:r>
              <w:rPr>
                <w:rFonts w:hint="eastAsia" w:ascii="宋体" w:hAnsi="宋体" w:cs="宋体"/>
                <w:color w:val="auto"/>
                <w:sz w:val="24"/>
                <w:highlight w:val="none"/>
              </w:rPr>
              <w:t>规格型号</w:t>
            </w:r>
          </w:p>
        </w:tc>
        <w:tc>
          <w:tcPr>
            <w:tcW w:w="1118" w:type="dxa"/>
            <w:vAlign w:val="center"/>
          </w:tcPr>
          <w:p w14:paraId="311772AE">
            <w:pPr>
              <w:spacing w:after="0" w:line="240" w:lineRule="auto"/>
              <w:rPr>
                <w:rFonts w:hint="eastAsia" w:ascii="宋体" w:hAnsi="宋体"/>
                <w:b/>
                <w:color w:val="auto"/>
                <w:sz w:val="24"/>
                <w:highlight w:val="none"/>
                <w:vertAlign w:val="baseline"/>
              </w:rPr>
            </w:pPr>
            <w:r>
              <w:rPr>
                <w:rFonts w:hint="eastAsia" w:ascii="宋体" w:hAnsi="宋体" w:cs="宋体"/>
                <w:color w:val="auto"/>
                <w:sz w:val="24"/>
                <w:highlight w:val="none"/>
              </w:rPr>
              <w:t>数量</w:t>
            </w:r>
          </w:p>
        </w:tc>
        <w:tc>
          <w:tcPr>
            <w:tcW w:w="1118" w:type="dxa"/>
            <w:vAlign w:val="center"/>
          </w:tcPr>
          <w:p w14:paraId="2C11A39E">
            <w:pPr>
              <w:spacing w:after="0" w:line="240" w:lineRule="auto"/>
              <w:rPr>
                <w:rFonts w:hint="eastAsia" w:ascii="宋体" w:hAnsi="宋体"/>
                <w:b/>
                <w:color w:val="auto"/>
                <w:sz w:val="24"/>
                <w:highlight w:val="none"/>
                <w:vertAlign w:val="baseline"/>
              </w:rPr>
            </w:pPr>
            <w:r>
              <w:rPr>
                <w:rFonts w:hint="eastAsia" w:ascii="宋体" w:hAnsi="宋体" w:cs="宋体"/>
                <w:color w:val="auto"/>
                <w:sz w:val="24"/>
                <w:highlight w:val="none"/>
              </w:rPr>
              <w:t>产地</w:t>
            </w:r>
          </w:p>
        </w:tc>
        <w:tc>
          <w:tcPr>
            <w:tcW w:w="1118" w:type="dxa"/>
            <w:vAlign w:val="center"/>
          </w:tcPr>
          <w:p w14:paraId="48343F4B">
            <w:pPr>
              <w:spacing w:after="0" w:line="240" w:lineRule="auto"/>
              <w:rPr>
                <w:rFonts w:hint="eastAsia" w:ascii="宋体" w:hAnsi="宋体"/>
                <w:b/>
                <w:color w:val="auto"/>
                <w:sz w:val="24"/>
                <w:highlight w:val="none"/>
                <w:vertAlign w:val="baseline"/>
              </w:rPr>
            </w:pPr>
            <w:r>
              <w:rPr>
                <w:rFonts w:hint="eastAsia" w:ascii="宋体" w:hAnsi="宋体" w:cs="宋体"/>
                <w:color w:val="auto"/>
                <w:sz w:val="24"/>
                <w:highlight w:val="none"/>
              </w:rPr>
              <w:t>制造年份</w:t>
            </w:r>
          </w:p>
        </w:tc>
        <w:tc>
          <w:tcPr>
            <w:tcW w:w="1118" w:type="dxa"/>
            <w:vAlign w:val="center"/>
          </w:tcPr>
          <w:p w14:paraId="76615E03">
            <w:pPr>
              <w:spacing w:after="0" w:line="240" w:lineRule="auto"/>
              <w:rPr>
                <w:rFonts w:hint="eastAsia" w:ascii="宋体" w:hAnsi="宋体"/>
                <w:b/>
                <w:color w:val="auto"/>
                <w:sz w:val="24"/>
                <w:highlight w:val="none"/>
                <w:vertAlign w:val="baseline"/>
              </w:rPr>
            </w:pPr>
            <w:r>
              <w:rPr>
                <w:rFonts w:hint="eastAsia" w:ascii="宋体" w:hAnsi="宋体" w:cs="宋体"/>
                <w:color w:val="auto"/>
                <w:sz w:val="24"/>
                <w:highlight w:val="none"/>
              </w:rPr>
              <w:t>额定功率(kW)</w:t>
            </w:r>
          </w:p>
        </w:tc>
        <w:tc>
          <w:tcPr>
            <w:tcW w:w="1118" w:type="dxa"/>
            <w:vAlign w:val="center"/>
          </w:tcPr>
          <w:p w14:paraId="698260DA">
            <w:pPr>
              <w:spacing w:after="0" w:line="240" w:lineRule="auto"/>
              <w:rPr>
                <w:rFonts w:hint="eastAsia" w:ascii="宋体" w:hAnsi="宋体"/>
                <w:b/>
                <w:color w:val="auto"/>
                <w:sz w:val="24"/>
                <w:highlight w:val="none"/>
                <w:vertAlign w:val="baseline"/>
              </w:rPr>
            </w:pPr>
            <w:r>
              <w:rPr>
                <w:rFonts w:hint="eastAsia" w:ascii="宋体" w:hAnsi="宋体" w:cs="宋体"/>
                <w:color w:val="auto"/>
                <w:sz w:val="24"/>
                <w:highlight w:val="none"/>
              </w:rPr>
              <w:t>生产能力</w:t>
            </w:r>
          </w:p>
        </w:tc>
      </w:tr>
      <w:tr w14:paraId="36556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tcPr>
          <w:p w14:paraId="558A754D">
            <w:pPr>
              <w:numPr>
                <w:ilvl w:val="0"/>
                <w:numId w:val="0"/>
              </w:numPr>
              <w:spacing w:before="120" w:after="50" w:line="240" w:lineRule="auto"/>
              <w:jc w:val="left"/>
              <w:rPr>
                <w:rFonts w:hint="eastAsia" w:ascii="宋体" w:hAnsi="宋体"/>
                <w:b/>
                <w:color w:val="auto"/>
                <w:sz w:val="24"/>
                <w:highlight w:val="none"/>
                <w:vertAlign w:val="baseline"/>
              </w:rPr>
            </w:pPr>
          </w:p>
        </w:tc>
        <w:tc>
          <w:tcPr>
            <w:tcW w:w="1117" w:type="dxa"/>
          </w:tcPr>
          <w:p w14:paraId="5838D462">
            <w:pPr>
              <w:numPr>
                <w:ilvl w:val="0"/>
                <w:numId w:val="0"/>
              </w:numPr>
              <w:spacing w:before="120" w:after="50" w:line="240" w:lineRule="auto"/>
              <w:jc w:val="left"/>
              <w:rPr>
                <w:rFonts w:hint="eastAsia" w:ascii="宋体" w:hAnsi="宋体"/>
                <w:b/>
                <w:color w:val="auto"/>
                <w:sz w:val="24"/>
                <w:highlight w:val="none"/>
                <w:vertAlign w:val="baseline"/>
              </w:rPr>
            </w:pPr>
          </w:p>
        </w:tc>
        <w:tc>
          <w:tcPr>
            <w:tcW w:w="1117" w:type="dxa"/>
          </w:tcPr>
          <w:p w14:paraId="1DD1C12B">
            <w:pPr>
              <w:numPr>
                <w:ilvl w:val="0"/>
                <w:numId w:val="0"/>
              </w:numPr>
              <w:spacing w:before="120" w:after="50" w:line="240" w:lineRule="auto"/>
              <w:jc w:val="left"/>
              <w:rPr>
                <w:rFonts w:hint="eastAsia" w:ascii="宋体" w:hAnsi="宋体"/>
                <w:b/>
                <w:color w:val="auto"/>
                <w:sz w:val="24"/>
                <w:highlight w:val="none"/>
                <w:vertAlign w:val="baseline"/>
              </w:rPr>
            </w:pPr>
          </w:p>
        </w:tc>
        <w:tc>
          <w:tcPr>
            <w:tcW w:w="1118" w:type="dxa"/>
          </w:tcPr>
          <w:p w14:paraId="5B6BD3FA">
            <w:pPr>
              <w:numPr>
                <w:ilvl w:val="0"/>
                <w:numId w:val="0"/>
              </w:numPr>
              <w:spacing w:before="120" w:after="50" w:line="240" w:lineRule="auto"/>
              <w:jc w:val="left"/>
              <w:rPr>
                <w:rFonts w:hint="eastAsia" w:ascii="宋体" w:hAnsi="宋体"/>
                <w:b/>
                <w:color w:val="auto"/>
                <w:sz w:val="24"/>
                <w:highlight w:val="none"/>
                <w:vertAlign w:val="baseline"/>
              </w:rPr>
            </w:pPr>
          </w:p>
        </w:tc>
        <w:tc>
          <w:tcPr>
            <w:tcW w:w="1118" w:type="dxa"/>
          </w:tcPr>
          <w:p w14:paraId="4C7B053A">
            <w:pPr>
              <w:numPr>
                <w:ilvl w:val="0"/>
                <w:numId w:val="0"/>
              </w:numPr>
              <w:spacing w:before="120" w:after="50" w:line="240" w:lineRule="auto"/>
              <w:jc w:val="left"/>
              <w:rPr>
                <w:rFonts w:hint="eastAsia" w:ascii="宋体" w:hAnsi="宋体"/>
                <w:b/>
                <w:color w:val="auto"/>
                <w:sz w:val="24"/>
                <w:highlight w:val="none"/>
                <w:vertAlign w:val="baseline"/>
              </w:rPr>
            </w:pPr>
          </w:p>
        </w:tc>
        <w:tc>
          <w:tcPr>
            <w:tcW w:w="1118" w:type="dxa"/>
          </w:tcPr>
          <w:p w14:paraId="03D6BEFD">
            <w:pPr>
              <w:numPr>
                <w:ilvl w:val="0"/>
                <w:numId w:val="0"/>
              </w:numPr>
              <w:spacing w:before="120" w:after="50" w:line="240" w:lineRule="auto"/>
              <w:jc w:val="left"/>
              <w:rPr>
                <w:rFonts w:hint="eastAsia" w:ascii="宋体" w:hAnsi="宋体"/>
                <w:b/>
                <w:color w:val="auto"/>
                <w:sz w:val="24"/>
                <w:highlight w:val="none"/>
                <w:vertAlign w:val="baseline"/>
              </w:rPr>
            </w:pPr>
          </w:p>
        </w:tc>
        <w:tc>
          <w:tcPr>
            <w:tcW w:w="1118" w:type="dxa"/>
          </w:tcPr>
          <w:p w14:paraId="05C43649">
            <w:pPr>
              <w:numPr>
                <w:ilvl w:val="0"/>
                <w:numId w:val="0"/>
              </w:numPr>
              <w:spacing w:before="120" w:after="50" w:line="240" w:lineRule="auto"/>
              <w:jc w:val="left"/>
              <w:rPr>
                <w:rFonts w:hint="eastAsia" w:ascii="宋体" w:hAnsi="宋体"/>
                <w:b/>
                <w:color w:val="auto"/>
                <w:sz w:val="24"/>
                <w:highlight w:val="none"/>
                <w:vertAlign w:val="baseline"/>
              </w:rPr>
            </w:pPr>
          </w:p>
        </w:tc>
        <w:tc>
          <w:tcPr>
            <w:tcW w:w="1118" w:type="dxa"/>
          </w:tcPr>
          <w:p w14:paraId="1E177AB3">
            <w:pPr>
              <w:numPr>
                <w:ilvl w:val="0"/>
                <w:numId w:val="0"/>
              </w:numPr>
              <w:spacing w:before="120" w:after="50" w:line="240" w:lineRule="auto"/>
              <w:jc w:val="left"/>
              <w:rPr>
                <w:rFonts w:hint="eastAsia" w:ascii="宋体" w:hAnsi="宋体"/>
                <w:b/>
                <w:color w:val="auto"/>
                <w:sz w:val="24"/>
                <w:highlight w:val="none"/>
                <w:vertAlign w:val="baseline"/>
              </w:rPr>
            </w:pPr>
          </w:p>
        </w:tc>
      </w:tr>
      <w:tr w14:paraId="0C298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tcPr>
          <w:p w14:paraId="6DF50FBE">
            <w:pPr>
              <w:numPr>
                <w:ilvl w:val="0"/>
                <w:numId w:val="0"/>
              </w:numPr>
              <w:spacing w:before="120" w:after="50" w:line="240" w:lineRule="auto"/>
              <w:jc w:val="left"/>
              <w:rPr>
                <w:rFonts w:hint="eastAsia" w:ascii="宋体" w:hAnsi="宋体"/>
                <w:b/>
                <w:color w:val="auto"/>
                <w:sz w:val="24"/>
                <w:highlight w:val="none"/>
                <w:vertAlign w:val="baseline"/>
              </w:rPr>
            </w:pPr>
          </w:p>
        </w:tc>
        <w:tc>
          <w:tcPr>
            <w:tcW w:w="1117" w:type="dxa"/>
          </w:tcPr>
          <w:p w14:paraId="775DAA52">
            <w:pPr>
              <w:numPr>
                <w:ilvl w:val="0"/>
                <w:numId w:val="0"/>
              </w:numPr>
              <w:spacing w:before="120" w:after="50" w:line="240" w:lineRule="auto"/>
              <w:jc w:val="left"/>
              <w:rPr>
                <w:rFonts w:hint="eastAsia" w:ascii="宋体" w:hAnsi="宋体"/>
                <w:b/>
                <w:color w:val="auto"/>
                <w:sz w:val="24"/>
                <w:highlight w:val="none"/>
                <w:vertAlign w:val="baseline"/>
              </w:rPr>
            </w:pPr>
          </w:p>
        </w:tc>
        <w:tc>
          <w:tcPr>
            <w:tcW w:w="1117" w:type="dxa"/>
          </w:tcPr>
          <w:p w14:paraId="0E2CF382">
            <w:pPr>
              <w:numPr>
                <w:ilvl w:val="0"/>
                <w:numId w:val="0"/>
              </w:numPr>
              <w:spacing w:before="120" w:after="50" w:line="240" w:lineRule="auto"/>
              <w:jc w:val="left"/>
              <w:rPr>
                <w:rFonts w:hint="eastAsia" w:ascii="宋体" w:hAnsi="宋体"/>
                <w:b/>
                <w:color w:val="auto"/>
                <w:sz w:val="24"/>
                <w:highlight w:val="none"/>
                <w:vertAlign w:val="baseline"/>
              </w:rPr>
            </w:pPr>
          </w:p>
        </w:tc>
        <w:tc>
          <w:tcPr>
            <w:tcW w:w="1118" w:type="dxa"/>
          </w:tcPr>
          <w:p w14:paraId="45FEF239">
            <w:pPr>
              <w:numPr>
                <w:ilvl w:val="0"/>
                <w:numId w:val="0"/>
              </w:numPr>
              <w:spacing w:before="120" w:after="50" w:line="240" w:lineRule="auto"/>
              <w:jc w:val="left"/>
              <w:rPr>
                <w:rFonts w:hint="eastAsia" w:ascii="宋体" w:hAnsi="宋体"/>
                <w:b/>
                <w:color w:val="auto"/>
                <w:sz w:val="24"/>
                <w:highlight w:val="none"/>
                <w:vertAlign w:val="baseline"/>
              </w:rPr>
            </w:pPr>
          </w:p>
        </w:tc>
        <w:tc>
          <w:tcPr>
            <w:tcW w:w="1118" w:type="dxa"/>
          </w:tcPr>
          <w:p w14:paraId="51D1A15D">
            <w:pPr>
              <w:numPr>
                <w:ilvl w:val="0"/>
                <w:numId w:val="0"/>
              </w:numPr>
              <w:spacing w:before="120" w:after="50" w:line="240" w:lineRule="auto"/>
              <w:jc w:val="left"/>
              <w:rPr>
                <w:rFonts w:hint="eastAsia" w:ascii="宋体" w:hAnsi="宋体"/>
                <w:b/>
                <w:color w:val="auto"/>
                <w:sz w:val="24"/>
                <w:highlight w:val="none"/>
                <w:vertAlign w:val="baseline"/>
              </w:rPr>
            </w:pPr>
          </w:p>
        </w:tc>
        <w:tc>
          <w:tcPr>
            <w:tcW w:w="1118" w:type="dxa"/>
          </w:tcPr>
          <w:p w14:paraId="5FDAEA2B">
            <w:pPr>
              <w:numPr>
                <w:ilvl w:val="0"/>
                <w:numId w:val="0"/>
              </w:numPr>
              <w:spacing w:before="120" w:after="50" w:line="240" w:lineRule="auto"/>
              <w:jc w:val="left"/>
              <w:rPr>
                <w:rFonts w:hint="eastAsia" w:ascii="宋体" w:hAnsi="宋体"/>
                <w:b/>
                <w:color w:val="auto"/>
                <w:sz w:val="24"/>
                <w:highlight w:val="none"/>
                <w:vertAlign w:val="baseline"/>
              </w:rPr>
            </w:pPr>
          </w:p>
        </w:tc>
        <w:tc>
          <w:tcPr>
            <w:tcW w:w="1118" w:type="dxa"/>
          </w:tcPr>
          <w:p w14:paraId="133950F5">
            <w:pPr>
              <w:numPr>
                <w:ilvl w:val="0"/>
                <w:numId w:val="0"/>
              </w:numPr>
              <w:spacing w:before="120" w:after="50" w:line="240" w:lineRule="auto"/>
              <w:jc w:val="left"/>
              <w:rPr>
                <w:rFonts w:hint="eastAsia" w:ascii="宋体" w:hAnsi="宋体"/>
                <w:b/>
                <w:color w:val="auto"/>
                <w:sz w:val="24"/>
                <w:highlight w:val="none"/>
                <w:vertAlign w:val="baseline"/>
              </w:rPr>
            </w:pPr>
          </w:p>
        </w:tc>
        <w:tc>
          <w:tcPr>
            <w:tcW w:w="1118" w:type="dxa"/>
          </w:tcPr>
          <w:p w14:paraId="77D673E1">
            <w:pPr>
              <w:numPr>
                <w:ilvl w:val="0"/>
                <w:numId w:val="0"/>
              </w:numPr>
              <w:spacing w:before="120" w:after="50" w:line="240" w:lineRule="auto"/>
              <w:jc w:val="left"/>
              <w:rPr>
                <w:rFonts w:hint="eastAsia" w:ascii="宋体" w:hAnsi="宋体"/>
                <w:b/>
                <w:color w:val="auto"/>
                <w:sz w:val="24"/>
                <w:highlight w:val="none"/>
                <w:vertAlign w:val="baseline"/>
              </w:rPr>
            </w:pPr>
          </w:p>
        </w:tc>
      </w:tr>
      <w:tr w14:paraId="5536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tcPr>
          <w:p w14:paraId="4DF20E41">
            <w:pPr>
              <w:numPr>
                <w:ilvl w:val="0"/>
                <w:numId w:val="0"/>
              </w:numPr>
              <w:spacing w:before="120" w:after="50" w:line="240" w:lineRule="auto"/>
              <w:jc w:val="left"/>
              <w:rPr>
                <w:rFonts w:hint="eastAsia" w:ascii="宋体" w:hAnsi="宋体"/>
                <w:b/>
                <w:color w:val="auto"/>
                <w:sz w:val="24"/>
                <w:highlight w:val="none"/>
                <w:vertAlign w:val="baseline"/>
              </w:rPr>
            </w:pPr>
          </w:p>
        </w:tc>
        <w:tc>
          <w:tcPr>
            <w:tcW w:w="1117" w:type="dxa"/>
          </w:tcPr>
          <w:p w14:paraId="7A224F55">
            <w:pPr>
              <w:numPr>
                <w:ilvl w:val="0"/>
                <w:numId w:val="0"/>
              </w:numPr>
              <w:spacing w:before="120" w:after="50" w:line="240" w:lineRule="auto"/>
              <w:jc w:val="left"/>
              <w:rPr>
                <w:rFonts w:hint="eastAsia" w:ascii="宋体" w:hAnsi="宋体"/>
                <w:b/>
                <w:color w:val="auto"/>
                <w:sz w:val="24"/>
                <w:highlight w:val="none"/>
                <w:vertAlign w:val="baseline"/>
              </w:rPr>
            </w:pPr>
          </w:p>
        </w:tc>
        <w:tc>
          <w:tcPr>
            <w:tcW w:w="1117" w:type="dxa"/>
          </w:tcPr>
          <w:p w14:paraId="0920E387">
            <w:pPr>
              <w:numPr>
                <w:ilvl w:val="0"/>
                <w:numId w:val="0"/>
              </w:numPr>
              <w:spacing w:before="120" w:after="50" w:line="240" w:lineRule="auto"/>
              <w:jc w:val="left"/>
              <w:rPr>
                <w:rFonts w:hint="eastAsia" w:ascii="宋体" w:hAnsi="宋体"/>
                <w:b/>
                <w:color w:val="auto"/>
                <w:sz w:val="24"/>
                <w:highlight w:val="none"/>
                <w:vertAlign w:val="baseline"/>
              </w:rPr>
            </w:pPr>
          </w:p>
        </w:tc>
        <w:tc>
          <w:tcPr>
            <w:tcW w:w="1118" w:type="dxa"/>
          </w:tcPr>
          <w:p w14:paraId="138920FC">
            <w:pPr>
              <w:numPr>
                <w:ilvl w:val="0"/>
                <w:numId w:val="0"/>
              </w:numPr>
              <w:spacing w:before="120" w:after="50" w:line="240" w:lineRule="auto"/>
              <w:jc w:val="left"/>
              <w:rPr>
                <w:rFonts w:hint="eastAsia" w:ascii="宋体" w:hAnsi="宋体"/>
                <w:b/>
                <w:color w:val="auto"/>
                <w:sz w:val="24"/>
                <w:highlight w:val="none"/>
                <w:vertAlign w:val="baseline"/>
              </w:rPr>
            </w:pPr>
          </w:p>
        </w:tc>
        <w:tc>
          <w:tcPr>
            <w:tcW w:w="1118" w:type="dxa"/>
          </w:tcPr>
          <w:p w14:paraId="7AD7434A">
            <w:pPr>
              <w:numPr>
                <w:ilvl w:val="0"/>
                <w:numId w:val="0"/>
              </w:numPr>
              <w:spacing w:before="120" w:after="50" w:line="240" w:lineRule="auto"/>
              <w:jc w:val="left"/>
              <w:rPr>
                <w:rFonts w:hint="eastAsia" w:ascii="宋体" w:hAnsi="宋体"/>
                <w:b/>
                <w:color w:val="auto"/>
                <w:sz w:val="24"/>
                <w:highlight w:val="none"/>
                <w:vertAlign w:val="baseline"/>
              </w:rPr>
            </w:pPr>
          </w:p>
        </w:tc>
        <w:tc>
          <w:tcPr>
            <w:tcW w:w="1118" w:type="dxa"/>
          </w:tcPr>
          <w:p w14:paraId="420C56CE">
            <w:pPr>
              <w:numPr>
                <w:ilvl w:val="0"/>
                <w:numId w:val="0"/>
              </w:numPr>
              <w:spacing w:before="120" w:after="50" w:line="240" w:lineRule="auto"/>
              <w:jc w:val="left"/>
              <w:rPr>
                <w:rFonts w:hint="eastAsia" w:ascii="宋体" w:hAnsi="宋体"/>
                <w:b/>
                <w:color w:val="auto"/>
                <w:sz w:val="24"/>
                <w:highlight w:val="none"/>
                <w:vertAlign w:val="baseline"/>
              </w:rPr>
            </w:pPr>
          </w:p>
        </w:tc>
        <w:tc>
          <w:tcPr>
            <w:tcW w:w="1118" w:type="dxa"/>
          </w:tcPr>
          <w:p w14:paraId="03F6D168">
            <w:pPr>
              <w:numPr>
                <w:ilvl w:val="0"/>
                <w:numId w:val="0"/>
              </w:numPr>
              <w:spacing w:before="120" w:after="50" w:line="240" w:lineRule="auto"/>
              <w:jc w:val="left"/>
              <w:rPr>
                <w:rFonts w:hint="eastAsia" w:ascii="宋体" w:hAnsi="宋体"/>
                <w:b/>
                <w:color w:val="auto"/>
                <w:sz w:val="24"/>
                <w:highlight w:val="none"/>
                <w:vertAlign w:val="baseline"/>
              </w:rPr>
            </w:pPr>
          </w:p>
        </w:tc>
        <w:tc>
          <w:tcPr>
            <w:tcW w:w="1118" w:type="dxa"/>
          </w:tcPr>
          <w:p w14:paraId="666DB2EA">
            <w:pPr>
              <w:numPr>
                <w:ilvl w:val="0"/>
                <w:numId w:val="0"/>
              </w:numPr>
              <w:spacing w:before="120" w:after="50" w:line="240" w:lineRule="auto"/>
              <w:jc w:val="left"/>
              <w:rPr>
                <w:rFonts w:hint="eastAsia" w:ascii="宋体" w:hAnsi="宋体"/>
                <w:b/>
                <w:color w:val="auto"/>
                <w:sz w:val="24"/>
                <w:highlight w:val="none"/>
                <w:vertAlign w:val="baseline"/>
              </w:rPr>
            </w:pPr>
          </w:p>
        </w:tc>
      </w:tr>
      <w:tr w14:paraId="33CE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tcPr>
          <w:p w14:paraId="3DA67C85">
            <w:pPr>
              <w:numPr>
                <w:ilvl w:val="0"/>
                <w:numId w:val="0"/>
              </w:numPr>
              <w:spacing w:before="120" w:after="50" w:line="240" w:lineRule="auto"/>
              <w:jc w:val="left"/>
              <w:rPr>
                <w:rFonts w:hint="eastAsia" w:ascii="宋体" w:hAnsi="宋体"/>
                <w:b/>
                <w:color w:val="auto"/>
                <w:sz w:val="24"/>
                <w:highlight w:val="none"/>
                <w:vertAlign w:val="baseline"/>
              </w:rPr>
            </w:pPr>
          </w:p>
        </w:tc>
        <w:tc>
          <w:tcPr>
            <w:tcW w:w="1117" w:type="dxa"/>
          </w:tcPr>
          <w:p w14:paraId="2875C8AB">
            <w:pPr>
              <w:numPr>
                <w:ilvl w:val="0"/>
                <w:numId w:val="0"/>
              </w:numPr>
              <w:spacing w:before="120" w:after="50" w:line="240" w:lineRule="auto"/>
              <w:jc w:val="left"/>
              <w:rPr>
                <w:rFonts w:hint="eastAsia" w:ascii="宋体" w:hAnsi="宋体"/>
                <w:b/>
                <w:color w:val="auto"/>
                <w:sz w:val="24"/>
                <w:highlight w:val="none"/>
                <w:vertAlign w:val="baseline"/>
              </w:rPr>
            </w:pPr>
          </w:p>
        </w:tc>
        <w:tc>
          <w:tcPr>
            <w:tcW w:w="1117" w:type="dxa"/>
          </w:tcPr>
          <w:p w14:paraId="0B7D1E63">
            <w:pPr>
              <w:numPr>
                <w:ilvl w:val="0"/>
                <w:numId w:val="0"/>
              </w:numPr>
              <w:spacing w:before="120" w:after="50" w:line="240" w:lineRule="auto"/>
              <w:jc w:val="left"/>
              <w:rPr>
                <w:rFonts w:hint="eastAsia" w:ascii="宋体" w:hAnsi="宋体"/>
                <w:b/>
                <w:color w:val="auto"/>
                <w:sz w:val="24"/>
                <w:highlight w:val="none"/>
                <w:vertAlign w:val="baseline"/>
              </w:rPr>
            </w:pPr>
          </w:p>
        </w:tc>
        <w:tc>
          <w:tcPr>
            <w:tcW w:w="1118" w:type="dxa"/>
          </w:tcPr>
          <w:p w14:paraId="539D0A4A">
            <w:pPr>
              <w:numPr>
                <w:ilvl w:val="0"/>
                <w:numId w:val="0"/>
              </w:numPr>
              <w:spacing w:before="120" w:after="50" w:line="240" w:lineRule="auto"/>
              <w:jc w:val="left"/>
              <w:rPr>
                <w:rFonts w:hint="eastAsia" w:ascii="宋体" w:hAnsi="宋体"/>
                <w:b/>
                <w:color w:val="auto"/>
                <w:sz w:val="24"/>
                <w:highlight w:val="none"/>
                <w:vertAlign w:val="baseline"/>
              </w:rPr>
            </w:pPr>
          </w:p>
        </w:tc>
        <w:tc>
          <w:tcPr>
            <w:tcW w:w="1118" w:type="dxa"/>
          </w:tcPr>
          <w:p w14:paraId="36B65E41">
            <w:pPr>
              <w:numPr>
                <w:ilvl w:val="0"/>
                <w:numId w:val="0"/>
              </w:numPr>
              <w:spacing w:before="120" w:after="50" w:line="240" w:lineRule="auto"/>
              <w:jc w:val="left"/>
              <w:rPr>
                <w:rFonts w:hint="eastAsia" w:ascii="宋体" w:hAnsi="宋体"/>
                <w:b/>
                <w:color w:val="auto"/>
                <w:sz w:val="24"/>
                <w:highlight w:val="none"/>
                <w:vertAlign w:val="baseline"/>
              </w:rPr>
            </w:pPr>
          </w:p>
        </w:tc>
        <w:tc>
          <w:tcPr>
            <w:tcW w:w="1118" w:type="dxa"/>
          </w:tcPr>
          <w:p w14:paraId="14DCA4D4">
            <w:pPr>
              <w:numPr>
                <w:ilvl w:val="0"/>
                <w:numId w:val="0"/>
              </w:numPr>
              <w:spacing w:before="120" w:after="50" w:line="240" w:lineRule="auto"/>
              <w:jc w:val="left"/>
              <w:rPr>
                <w:rFonts w:hint="eastAsia" w:ascii="宋体" w:hAnsi="宋体"/>
                <w:b/>
                <w:color w:val="auto"/>
                <w:sz w:val="24"/>
                <w:highlight w:val="none"/>
                <w:vertAlign w:val="baseline"/>
              </w:rPr>
            </w:pPr>
          </w:p>
        </w:tc>
        <w:tc>
          <w:tcPr>
            <w:tcW w:w="1118" w:type="dxa"/>
          </w:tcPr>
          <w:p w14:paraId="14FD56C3">
            <w:pPr>
              <w:numPr>
                <w:ilvl w:val="0"/>
                <w:numId w:val="0"/>
              </w:numPr>
              <w:spacing w:before="120" w:after="50" w:line="240" w:lineRule="auto"/>
              <w:jc w:val="left"/>
              <w:rPr>
                <w:rFonts w:hint="eastAsia" w:ascii="宋体" w:hAnsi="宋体"/>
                <w:b/>
                <w:color w:val="auto"/>
                <w:sz w:val="24"/>
                <w:highlight w:val="none"/>
                <w:vertAlign w:val="baseline"/>
              </w:rPr>
            </w:pPr>
          </w:p>
        </w:tc>
        <w:tc>
          <w:tcPr>
            <w:tcW w:w="1118" w:type="dxa"/>
          </w:tcPr>
          <w:p w14:paraId="75C7BE5C">
            <w:pPr>
              <w:numPr>
                <w:ilvl w:val="0"/>
                <w:numId w:val="0"/>
              </w:numPr>
              <w:spacing w:before="120" w:after="50" w:line="240" w:lineRule="auto"/>
              <w:jc w:val="left"/>
              <w:rPr>
                <w:rFonts w:hint="eastAsia" w:ascii="宋体" w:hAnsi="宋体"/>
                <w:b/>
                <w:color w:val="auto"/>
                <w:sz w:val="24"/>
                <w:highlight w:val="none"/>
                <w:vertAlign w:val="baseline"/>
              </w:rPr>
            </w:pPr>
          </w:p>
        </w:tc>
      </w:tr>
    </w:tbl>
    <w:p w14:paraId="5023C0E5">
      <w:pPr>
        <w:spacing w:line="360" w:lineRule="auto"/>
        <w:contextualSpacing/>
        <w:rPr>
          <w:rFonts w:hint="eastAsia" w:ascii="宋体" w:hAnsi="宋体"/>
          <w:color w:val="auto"/>
          <w:sz w:val="24"/>
          <w:highlight w:val="none"/>
        </w:rPr>
      </w:pPr>
    </w:p>
    <w:p w14:paraId="4012DA5D">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4871DA9A">
      <w:pPr>
        <w:spacing w:line="360" w:lineRule="auto"/>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520CA1DA">
      <w:pPr>
        <w:rPr>
          <w:rFonts w:ascii="宋体" w:hAnsi="宋体"/>
          <w:b/>
          <w:bCs/>
          <w:color w:val="auto"/>
          <w:sz w:val="24"/>
          <w:highlight w:val="none"/>
        </w:rPr>
      </w:pPr>
    </w:p>
    <w:p w14:paraId="22C0BB39">
      <w:pPr>
        <w:rPr>
          <w:rFonts w:hint="eastAsia"/>
          <w:b/>
          <w:color w:val="auto"/>
          <w:sz w:val="28"/>
          <w:szCs w:val="28"/>
          <w:highlight w:val="none"/>
        </w:rPr>
      </w:pPr>
    </w:p>
    <w:p w14:paraId="3E8C4FE4">
      <w:pPr>
        <w:rPr>
          <w:rFonts w:hint="eastAsia"/>
          <w:b/>
          <w:color w:val="auto"/>
          <w:sz w:val="28"/>
          <w:szCs w:val="28"/>
          <w:highlight w:val="none"/>
        </w:rPr>
      </w:pPr>
    </w:p>
    <w:p w14:paraId="60368F1A">
      <w:pPr>
        <w:rPr>
          <w:rFonts w:hint="eastAsia"/>
          <w:b/>
          <w:color w:val="auto"/>
          <w:sz w:val="28"/>
          <w:szCs w:val="28"/>
          <w:highlight w:val="none"/>
        </w:rPr>
      </w:pPr>
    </w:p>
    <w:p w14:paraId="316C5326">
      <w:pPr>
        <w:rPr>
          <w:rFonts w:hint="eastAsia"/>
          <w:b/>
          <w:color w:val="auto"/>
          <w:sz w:val="28"/>
          <w:szCs w:val="28"/>
          <w:highlight w:val="none"/>
        </w:rPr>
      </w:pPr>
    </w:p>
    <w:p w14:paraId="430E4374">
      <w:pPr>
        <w:rPr>
          <w:rFonts w:hint="eastAsia"/>
          <w:b/>
          <w:color w:val="auto"/>
          <w:sz w:val="28"/>
          <w:szCs w:val="28"/>
          <w:highlight w:val="none"/>
        </w:rPr>
      </w:pPr>
    </w:p>
    <w:p w14:paraId="69464EE5">
      <w:pPr>
        <w:rPr>
          <w:rFonts w:hint="eastAsia"/>
          <w:b/>
          <w:color w:val="auto"/>
          <w:sz w:val="28"/>
          <w:szCs w:val="28"/>
          <w:highlight w:val="none"/>
        </w:rPr>
      </w:pPr>
    </w:p>
    <w:p w14:paraId="6078A7F7">
      <w:pPr>
        <w:rPr>
          <w:rFonts w:hint="eastAsia"/>
          <w:b/>
          <w:color w:val="auto"/>
          <w:sz w:val="28"/>
          <w:szCs w:val="28"/>
          <w:highlight w:val="none"/>
        </w:rPr>
      </w:pPr>
    </w:p>
    <w:p w14:paraId="04C8B701">
      <w:pPr>
        <w:rPr>
          <w:rFonts w:hint="eastAsia"/>
          <w:b/>
          <w:color w:val="auto"/>
          <w:sz w:val="28"/>
          <w:szCs w:val="28"/>
          <w:highlight w:val="none"/>
        </w:rPr>
      </w:pPr>
    </w:p>
    <w:p w14:paraId="29DDBF3F">
      <w:pPr>
        <w:rPr>
          <w:rFonts w:hint="eastAsia"/>
          <w:b/>
          <w:color w:val="auto"/>
          <w:sz w:val="28"/>
          <w:szCs w:val="28"/>
          <w:highlight w:val="none"/>
        </w:rPr>
      </w:pPr>
    </w:p>
    <w:p w14:paraId="75FD612F">
      <w:pPr>
        <w:rPr>
          <w:rFonts w:hint="eastAsia"/>
          <w:b/>
          <w:color w:val="auto"/>
          <w:sz w:val="28"/>
          <w:szCs w:val="28"/>
          <w:highlight w:val="none"/>
        </w:rPr>
      </w:pPr>
    </w:p>
    <w:p w14:paraId="3FCE9FFC">
      <w:pPr>
        <w:rPr>
          <w:rFonts w:hint="eastAsia"/>
          <w:b/>
          <w:color w:val="auto"/>
          <w:sz w:val="28"/>
          <w:szCs w:val="28"/>
          <w:highlight w:val="none"/>
        </w:rPr>
      </w:pPr>
    </w:p>
    <w:p w14:paraId="0ADB5E58">
      <w:pPr>
        <w:rPr>
          <w:rFonts w:hint="eastAsia"/>
          <w:b/>
          <w:color w:val="auto"/>
          <w:sz w:val="28"/>
          <w:szCs w:val="28"/>
          <w:highlight w:val="none"/>
        </w:rPr>
      </w:pPr>
    </w:p>
    <w:p w14:paraId="2A115E45">
      <w:pPr>
        <w:rPr>
          <w:rFonts w:hint="eastAsia"/>
          <w:b/>
          <w:color w:val="auto"/>
          <w:sz w:val="28"/>
          <w:szCs w:val="28"/>
          <w:highlight w:val="none"/>
        </w:rPr>
      </w:pPr>
    </w:p>
    <w:p w14:paraId="721DC282">
      <w:pPr>
        <w:rPr>
          <w:rFonts w:hint="eastAsia"/>
          <w:b/>
          <w:color w:val="auto"/>
          <w:sz w:val="28"/>
          <w:szCs w:val="28"/>
          <w:highlight w:val="none"/>
        </w:rPr>
      </w:pPr>
    </w:p>
    <w:p w14:paraId="3414E8F6">
      <w:pPr>
        <w:rPr>
          <w:rFonts w:hint="eastAsia"/>
          <w:b/>
          <w:color w:val="auto"/>
          <w:sz w:val="28"/>
          <w:szCs w:val="28"/>
          <w:highlight w:val="none"/>
        </w:rPr>
      </w:pPr>
    </w:p>
    <w:p w14:paraId="2D8E922D">
      <w:pPr>
        <w:rPr>
          <w:rFonts w:hint="eastAsia"/>
          <w:b/>
          <w:color w:val="auto"/>
          <w:sz w:val="28"/>
          <w:szCs w:val="28"/>
          <w:highlight w:val="none"/>
        </w:rPr>
      </w:pPr>
    </w:p>
    <w:p w14:paraId="6584001D">
      <w:pPr>
        <w:rPr>
          <w:rFonts w:hint="eastAsia"/>
          <w:b/>
          <w:color w:val="auto"/>
          <w:sz w:val="28"/>
          <w:szCs w:val="28"/>
          <w:highlight w:val="none"/>
        </w:rPr>
      </w:pPr>
    </w:p>
    <w:p w14:paraId="1F3AB31A">
      <w:pPr>
        <w:rPr>
          <w:rFonts w:hint="eastAsia"/>
          <w:b/>
          <w:color w:val="auto"/>
          <w:sz w:val="28"/>
          <w:szCs w:val="28"/>
          <w:highlight w:val="none"/>
        </w:rPr>
      </w:pPr>
    </w:p>
    <w:p w14:paraId="31B7528D">
      <w:pPr>
        <w:rPr>
          <w:rFonts w:hint="eastAsia"/>
          <w:b/>
          <w:color w:val="auto"/>
          <w:sz w:val="28"/>
          <w:szCs w:val="28"/>
          <w:highlight w:val="none"/>
        </w:rPr>
      </w:pPr>
    </w:p>
    <w:p w14:paraId="16404F56">
      <w:pPr>
        <w:rPr>
          <w:rFonts w:hint="eastAsia"/>
          <w:b/>
          <w:color w:val="auto"/>
          <w:sz w:val="28"/>
          <w:szCs w:val="28"/>
          <w:highlight w:val="none"/>
        </w:rPr>
      </w:pPr>
    </w:p>
    <w:p w14:paraId="1EDDC687">
      <w:pPr>
        <w:rPr>
          <w:rFonts w:hint="eastAsia"/>
          <w:b/>
          <w:color w:val="auto"/>
          <w:sz w:val="28"/>
          <w:szCs w:val="28"/>
          <w:highlight w:val="none"/>
        </w:rPr>
      </w:pPr>
    </w:p>
    <w:p w14:paraId="2849CE45">
      <w:pPr>
        <w:rPr>
          <w:rFonts w:hint="eastAsia"/>
          <w:b/>
          <w:color w:val="auto"/>
          <w:sz w:val="28"/>
          <w:szCs w:val="28"/>
          <w:highlight w:val="none"/>
        </w:rPr>
      </w:pPr>
    </w:p>
    <w:p w14:paraId="7F065592">
      <w:pPr>
        <w:rPr>
          <w:rFonts w:hint="eastAsia"/>
          <w:b/>
          <w:color w:val="auto"/>
          <w:sz w:val="28"/>
          <w:szCs w:val="28"/>
          <w:highlight w:val="none"/>
        </w:rPr>
      </w:pPr>
    </w:p>
    <w:p w14:paraId="1C9B8B50">
      <w:pPr>
        <w:rPr>
          <w:rFonts w:hint="eastAsia"/>
          <w:b/>
          <w:color w:val="auto"/>
          <w:sz w:val="28"/>
          <w:szCs w:val="28"/>
          <w:highlight w:val="none"/>
        </w:rPr>
      </w:pPr>
    </w:p>
    <w:p w14:paraId="3DA0CE5E">
      <w:pPr>
        <w:rPr>
          <w:rFonts w:hint="eastAsia"/>
          <w:b/>
          <w:color w:val="auto"/>
          <w:sz w:val="28"/>
          <w:szCs w:val="28"/>
          <w:highlight w:val="none"/>
        </w:rPr>
      </w:pPr>
    </w:p>
    <w:p w14:paraId="76733B6E">
      <w:pPr>
        <w:rPr>
          <w:rFonts w:hint="eastAsia"/>
          <w:b/>
          <w:color w:val="auto"/>
          <w:sz w:val="28"/>
          <w:szCs w:val="28"/>
          <w:highlight w:val="none"/>
        </w:rPr>
      </w:pPr>
    </w:p>
    <w:p w14:paraId="1C2811B8">
      <w:pPr>
        <w:rPr>
          <w:rFonts w:hint="eastAsia"/>
          <w:b/>
          <w:color w:val="auto"/>
          <w:sz w:val="28"/>
          <w:szCs w:val="28"/>
          <w:highlight w:val="none"/>
        </w:rPr>
      </w:pPr>
      <w:r>
        <w:rPr>
          <w:rFonts w:hint="eastAsia"/>
          <w:b/>
          <w:color w:val="auto"/>
          <w:sz w:val="28"/>
          <w:szCs w:val="28"/>
          <w:highlight w:val="none"/>
        </w:rPr>
        <w:t>四、其他文书、文件格式</w:t>
      </w:r>
    </w:p>
    <w:p w14:paraId="3E357030">
      <w:pPr>
        <w:rPr>
          <w:rFonts w:hint="eastAsia" w:ascii="宋体" w:hAnsi="宋体" w:cs="宋体"/>
          <w:b/>
          <w:color w:val="auto"/>
          <w:sz w:val="24"/>
          <w:highlight w:val="none"/>
        </w:rPr>
      </w:pPr>
      <w:r>
        <w:rPr>
          <w:rFonts w:hint="eastAsia" w:ascii="宋体" w:hAnsi="宋体" w:cs="宋体"/>
          <w:b/>
          <w:color w:val="auto"/>
          <w:sz w:val="24"/>
          <w:highlight w:val="none"/>
        </w:rPr>
        <w:t>1. 中小企业声明函</w:t>
      </w:r>
    </w:p>
    <w:p w14:paraId="7FF94099">
      <w:pPr>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中小企业声明函（服务）</w:t>
      </w:r>
    </w:p>
    <w:p w14:paraId="7A037C76">
      <w:pPr>
        <w:spacing w:before="2" w:line="500" w:lineRule="exact"/>
        <w:rPr>
          <w:rFonts w:ascii="宋体" w:hAnsi="宋体" w:cs="宋体"/>
          <w:b/>
          <w:bCs/>
          <w:color w:val="auto"/>
          <w:sz w:val="24"/>
          <w:highlight w:val="none"/>
        </w:rPr>
      </w:pPr>
    </w:p>
    <w:p w14:paraId="71906139">
      <w:pPr>
        <w:pStyle w:val="222"/>
        <w:spacing w:line="500" w:lineRule="exact"/>
        <w:ind w:right="142" w:firstLine="480"/>
        <w:rPr>
          <w:rFonts w:ascii="宋体" w:hAnsi="宋体"/>
          <w:color w:val="auto"/>
          <w:highlight w:val="none"/>
        </w:rPr>
      </w:pPr>
      <w:r>
        <w:rPr>
          <w:rFonts w:ascii="宋体" w:hAnsi="宋体"/>
          <w:color w:val="auto"/>
          <w:highlight w:val="none"/>
        </w:rPr>
        <w:t>本公司（联合体）郑重声明，根据《政府采购促进中小企业发展管理办法》（财库﹝2020﹞46号）的规定，本公司（联合体）参加</w:t>
      </w:r>
      <w:r>
        <w:rPr>
          <w:rFonts w:ascii="宋体" w:hAnsi="宋体"/>
          <w:color w:val="auto"/>
          <w:highlight w:val="none"/>
          <w:u w:val="single"/>
        </w:rPr>
        <w:t>（单位名称）</w:t>
      </w:r>
      <w:r>
        <w:rPr>
          <w:rFonts w:ascii="宋体" w:hAnsi="宋体"/>
          <w:color w:val="auto"/>
          <w:highlight w:val="none"/>
        </w:rPr>
        <w:t>的</w:t>
      </w:r>
      <w:r>
        <w:rPr>
          <w:rFonts w:ascii="宋体" w:hAnsi="宋体"/>
          <w:color w:val="auto"/>
          <w:highlight w:val="none"/>
          <w:u w:val="single"/>
        </w:rPr>
        <w:t>（项目名称）</w:t>
      </w:r>
      <w:r>
        <w:rPr>
          <w:rFonts w:ascii="宋体" w:hAnsi="宋体"/>
          <w:color w:val="auto"/>
          <w:highlight w:val="none"/>
        </w:rPr>
        <w:t>采购活动，</w:t>
      </w:r>
      <w:r>
        <w:rPr>
          <w:rFonts w:hint="eastAsia" w:ascii="宋体" w:hAnsi="宋体"/>
          <w:color w:val="auto"/>
          <w:highlight w:val="none"/>
        </w:rPr>
        <w:t>服务全部由符合政策要求的中小企业承接。相关企业（含联合体中的中小企业、签订分包意向协议的中小企业）的具体情况如下：</w:t>
      </w:r>
    </w:p>
    <w:p w14:paraId="521188C9">
      <w:pPr>
        <w:tabs>
          <w:tab w:val="left" w:pos="1384"/>
          <w:tab w:val="left" w:pos="4562"/>
          <w:tab w:val="left" w:pos="6803"/>
        </w:tabs>
        <w:spacing w:before="13" w:line="500" w:lineRule="exact"/>
        <w:ind w:right="142" w:firstLine="686"/>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w:t>
      </w:r>
      <w:r>
        <w:rPr>
          <w:rFonts w:hint="eastAsia" w:ascii="宋体" w:hAnsi="宋体"/>
          <w:color w:val="auto"/>
          <w:sz w:val="24"/>
          <w:highlight w:val="none"/>
          <w:u w:val="single"/>
        </w:rPr>
        <w:t>招标</w:t>
      </w:r>
      <w:r>
        <w:rPr>
          <w:rFonts w:ascii="宋体" w:hAnsi="宋体"/>
          <w:color w:val="auto"/>
          <w:sz w:val="24"/>
          <w:highlight w:val="none"/>
          <w:u w:val="single"/>
        </w:rPr>
        <w:t>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40C85C7B">
      <w:pPr>
        <w:tabs>
          <w:tab w:val="left" w:pos="1065"/>
          <w:tab w:val="left" w:pos="4262"/>
          <w:tab w:val="left" w:pos="6477"/>
        </w:tabs>
        <w:spacing w:before="20" w:line="500" w:lineRule="exact"/>
        <w:ind w:right="84" w:firstLine="686"/>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w:t>
      </w:r>
      <w:r>
        <w:rPr>
          <w:rFonts w:hint="eastAsia" w:ascii="宋体" w:hAnsi="宋体"/>
          <w:color w:val="auto"/>
          <w:sz w:val="24"/>
          <w:highlight w:val="none"/>
          <w:u w:val="single"/>
        </w:rPr>
        <w:t>招标</w:t>
      </w:r>
      <w:r>
        <w:rPr>
          <w:rFonts w:ascii="宋体" w:hAnsi="宋体"/>
          <w:color w:val="auto"/>
          <w:sz w:val="24"/>
          <w:highlight w:val="none"/>
          <w:u w:val="single"/>
        </w:rPr>
        <w:t>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29FF28A5">
      <w:pPr>
        <w:pStyle w:val="222"/>
        <w:spacing w:before="34" w:line="500" w:lineRule="exact"/>
        <w:ind w:left="765" w:right="142" w:hanging="5"/>
        <w:rPr>
          <w:rFonts w:ascii="宋体" w:hAnsi="宋体"/>
          <w:color w:val="auto"/>
          <w:highlight w:val="none"/>
        </w:rPr>
      </w:pPr>
      <w:r>
        <w:rPr>
          <w:rFonts w:ascii="宋体" w:hAnsi="宋体"/>
          <w:color w:val="auto"/>
          <w:highlight w:val="none"/>
        </w:rPr>
        <w:t xml:space="preserve">…… </w:t>
      </w:r>
    </w:p>
    <w:p w14:paraId="4CCB9A1F">
      <w:pPr>
        <w:pStyle w:val="222"/>
        <w:spacing w:before="34" w:line="500" w:lineRule="exact"/>
        <w:ind w:right="142" w:firstLine="480"/>
        <w:rPr>
          <w:rFonts w:hint="eastAsia" w:ascii="宋体" w:hAnsi="宋体"/>
          <w:color w:val="auto"/>
          <w:highlight w:val="none"/>
        </w:rPr>
      </w:pPr>
      <w:r>
        <w:rPr>
          <w:rFonts w:ascii="宋体" w:hAnsi="宋体"/>
          <w:color w:val="auto"/>
          <w:highlight w:val="none"/>
        </w:rPr>
        <w:t>以上企业，不属于大企业的分支机构，不存在控股股东为大企业的情形，也不存在与大企业的负责人为同一人的情形。</w:t>
      </w:r>
    </w:p>
    <w:p w14:paraId="148ABECF">
      <w:pPr>
        <w:pStyle w:val="222"/>
        <w:spacing w:before="34" w:line="500" w:lineRule="exact"/>
        <w:ind w:right="142" w:firstLine="480"/>
        <w:rPr>
          <w:rFonts w:ascii="宋体" w:hAnsi="宋体"/>
          <w:color w:val="auto"/>
          <w:highlight w:val="none"/>
        </w:rPr>
      </w:pPr>
      <w:r>
        <w:rPr>
          <w:rFonts w:ascii="宋体" w:hAnsi="宋体"/>
          <w:color w:val="auto"/>
          <w:highlight w:val="none"/>
        </w:rPr>
        <w:t>本企业对上述声明内容的真实性负责。如有虚假，将依法承担相应责任。</w:t>
      </w:r>
    </w:p>
    <w:p w14:paraId="704CC36C">
      <w:pPr>
        <w:pStyle w:val="222"/>
        <w:spacing w:before="56" w:line="500" w:lineRule="exact"/>
        <w:ind w:left="3960" w:right="1808"/>
        <w:rPr>
          <w:rFonts w:ascii="宋体" w:hAnsi="宋体"/>
          <w:color w:val="auto"/>
          <w:highlight w:val="none"/>
        </w:rPr>
      </w:pPr>
      <w:r>
        <w:rPr>
          <w:rFonts w:ascii="宋体" w:hAnsi="宋体"/>
          <w:color w:val="auto"/>
          <w:highlight w:val="none"/>
        </w:rPr>
        <w:t>企业名称（</w:t>
      </w:r>
      <w:r>
        <w:rPr>
          <w:rFonts w:hint="eastAsia" w:ascii="宋体" w:hAnsi="宋体"/>
          <w:color w:val="auto"/>
          <w:highlight w:val="none"/>
        </w:rPr>
        <w:t>电子签章</w:t>
      </w:r>
      <w:r>
        <w:rPr>
          <w:rFonts w:ascii="宋体" w:hAnsi="宋体"/>
          <w:color w:val="auto"/>
          <w:highlight w:val="none"/>
        </w:rPr>
        <w:t xml:space="preserve">）： </w:t>
      </w:r>
    </w:p>
    <w:p w14:paraId="4C4D8109">
      <w:pPr>
        <w:pStyle w:val="222"/>
        <w:spacing w:before="56" w:line="500" w:lineRule="exact"/>
        <w:ind w:left="3960" w:right="1808"/>
        <w:rPr>
          <w:rFonts w:hint="eastAsia" w:ascii="宋体" w:hAnsi="宋体"/>
          <w:color w:val="auto"/>
          <w:highlight w:val="none"/>
        </w:rPr>
      </w:pPr>
      <w:r>
        <w:rPr>
          <w:rFonts w:ascii="宋体" w:hAnsi="宋体"/>
          <w:color w:val="auto"/>
          <w:highlight w:val="none"/>
        </w:rPr>
        <w:t>日 期：</w:t>
      </w:r>
    </w:p>
    <w:p w14:paraId="61B1BDC1">
      <w:pPr>
        <w:rPr>
          <w:rFonts w:hint="eastAsia" w:ascii="宋体" w:hAnsi="宋体"/>
          <w:color w:val="auto"/>
          <w:sz w:val="24"/>
          <w:highlight w:val="none"/>
        </w:rPr>
      </w:pPr>
      <w:r>
        <w:rPr>
          <w:rFonts w:hint="eastAsia" w:ascii="宋体" w:hAnsi="宋体"/>
          <w:color w:val="auto"/>
          <w:spacing w:val="6"/>
          <w:sz w:val="24"/>
          <w:highlight w:val="none"/>
        </w:rPr>
        <w:t xml:space="preserve"> </w:t>
      </w:r>
    </w:p>
    <w:p w14:paraId="7ACA0624">
      <w:pPr>
        <w:ind w:firstLine="480"/>
        <w:rPr>
          <w:rFonts w:hint="eastAsia" w:ascii="宋体" w:hAnsi="宋体"/>
          <w:b/>
          <w:color w:val="auto"/>
          <w:sz w:val="24"/>
          <w:highlight w:val="none"/>
        </w:rPr>
      </w:pPr>
      <w:r>
        <w:rPr>
          <w:rFonts w:hint="eastAsia" w:ascii="宋体" w:hAnsi="宋体"/>
          <w:color w:val="auto"/>
          <w:sz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color w:val="auto"/>
          <w:highlight w:val="none"/>
        </w:rPr>
        <w:br w:type="page" w:clear="all"/>
      </w:r>
      <w:r>
        <w:rPr>
          <w:rFonts w:hint="eastAsia" w:ascii="宋体" w:hAnsi="宋体"/>
          <w:b/>
          <w:color w:val="auto"/>
          <w:sz w:val="24"/>
          <w:highlight w:val="none"/>
        </w:rPr>
        <w:t>2.残疾人福利性单位声明函格式</w:t>
      </w:r>
    </w:p>
    <w:p w14:paraId="7D47EBAE">
      <w:pPr>
        <w:spacing w:line="588" w:lineRule="exact"/>
        <w:jc w:val="center"/>
        <w:rPr>
          <w:rFonts w:hint="eastAsia" w:ascii="仿宋_GB2312" w:eastAsia="仿宋_GB2312"/>
          <w:b/>
          <w:color w:val="auto"/>
          <w:spacing w:val="6"/>
          <w:sz w:val="32"/>
          <w:szCs w:val="32"/>
          <w:highlight w:val="none"/>
        </w:rPr>
      </w:pPr>
    </w:p>
    <w:p w14:paraId="7A1D7C34">
      <w:pPr>
        <w:spacing w:line="588" w:lineRule="exact"/>
        <w:jc w:val="center"/>
        <w:rPr>
          <w:rFonts w:hint="eastAsia" w:ascii="宋体" w:hAnsi="宋体" w:cs="宋体"/>
          <w:bCs/>
          <w:color w:val="auto"/>
          <w:spacing w:val="6"/>
          <w:sz w:val="44"/>
          <w:szCs w:val="44"/>
          <w:highlight w:val="none"/>
        </w:rPr>
      </w:pPr>
      <w:r>
        <w:rPr>
          <w:rFonts w:hint="eastAsia" w:ascii="宋体" w:hAnsi="宋体" w:cs="宋体"/>
          <w:bCs/>
          <w:color w:val="auto"/>
          <w:spacing w:val="6"/>
          <w:sz w:val="44"/>
          <w:szCs w:val="44"/>
          <w:highlight w:val="none"/>
        </w:rPr>
        <w:t>残疾人福利性单位声明函</w:t>
      </w:r>
    </w:p>
    <w:p w14:paraId="18F31324">
      <w:pPr>
        <w:spacing w:line="588" w:lineRule="exact"/>
        <w:rPr>
          <w:rFonts w:ascii="仿宋_GB2312" w:eastAsia="仿宋_GB2312"/>
          <w:b/>
          <w:color w:val="auto"/>
          <w:spacing w:val="6"/>
          <w:sz w:val="30"/>
          <w:szCs w:val="30"/>
          <w:highlight w:val="none"/>
        </w:rPr>
      </w:pPr>
    </w:p>
    <w:p w14:paraId="08E1FD44">
      <w:pPr>
        <w:spacing w:line="360" w:lineRule="auto"/>
        <w:ind w:firstLine="504"/>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12176354">
      <w:pPr>
        <w:spacing w:line="360" w:lineRule="auto"/>
        <w:ind w:firstLine="504"/>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59677F0F">
      <w:pPr>
        <w:spacing w:line="360" w:lineRule="auto"/>
        <w:ind w:firstLine="504"/>
        <w:contextualSpacing/>
        <w:rPr>
          <w:rFonts w:ascii="宋体" w:hAnsi="宋体"/>
          <w:color w:val="auto"/>
          <w:spacing w:val="6"/>
          <w:sz w:val="24"/>
          <w:highlight w:val="none"/>
        </w:rPr>
      </w:pPr>
    </w:p>
    <w:p w14:paraId="29EB539D">
      <w:pPr>
        <w:spacing w:line="360" w:lineRule="auto"/>
        <w:ind w:firstLine="504"/>
        <w:contextualSpacing/>
        <w:rPr>
          <w:rFonts w:ascii="宋体" w:hAnsi="宋体"/>
          <w:color w:val="auto"/>
          <w:spacing w:val="6"/>
          <w:sz w:val="24"/>
          <w:highlight w:val="none"/>
        </w:rPr>
      </w:pPr>
    </w:p>
    <w:p w14:paraId="62AF6A09">
      <w:pPr>
        <w:tabs>
          <w:tab w:val="left" w:pos="4860"/>
        </w:tabs>
        <w:spacing w:line="360" w:lineRule="auto"/>
        <w:ind w:right="1560" w:firstLine="504"/>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单位名称（电子签章）：</w:t>
      </w:r>
    </w:p>
    <w:p w14:paraId="760377FF">
      <w:pPr>
        <w:tabs>
          <w:tab w:val="left" w:pos="4860"/>
        </w:tabs>
        <w:spacing w:line="360" w:lineRule="auto"/>
        <w:ind w:right="1560" w:firstLine="504"/>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6F504A21">
      <w:pPr>
        <w:spacing w:line="360" w:lineRule="auto"/>
        <w:contextualSpacing/>
        <w:rPr>
          <w:rFonts w:ascii="宋体" w:hAnsi="宋体"/>
          <w:color w:val="auto"/>
          <w:sz w:val="24"/>
          <w:highlight w:val="none"/>
        </w:rPr>
      </w:pPr>
    </w:p>
    <w:p w14:paraId="6FFD9756">
      <w:pPr>
        <w:spacing w:line="360" w:lineRule="auto"/>
        <w:contextualSpacing/>
        <w:rPr>
          <w:rFonts w:hint="eastAsia" w:ascii="宋体" w:hAnsi="宋体"/>
          <w:color w:val="auto"/>
          <w:sz w:val="24"/>
          <w:highlight w:val="none"/>
        </w:rPr>
      </w:pPr>
    </w:p>
    <w:p w14:paraId="0D3F13BA">
      <w:pPr>
        <w:spacing w:line="360" w:lineRule="auto"/>
        <w:contextualSpacing/>
        <w:rPr>
          <w:rFonts w:ascii="宋体" w:hAnsi="宋体"/>
          <w:color w:val="auto"/>
          <w:sz w:val="24"/>
          <w:highlight w:val="none"/>
        </w:rPr>
      </w:pPr>
    </w:p>
    <w:p w14:paraId="28CBE902">
      <w:pPr>
        <w:spacing w:line="360" w:lineRule="auto"/>
        <w:contextualSpacing/>
        <w:rPr>
          <w:rFonts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02118FFF">
      <w:pPr>
        <w:spacing w:before="120" w:after="120" w:line="400" w:lineRule="exact"/>
        <w:rPr>
          <w:rFonts w:hint="eastAsia" w:ascii="宋体" w:hAnsi="宋体"/>
          <w:color w:val="auto"/>
          <w:sz w:val="24"/>
          <w:highlight w:val="none"/>
        </w:rPr>
      </w:pPr>
    </w:p>
    <w:p w14:paraId="7CC500E6">
      <w:pPr>
        <w:spacing w:before="120" w:after="120" w:line="400" w:lineRule="exact"/>
        <w:rPr>
          <w:rFonts w:hint="eastAsia" w:ascii="宋体" w:hAnsi="宋体"/>
          <w:color w:val="auto"/>
          <w:sz w:val="24"/>
          <w:highlight w:val="none"/>
        </w:rPr>
      </w:pPr>
    </w:p>
    <w:p w14:paraId="3483DFD5">
      <w:pPr>
        <w:spacing w:before="120" w:after="120" w:line="400" w:lineRule="exact"/>
        <w:rPr>
          <w:rFonts w:hint="eastAsia" w:ascii="宋体" w:hAnsi="宋体"/>
          <w:color w:val="auto"/>
          <w:sz w:val="24"/>
          <w:highlight w:val="none"/>
        </w:rPr>
      </w:pPr>
    </w:p>
    <w:p w14:paraId="7717D995">
      <w:pPr>
        <w:spacing w:before="120" w:after="120" w:line="400" w:lineRule="exact"/>
        <w:rPr>
          <w:rFonts w:hint="eastAsia" w:ascii="宋体" w:hAnsi="宋体"/>
          <w:color w:val="auto"/>
          <w:sz w:val="24"/>
          <w:highlight w:val="none"/>
        </w:rPr>
      </w:pPr>
    </w:p>
    <w:p w14:paraId="4878C826">
      <w:pPr>
        <w:spacing w:before="120" w:after="120" w:line="400" w:lineRule="exact"/>
        <w:rPr>
          <w:rFonts w:hint="eastAsia" w:ascii="宋体" w:hAnsi="宋体"/>
          <w:color w:val="auto"/>
          <w:sz w:val="24"/>
          <w:highlight w:val="none"/>
        </w:rPr>
      </w:pPr>
    </w:p>
    <w:p w14:paraId="5A411497">
      <w:pPr>
        <w:spacing w:before="120" w:after="120" w:line="400" w:lineRule="exact"/>
        <w:rPr>
          <w:rFonts w:hint="eastAsia" w:ascii="宋体" w:hAnsi="宋体"/>
          <w:color w:val="auto"/>
          <w:sz w:val="24"/>
          <w:highlight w:val="none"/>
        </w:rPr>
      </w:pPr>
    </w:p>
    <w:p w14:paraId="670B173B">
      <w:pPr>
        <w:spacing w:before="120" w:after="120" w:line="400" w:lineRule="exact"/>
        <w:rPr>
          <w:rFonts w:hint="eastAsia" w:ascii="宋体" w:hAnsi="宋体"/>
          <w:color w:val="auto"/>
          <w:sz w:val="24"/>
          <w:highlight w:val="none"/>
        </w:rPr>
      </w:pPr>
    </w:p>
    <w:p w14:paraId="746C7293">
      <w:pPr>
        <w:spacing w:before="120" w:after="120" w:line="400" w:lineRule="exact"/>
        <w:rPr>
          <w:rFonts w:hint="eastAsia" w:ascii="宋体" w:hAnsi="宋体"/>
          <w:color w:val="auto"/>
          <w:sz w:val="24"/>
          <w:highlight w:val="none"/>
        </w:rPr>
      </w:pPr>
    </w:p>
    <w:p w14:paraId="266F8718">
      <w:pPr>
        <w:pStyle w:val="222"/>
        <w:rPr>
          <w:rFonts w:ascii="宋体" w:hAnsi="宋体"/>
          <w:b/>
          <w:color w:val="auto"/>
          <w:highlight w:val="none"/>
        </w:rPr>
      </w:pPr>
      <w:r>
        <w:rPr>
          <w:rFonts w:hint="eastAsia" w:ascii="宋体" w:hAnsi="宋体"/>
          <w:b/>
          <w:color w:val="auto"/>
          <w:highlight w:val="none"/>
          <w:lang w:val="en-US" w:eastAsia="zh-CN"/>
        </w:rPr>
        <w:t>3</w:t>
      </w:r>
      <w:r>
        <w:rPr>
          <w:rFonts w:hint="eastAsia" w:ascii="宋体" w:hAnsi="宋体"/>
          <w:b/>
          <w:color w:val="auto"/>
          <w:highlight w:val="none"/>
        </w:rPr>
        <w:t>.</w:t>
      </w:r>
      <w:r>
        <w:rPr>
          <w:rFonts w:hint="eastAsia"/>
          <w:color w:val="auto"/>
          <w:highlight w:val="none"/>
        </w:rPr>
        <w:t xml:space="preserve"> </w:t>
      </w:r>
      <w:r>
        <w:rPr>
          <w:rFonts w:hint="eastAsia" w:ascii="宋体" w:hAnsi="宋体"/>
          <w:b/>
          <w:color w:val="auto"/>
          <w:highlight w:val="none"/>
        </w:rPr>
        <w:t>关于符合本国产品标准的声明函格式</w:t>
      </w:r>
    </w:p>
    <w:p w14:paraId="150B0578">
      <w:pPr>
        <w:pStyle w:val="222"/>
        <w:rPr>
          <w:color w:val="auto"/>
          <w:highlight w:val="none"/>
        </w:rPr>
      </w:pPr>
    </w:p>
    <w:p w14:paraId="4DB23260">
      <w:pPr>
        <w:widowControl/>
        <w:shd w:val="clear" w:color="auto" w:fill="FFFFFF"/>
        <w:jc w:val="center"/>
        <w:rPr>
          <w:rFonts w:hint="eastAsia" w:ascii="宋体" w:hAnsi="宋体" w:cs="宋体"/>
          <w:b/>
          <w:bCs/>
          <w:color w:val="auto"/>
          <w:sz w:val="36"/>
          <w:szCs w:val="36"/>
          <w:highlight w:val="none"/>
        </w:rPr>
      </w:pPr>
    </w:p>
    <w:p w14:paraId="44010249">
      <w:pPr>
        <w:widowControl/>
        <w:shd w:val="clear" w:color="auto" w:fill="FFFFFF"/>
        <w:jc w:val="center"/>
        <w:rPr>
          <w:rFonts w:ascii="宋体" w:hAnsi="宋体" w:cs="宋体"/>
          <w:color w:val="auto"/>
          <w:sz w:val="36"/>
          <w:szCs w:val="36"/>
          <w:highlight w:val="none"/>
        </w:rPr>
      </w:pPr>
      <w:r>
        <w:rPr>
          <w:rFonts w:hint="eastAsia" w:ascii="宋体" w:hAnsi="宋体" w:cs="宋体"/>
          <w:b/>
          <w:bCs/>
          <w:color w:val="auto"/>
          <w:sz w:val="36"/>
          <w:szCs w:val="36"/>
          <w:highlight w:val="none"/>
        </w:rPr>
        <w:t>关于符合本国产品标准的声明函</w:t>
      </w:r>
    </w:p>
    <w:p w14:paraId="0DDD4158">
      <w:pPr>
        <w:widowControl/>
        <w:shd w:val="clear" w:color="auto" w:fill="FFFFFF"/>
        <w:spacing w:before="30" w:after="30"/>
        <w:ind w:firstLine="480"/>
        <w:jc w:val="left"/>
        <w:rPr>
          <w:rFonts w:hint="eastAsia" w:ascii="宋体" w:hAnsi="宋体" w:cs="宋体"/>
          <w:color w:val="auto"/>
          <w:sz w:val="24"/>
          <w:highlight w:val="none"/>
        </w:rPr>
      </w:pPr>
      <w:r>
        <w:rPr>
          <w:rFonts w:hint="eastAsia" w:ascii="宋体" w:hAnsi="宋体" w:cs="宋体"/>
          <w:color w:val="auto"/>
          <w:sz w:val="24"/>
          <w:highlight w:val="none"/>
        </w:rPr>
        <w:t> </w:t>
      </w:r>
    </w:p>
    <w:p w14:paraId="71D5507F">
      <w:pPr>
        <w:widowControl/>
        <w:shd w:val="clear" w:color="auto" w:fill="FFFFFF"/>
        <w:spacing w:before="30" w:after="30"/>
        <w:ind w:firstLine="480"/>
        <w:jc w:val="left"/>
        <w:rPr>
          <w:rFonts w:hint="eastAsia" w:ascii="宋体" w:hAnsi="宋体" w:cs="宋体"/>
          <w:color w:val="auto"/>
          <w:sz w:val="24"/>
          <w:highlight w:val="none"/>
        </w:rPr>
      </w:pPr>
      <w:r>
        <w:rPr>
          <w:rFonts w:hint="eastAsia" w:ascii="宋体" w:hAnsi="宋体" w:cs="宋体"/>
          <w:color w:val="auto"/>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1CB3741C">
      <w:pPr>
        <w:widowControl/>
        <w:shd w:val="clear" w:color="auto" w:fill="FFFFFF"/>
        <w:ind w:firstLine="48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（产品名称1）</w:t>
      </w:r>
      <w:r>
        <w:rPr>
          <w:rFonts w:hint="eastAsia" w:ascii="宋体" w:hAnsi="宋体" w:cs="宋体"/>
          <w:i/>
          <w:iCs/>
          <w:color w:val="auto"/>
          <w:sz w:val="18"/>
          <w:szCs w:val="18"/>
          <w:highlight w:val="none"/>
          <w:vertAlign w:val="superscript"/>
        </w:rPr>
        <w:t>1</w:t>
      </w:r>
      <w:r>
        <w:rPr>
          <w:rFonts w:hint="eastAsia" w:ascii="宋体" w:hAnsi="宋体" w:cs="宋体"/>
          <w:color w:val="auto"/>
          <w:sz w:val="24"/>
          <w:highlight w:val="none"/>
        </w:rPr>
        <w:t>，生产厂为</w:t>
      </w:r>
      <w:r>
        <w:rPr>
          <w:rFonts w:hint="eastAsia" w:ascii="宋体" w:hAnsi="宋体" w:cs="宋体"/>
          <w:color w:val="auto"/>
          <w:sz w:val="24"/>
          <w:highlight w:val="none"/>
          <w:u w:val="single"/>
        </w:rPr>
        <w:t>（厂名）</w:t>
      </w:r>
      <w:r>
        <w:rPr>
          <w:rFonts w:hint="eastAsia" w:ascii="宋体" w:hAnsi="宋体" w:cs="宋体"/>
          <w:color w:val="auto"/>
          <w:sz w:val="18"/>
          <w:szCs w:val="18"/>
          <w:highlight w:val="none"/>
          <w:u w:val="single"/>
          <w:vertAlign w:val="superscript"/>
        </w:rPr>
        <w:t>2</w:t>
      </w:r>
      <w:r>
        <w:rPr>
          <w:rFonts w:hint="eastAsia" w:ascii="宋体" w:hAnsi="宋体" w:cs="宋体"/>
          <w:color w:val="auto"/>
          <w:sz w:val="24"/>
          <w:highlight w:val="none"/>
        </w:rPr>
        <w:t>，厂址为</w:t>
      </w:r>
      <w:r>
        <w:rPr>
          <w:rFonts w:hint="eastAsia" w:ascii="宋体" w:hAnsi="宋体" w:cs="宋体"/>
          <w:color w:val="auto"/>
          <w:sz w:val="24"/>
          <w:highlight w:val="none"/>
          <w:u w:val="single"/>
        </w:rPr>
        <w:t>（生产厂址）</w:t>
      </w:r>
      <w:r>
        <w:rPr>
          <w:rFonts w:hint="eastAsia" w:ascii="宋体" w:hAnsi="宋体" w:cs="宋体"/>
          <w:color w:val="auto"/>
          <w:sz w:val="24"/>
          <w:highlight w:val="none"/>
        </w:rPr>
        <w:t>。</w:t>
      </w:r>
      <w:r>
        <w:rPr>
          <w:rFonts w:hint="eastAsia" w:ascii="宋体" w:hAnsi="宋体" w:cs="宋体"/>
          <w:color w:val="auto"/>
          <w:sz w:val="24"/>
          <w:highlight w:val="none"/>
          <w:u w:val="single"/>
        </w:rPr>
        <w:t>（产品名称1）</w:t>
      </w:r>
      <w:r>
        <w:rPr>
          <w:rFonts w:hint="eastAsia" w:ascii="宋体" w:hAnsi="宋体" w:cs="宋体"/>
          <w:color w:val="auto"/>
          <w:sz w:val="24"/>
          <w:highlight w:val="none"/>
        </w:rPr>
        <w:t>的中国境内生产的组件成本占比≥</w:t>
      </w:r>
      <w:r>
        <w:rPr>
          <w:rFonts w:hint="eastAsia" w:ascii="宋体" w:hAnsi="宋体" w:cs="宋体"/>
          <w:color w:val="auto"/>
          <w:sz w:val="24"/>
          <w:highlight w:val="none"/>
          <w:u w:val="single"/>
        </w:rPr>
        <w:t>（规定比例）</w:t>
      </w:r>
      <w:r>
        <w:rPr>
          <w:rFonts w:hint="eastAsia" w:ascii="宋体" w:hAnsi="宋体" w:cs="宋体"/>
          <w:i/>
          <w:iCs/>
          <w:color w:val="auto"/>
          <w:sz w:val="18"/>
          <w:szCs w:val="18"/>
          <w:highlight w:val="none"/>
          <w:vertAlign w:val="superscript"/>
        </w:rPr>
        <w:t>3</w:t>
      </w:r>
      <w:r>
        <w:rPr>
          <w:rFonts w:hint="eastAsia" w:ascii="宋体" w:hAnsi="宋体" w:cs="宋体"/>
          <w:color w:val="auto"/>
          <w:sz w:val="24"/>
          <w:highlight w:val="none"/>
        </w:rPr>
        <w:t>。</w:t>
      </w:r>
      <w:r>
        <w:rPr>
          <w:rFonts w:hint="eastAsia" w:ascii="宋体" w:hAnsi="宋体" w:cs="宋体"/>
          <w:color w:val="auto"/>
          <w:sz w:val="24"/>
          <w:highlight w:val="none"/>
          <w:u w:val="single"/>
        </w:rPr>
        <w:t>（产品名称1）</w:t>
      </w:r>
      <w:r>
        <w:rPr>
          <w:rFonts w:hint="eastAsia" w:ascii="宋体" w:hAnsi="宋体" w:cs="宋体"/>
          <w:color w:val="auto"/>
          <w:sz w:val="24"/>
          <w:highlight w:val="none"/>
        </w:rPr>
        <w:t>的</w:t>
      </w:r>
      <w:r>
        <w:rPr>
          <w:rFonts w:hint="eastAsia" w:ascii="宋体" w:hAnsi="宋体" w:cs="宋体"/>
          <w:color w:val="auto"/>
          <w:sz w:val="24"/>
          <w:highlight w:val="none"/>
          <w:u w:val="single"/>
        </w:rPr>
        <w:t>（关键组件）</w:t>
      </w:r>
      <w:r>
        <w:rPr>
          <w:rFonts w:hint="eastAsia" w:ascii="宋体" w:hAnsi="宋体" w:cs="宋体"/>
          <w:i/>
          <w:iCs/>
          <w:color w:val="auto"/>
          <w:sz w:val="18"/>
          <w:szCs w:val="18"/>
          <w:highlight w:val="none"/>
          <w:vertAlign w:val="superscript"/>
        </w:rPr>
        <w:t>4</w:t>
      </w:r>
      <w:r>
        <w:rPr>
          <w:rFonts w:hint="eastAsia" w:ascii="宋体" w:hAnsi="宋体" w:cs="宋体"/>
          <w:color w:val="auto"/>
          <w:sz w:val="24"/>
          <w:highlight w:val="none"/>
        </w:rPr>
        <w:t>在中国境内生产。</w:t>
      </w:r>
      <w:r>
        <w:rPr>
          <w:rFonts w:hint="eastAsia" w:ascii="宋体" w:hAnsi="宋体" w:cs="宋体"/>
          <w:color w:val="auto"/>
          <w:sz w:val="24"/>
          <w:highlight w:val="none"/>
          <w:u w:val="single"/>
        </w:rPr>
        <w:t>（产品名称1）</w:t>
      </w:r>
      <w:r>
        <w:rPr>
          <w:rFonts w:hint="eastAsia" w:ascii="宋体" w:hAnsi="宋体" w:cs="宋体"/>
          <w:color w:val="auto"/>
          <w:sz w:val="24"/>
          <w:highlight w:val="none"/>
        </w:rPr>
        <w:t>的</w:t>
      </w:r>
      <w:r>
        <w:rPr>
          <w:rFonts w:hint="eastAsia" w:ascii="宋体" w:hAnsi="宋体" w:cs="宋体"/>
          <w:color w:val="auto"/>
          <w:sz w:val="24"/>
          <w:highlight w:val="none"/>
          <w:u w:val="single"/>
        </w:rPr>
        <w:t>（关键工序）</w:t>
      </w:r>
      <w:r>
        <w:rPr>
          <w:rFonts w:hint="eastAsia" w:ascii="宋体" w:hAnsi="宋体" w:cs="宋体"/>
          <w:i/>
          <w:iCs/>
          <w:color w:val="auto"/>
          <w:sz w:val="18"/>
          <w:szCs w:val="18"/>
          <w:highlight w:val="none"/>
          <w:vertAlign w:val="superscript"/>
        </w:rPr>
        <w:t>5</w:t>
      </w:r>
      <w:r>
        <w:rPr>
          <w:rFonts w:hint="eastAsia" w:ascii="宋体" w:hAnsi="宋体" w:cs="宋体"/>
          <w:color w:val="auto"/>
          <w:sz w:val="24"/>
          <w:highlight w:val="none"/>
        </w:rPr>
        <w:t>在中国境内完成。</w:t>
      </w:r>
    </w:p>
    <w:p w14:paraId="1678F167">
      <w:pPr>
        <w:widowControl/>
        <w:shd w:val="clear" w:color="auto" w:fill="FFFFFF"/>
        <w:ind w:firstLine="480"/>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（产品名称2）</w:t>
      </w:r>
      <w:r>
        <w:rPr>
          <w:rFonts w:hint="eastAsia" w:ascii="宋体" w:hAnsi="宋体" w:cs="宋体"/>
          <w:color w:val="auto"/>
          <w:sz w:val="24"/>
          <w:highlight w:val="none"/>
        </w:rPr>
        <w:t>，生产厂为</w:t>
      </w:r>
      <w:r>
        <w:rPr>
          <w:rFonts w:hint="eastAsia" w:ascii="宋体" w:hAnsi="宋体" w:cs="宋体"/>
          <w:color w:val="auto"/>
          <w:sz w:val="24"/>
          <w:highlight w:val="none"/>
          <w:u w:val="single"/>
        </w:rPr>
        <w:t>（厂名）</w:t>
      </w:r>
      <w:r>
        <w:rPr>
          <w:rFonts w:hint="eastAsia" w:ascii="宋体" w:hAnsi="宋体" w:cs="宋体"/>
          <w:color w:val="auto"/>
          <w:sz w:val="24"/>
          <w:highlight w:val="none"/>
        </w:rPr>
        <w:t>，厂址为</w:t>
      </w:r>
      <w:r>
        <w:rPr>
          <w:rFonts w:hint="eastAsia" w:ascii="宋体" w:hAnsi="宋体" w:cs="宋体"/>
          <w:i/>
          <w:iCs/>
          <w:color w:val="auto"/>
          <w:sz w:val="24"/>
          <w:highlight w:val="none"/>
        </w:rPr>
        <w:t>（</w:t>
      </w:r>
      <w:r>
        <w:rPr>
          <w:rFonts w:hint="eastAsia" w:ascii="宋体" w:hAnsi="宋体" w:cs="宋体"/>
          <w:color w:val="auto"/>
          <w:sz w:val="24"/>
          <w:highlight w:val="none"/>
          <w:u w:val="single"/>
        </w:rPr>
        <w:t>生产厂址）</w:t>
      </w:r>
      <w:r>
        <w:rPr>
          <w:rFonts w:hint="eastAsia" w:ascii="宋体" w:hAnsi="宋体" w:cs="宋体"/>
          <w:color w:val="auto"/>
          <w:sz w:val="24"/>
          <w:highlight w:val="none"/>
        </w:rPr>
        <w:t>。</w:t>
      </w:r>
      <w:r>
        <w:rPr>
          <w:rFonts w:hint="eastAsia" w:ascii="宋体" w:hAnsi="宋体" w:cs="宋体"/>
          <w:color w:val="auto"/>
          <w:sz w:val="24"/>
          <w:highlight w:val="none"/>
          <w:u w:val="single"/>
        </w:rPr>
        <w:t>（产品名称2）</w:t>
      </w:r>
      <w:r>
        <w:rPr>
          <w:rFonts w:hint="eastAsia" w:ascii="宋体" w:hAnsi="宋体" w:cs="宋体"/>
          <w:color w:val="auto"/>
          <w:sz w:val="24"/>
          <w:highlight w:val="none"/>
        </w:rPr>
        <w:t>的中国境内生产的组件成本占比≥</w:t>
      </w:r>
      <w:r>
        <w:rPr>
          <w:rFonts w:hint="eastAsia" w:ascii="宋体" w:hAnsi="宋体" w:cs="宋体"/>
          <w:color w:val="auto"/>
          <w:sz w:val="24"/>
          <w:highlight w:val="none"/>
          <w:u w:val="single"/>
        </w:rPr>
        <w:t>（规定比例）</w:t>
      </w:r>
      <w:r>
        <w:rPr>
          <w:rFonts w:hint="eastAsia" w:ascii="宋体" w:hAnsi="宋体" w:cs="宋体"/>
          <w:color w:val="auto"/>
          <w:sz w:val="24"/>
          <w:highlight w:val="none"/>
        </w:rPr>
        <w:t>。</w:t>
      </w:r>
      <w:r>
        <w:rPr>
          <w:rFonts w:hint="eastAsia" w:ascii="宋体" w:hAnsi="宋体" w:cs="宋体"/>
          <w:color w:val="auto"/>
          <w:sz w:val="24"/>
          <w:highlight w:val="none"/>
          <w:u w:val="single"/>
        </w:rPr>
        <w:t>（产品名称2）</w:t>
      </w:r>
      <w:r>
        <w:rPr>
          <w:rFonts w:hint="eastAsia" w:ascii="宋体" w:hAnsi="宋体" w:cs="宋体"/>
          <w:color w:val="auto"/>
          <w:sz w:val="24"/>
          <w:highlight w:val="none"/>
        </w:rPr>
        <w:t>的</w:t>
      </w:r>
      <w:r>
        <w:rPr>
          <w:rFonts w:hint="eastAsia" w:ascii="宋体" w:hAnsi="宋体" w:cs="宋体"/>
          <w:color w:val="auto"/>
          <w:sz w:val="24"/>
          <w:highlight w:val="none"/>
          <w:u w:val="single"/>
        </w:rPr>
        <w:t>（关键组件）</w:t>
      </w:r>
      <w:r>
        <w:rPr>
          <w:rFonts w:hint="eastAsia" w:ascii="宋体" w:hAnsi="宋体" w:cs="宋体"/>
          <w:color w:val="auto"/>
          <w:sz w:val="24"/>
          <w:highlight w:val="none"/>
        </w:rPr>
        <w:t>在中国境内生产。</w:t>
      </w:r>
      <w:r>
        <w:rPr>
          <w:rFonts w:hint="eastAsia" w:ascii="宋体" w:hAnsi="宋体" w:cs="宋体"/>
          <w:color w:val="auto"/>
          <w:sz w:val="24"/>
          <w:highlight w:val="none"/>
          <w:u w:val="single"/>
        </w:rPr>
        <w:t>（产品名称2）</w:t>
      </w:r>
      <w:r>
        <w:rPr>
          <w:rFonts w:hint="eastAsia" w:ascii="宋体" w:hAnsi="宋体" w:cs="宋体"/>
          <w:color w:val="auto"/>
          <w:sz w:val="24"/>
          <w:highlight w:val="none"/>
        </w:rPr>
        <w:t>的</w:t>
      </w:r>
      <w:r>
        <w:rPr>
          <w:rFonts w:hint="eastAsia" w:ascii="宋体" w:hAnsi="宋体" w:cs="宋体"/>
          <w:color w:val="auto"/>
          <w:sz w:val="24"/>
          <w:highlight w:val="none"/>
          <w:u w:val="single"/>
        </w:rPr>
        <w:t>（关键工序）</w:t>
      </w:r>
      <w:r>
        <w:rPr>
          <w:rFonts w:hint="eastAsia" w:ascii="宋体" w:hAnsi="宋体" w:cs="宋体"/>
          <w:color w:val="auto"/>
          <w:sz w:val="24"/>
          <w:highlight w:val="none"/>
        </w:rPr>
        <w:t>在中国境内完成。</w:t>
      </w:r>
    </w:p>
    <w:p w14:paraId="1C2BD8BB">
      <w:pPr>
        <w:widowControl/>
        <w:shd w:val="clear" w:color="auto" w:fill="FFFFFF"/>
        <w:spacing w:before="30" w:after="30"/>
        <w:ind w:firstLine="480"/>
        <w:jc w:val="left"/>
        <w:rPr>
          <w:rFonts w:hint="eastAsia" w:ascii="宋体" w:hAnsi="宋体" w:cs="宋体"/>
          <w:color w:val="auto"/>
          <w:sz w:val="24"/>
          <w:highlight w:val="none"/>
        </w:rPr>
      </w:pPr>
      <w:r>
        <w:rPr>
          <w:rFonts w:hint="eastAsia" w:ascii="宋体" w:hAnsi="宋体" w:cs="宋体"/>
          <w:color w:val="auto"/>
          <w:sz w:val="24"/>
          <w:highlight w:val="none"/>
        </w:rPr>
        <w:t>……</w:t>
      </w:r>
    </w:p>
    <w:p w14:paraId="7BD2AFA5">
      <w:pPr>
        <w:widowControl/>
        <w:shd w:val="clear" w:color="auto" w:fill="FFFFFF"/>
        <w:spacing w:before="30" w:after="30"/>
        <w:ind w:firstLine="480"/>
        <w:jc w:val="left"/>
        <w:rPr>
          <w:rFonts w:hint="eastAsia" w:ascii="宋体" w:hAnsi="宋体" w:cs="宋体"/>
          <w:color w:val="auto"/>
          <w:sz w:val="24"/>
          <w:highlight w:val="none"/>
        </w:rPr>
      </w:pPr>
      <w:r>
        <w:rPr>
          <w:rFonts w:hint="eastAsia" w:ascii="宋体" w:hAnsi="宋体" w:cs="宋体"/>
          <w:color w:val="auto"/>
          <w:sz w:val="24"/>
          <w:highlight w:val="none"/>
        </w:rPr>
        <w:t>本公司（单位）对上述声明内容的真实性负责。如有虚假，愿承担相应法律责任。</w:t>
      </w:r>
    </w:p>
    <w:p w14:paraId="3E55729F">
      <w:pPr>
        <w:widowControl/>
        <w:shd w:val="clear" w:color="auto" w:fill="FFFFFF"/>
        <w:spacing w:before="30" w:after="30"/>
        <w:jc w:val="left"/>
        <w:rPr>
          <w:rFonts w:hint="eastAsia" w:ascii="宋体" w:hAnsi="宋体" w:cs="宋体"/>
          <w:color w:val="auto"/>
          <w:sz w:val="24"/>
          <w:highlight w:val="none"/>
        </w:rPr>
      </w:pPr>
      <w:r>
        <w:rPr>
          <w:rFonts w:hint="eastAsia" w:ascii="宋体" w:hAnsi="宋体" w:cs="宋体"/>
          <w:color w:val="auto"/>
          <w:sz w:val="24"/>
          <w:highlight w:val="none"/>
        </w:rPr>
        <w:t> </w:t>
      </w:r>
    </w:p>
    <w:p w14:paraId="6F0481AE">
      <w:pPr>
        <w:widowControl/>
        <w:shd w:val="clear" w:color="auto" w:fill="FFFFFF"/>
        <w:spacing w:before="30" w:after="30"/>
        <w:jc w:val="right"/>
        <w:rPr>
          <w:rFonts w:hint="eastAsia" w:ascii="宋体" w:hAnsi="宋体" w:cs="宋体"/>
          <w:color w:val="auto"/>
          <w:sz w:val="24"/>
          <w:highlight w:val="none"/>
        </w:rPr>
      </w:pPr>
      <w:r>
        <w:rPr>
          <w:rFonts w:hint="eastAsia" w:ascii="宋体" w:hAnsi="宋体" w:cs="宋体"/>
          <w:color w:val="auto"/>
          <w:sz w:val="24"/>
          <w:highlight w:val="none"/>
        </w:rPr>
        <w:t>公司（单位）名称（盖章）：　        </w:t>
      </w:r>
    </w:p>
    <w:p w14:paraId="75A8D6EC">
      <w:pPr>
        <w:widowControl/>
        <w:shd w:val="clear" w:color="auto" w:fill="FFFFFF"/>
        <w:jc w:val="right"/>
        <w:rPr>
          <w:rFonts w:hint="eastAsia" w:ascii="宋体" w:hAnsi="宋体" w:cs="宋体"/>
          <w:color w:val="auto"/>
          <w:sz w:val="24"/>
          <w:highlight w:val="none"/>
        </w:rPr>
      </w:pPr>
      <w:r>
        <w:rPr>
          <w:rFonts w:hint="eastAsia" w:ascii="宋体" w:hAnsi="宋体" w:cs="宋体"/>
          <w:color w:val="auto"/>
          <w:sz w:val="24"/>
          <w:highlight w:val="none"/>
        </w:rPr>
        <w:t>日期：　     年　  月　  日         </w:t>
      </w:r>
    </w:p>
    <w:p w14:paraId="17DE2CF4">
      <w:pPr>
        <w:widowControl/>
        <w:shd w:val="clear" w:color="auto" w:fill="FFFFFF"/>
        <w:spacing w:before="30" w:after="30"/>
        <w:jc w:val="left"/>
        <w:rPr>
          <w:rFonts w:hint="eastAsia" w:ascii="宋体" w:hAnsi="宋体" w:cs="宋体"/>
          <w:color w:val="auto"/>
          <w:sz w:val="24"/>
          <w:highlight w:val="none"/>
        </w:rPr>
      </w:pPr>
      <w:r>
        <w:rPr>
          <w:rFonts w:hint="eastAsia" w:ascii="宋体" w:hAnsi="宋体" w:cs="宋体"/>
          <w:color w:val="auto"/>
          <w:sz w:val="24"/>
          <w:highlight w:val="none"/>
        </w:rPr>
        <w:t>__________________</w:t>
      </w:r>
    </w:p>
    <w:p w14:paraId="514818F0">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1.产品如有型号，请在“产品名称”栏一并填写。</w:t>
      </w:r>
    </w:p>
    <w:p w14:paraId="657F8D8F">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2.生产厂名与厂址应与生产厂营业执照载明的相关信息保持一致。</w:t>
      </w:r>
    </w:p>
    <w:p w14:paraId="0F507F95">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3.该产品的中国境内生产的组件成本占比相关要求实施前，“规定比例”栏可不填，下同。</w:t>
      </w:r>
    </w:p>
    <w:p w14:paraId="4E54DC11">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4.该产品的关键组件要求实施前，“关键组件”栏可不填，下同。</w:t>
      </w:r>
    </w:p>
    <w:p w14:paraId="39DD99CD">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5.该产品的关键工序要求实施前，“关键工序”栏可不填，下同。</w:t>
      </w:r>
    </w:p>
    <w:p w14:paraId="164DA7E4">
      <w:pPr>
        <w:pStyle w:val="222"/>
        <w:rPr>
          <w:color w:val="auto"/>
          <w:highlight w:val="none"/>
        </w:rPr>
      </w:pPr>
    </w:p>
    <w:p w14:paraId="4E64A656">
      <w:pPr>
        <w:spacing w:before="120" w:after="120" w:line="400" w:lineRule="exact"/>
        <w:rPr>
          <w:rFonts w:hint="eastAsia" w:ascii="宋体" w:hAnsi="宋体"/>
          <w:color w:val="auto"/>
          <w:sz w:val="24"/>
          <w:highlight w:val="none"/>
        </w:rPr>
      </w:pPr>
    </w:p>
    <w:p w14:paraId="4DBE847F">
      <w:pPr>
        <w:spacing w:line="360" w:lineRule="auto"/>
        <w:jc w:val="left"/>
        <w:rPr>
          <w:rFonts w:hint="eastAsia" w:ascii="宋体" w:hAnsi="宋体"/>
          <w:b/>
          <w:color w:val="auto"/>
          <w:sz w:val="24"/>
          <w:highlight w:val="none"/>
        </w:rPr>
      </w:pPr>
    </w:p>
    <w:p w14:paraId="1CB88F84">
      <w:pPr>
        <w:spacing w:line="360" w:lineRule="auto"/>
        <w:jc w:val="left"/>
        <w:rPr>
          <w:rFonts w:hint="eastAsia" w:ascii="宋体" w:hAnsi="宋体"/>
          <w:b/>
          <w:color w:val="auto"/>
          <w:sz w:val="24"/>
          <w:highlight w:val="none"/>
        </w:rPr>
      </w:pPr>
    </w:p>
    <w:p w14:paraId="2E32FA89">
      <w:pPr>
        <w:spacing w:line="360" w:lineRule="auto"/>
        <w:jc w:val="left"/>
        <w:rPr>
          <w:rFonts w:hint="eastAsia" w:ascii="宋体" w:hAnsi="宋体"/>
          <w:b/>
          <w:color w:val="auto"/>
          <w:sz w:val="24"/>
          <w:highlight w:val="none"/>
        </w:rPr>
      </w:pPr>
    </w:p>
    <w:p w14:paraId="011197D5">
      <w:pPr>
        <w:spacing w:line="360" w:lineRule="auto"/>
        <w:jc w:val="left"/>
        <w:rPr>
          <w:rFonts w:hint="eastAsia" w:ascii="宋体" w:hAnsi="宋体"/>
          <w:b/>
          <w:color w:val="auto"/>
          <w:sz w:val="24"/>
          <w:highlight w:val="none"/>
        </w:rPr>
      </w:pPr>
    </w:p>
    <w:p w14:paraId="53595308">
      <w:pPr>
        <w:spacing w:line="360" w:lineRule="auto"/>
        <w:jc w:val="left"/>
        <w:rPr>
          <w:rFonts w:hint="eastAsia" w:ascii="宋体" w:hAnsi="宋体"/>
          <w:b/>
          <w:color w:val="auto"/>
          <w:sz w:val="24"/>
          <w:highlight w:val="none"/>
        </w:rPr>
      </w:pPr>
    </w:p>
    <w:p w14:paraId="548FC187">
      <w:pPr>
        <w:spacing w:line="360" w:lineRule="auto"/>
        <w:jc w:val="left"/>
        <w:rPr>
          <w:rFonts w:hint="eastAsia" w:ascii="宋体" w:hAnsi="宋体"/>
          <w:b/>
          <w:color w:val="auto"/>
          <w:sz w:val="24"/>
          <w:highlight w:val="none"/>
        </w:rPr>
      </w:pPr>
    </w:p>
    <w:p w14:paraId="48E5B783">
      <w:pPr>
        <w:spacing w:line="360" w:lineRule="auto"/>
        <w:jc w:val="left"/>
        <w:rPr>
          <w:rFonts w:hint="eastAsia" w:ascii="宋体" w:hAnsi="宋体"/>
          <w:b/>
          <w:color w:val="auto"/>
          <w:sz w:val="24"/>
          <w:highlight w:val="none"/>
        </w:rPr>
      </w:pPr>
    </w:p>
    <w:p w14:paraId="1CD33919">
      <w:pPr>
        <w:spacing w:line="360" w:lineRule="auto"/>
        <w:jc w:val="left"/>
        <w:rPr>
          <w:rFonts w:hint="eastAsia" w:ascii="宋体" w:hAnsi="宋体"/>
          <w:b/>
          <w:color w:val="auto"/>
          <w:sz w:val="24"/>
          <w:highlight w:val="none"/>
        </w:rPr>
      </w:pPr>
    </w:p>
    <w:p w14:paraId="38F847D0">
      <w:pPr>
        <w:spacing w:line="360" w:lineRule="auto"/>
        <w:jc w:val="left"/>
        <w:rPr>
          <w:rFonts w:hint="eastAsia" w:ascii="宋体" w:hAnsi="宋体"/>
          <w:b/>
          <w:color w:val="auto"/>
          <w:sz w:val="24"/>
          <w:highlight w:val="none"/>
        </w:rPr>
      </w:pPr>
    </w:p>
    <w:p w14:paraId="4B820AD0">
      <w:pPr>
        <w:spacing w:line="360" w:lineRule="auto"/>
        <w:jc w:val="left"/>
        <w:rPr>
          <w:rFonts w:hint="eastAsia" w:ascii="宋体" w:hAnsi="宋体"/>
          <w:b/>
          <w:bCs/>
          <w:color w:val="auto"/>
          <w:sz w:val="32"/>
          <w:szCs w:val="32"/>
          <w:highlight w:val="none"/>
        </w:rPr>
      </w:pPr>
      <w:r>
        <w:rPr>
          <w:rFonts w:hint="eastAsia" w:ascii="宋体" w:hAnsi="宋体"/>
          <w:b/>
          <w:color w:val="auto"/>
          <w:sz w:val="24"/>
          <w:highlight w:val="none"/>
          <w:lang w:val="en-US" w:eastAsia="zh-CN"/>
        </w:rPr>
        <w:t>4</w:t>
      </w:r>
      <w:r>
        <w:rPr>
          <w:rFonts w:hint="eastAsia" w:ascii="宋体" w:hAnsi="宋体"/>
          <w:b/>
          <w:color w:val="auto"/>
          <w:sz w:val="24"/>
          <w:highlight w:val="none"/>
        </w:rPr>
        <w:t>.质疑函（格式）</w:t>
      </w:r>
    </w:p>
    <w:p w14:paraId="78507DFA">
      <w:pPr>
        <w:spacing w:line="360" w:lineRule="auto"/>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质疑函（格式）</w:t>
      </w:r>
    </w:p>
    <w:p w14:paraId="070F55FE">
      <w:pPr>
        <w:pStyle w:val="231"/>
        <w:spacing w:line="360" w:lineRule="auto"/>
        <w:ind w:firstLine="482"/>
        <w:rPr>
          <w:rFonts w:hAnsi="宋体"/>
          <w:b/>
          <w:bCs/>
          <w:color w:val="auto"/>
          <w:sz w:val="24"/>
          <w:szCs w:val="24"/>
          <w:highlight w:val="none"/>
        </w:rPr>
      </w:pPr>
      <w:r>
        <w:rPr>
          <w:rFonts w:hint="eastAsia" w:hAnsi="宋体"/>
          <w:b/>
          <w:bCs/>
          <w:color w:val="auto"/>
          <w:sz w:val="24"/>
          <w:szCs w:val="24"/>
          <w:highlight w:val="none"/>
        </w:rPr>
        <w:t>一、质疑供应商基本信息：</w:t>
      </w:r>
    </w:p>
    <w:p w14:paraId="53209BDB">
      <w:pPr>
        <w:pStyle w:val="231"/>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F3B6354">
      <w:pPr>
        <w:pStyle w:val="231"/>
        <w:spacing w:line="360" w:lineRule="auto"/>
        <w:ind w:firstLine="48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C02FF8D">
      <w:pPr>
        <w:pStyle w:val="231"/>
        <w:spacing w:line="360" w:lineRule="auto"/>
        <w:ind w:firstLine="480"/>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5352E4E">
      <w:pPr>
        <w:pStyle w:val="231"/>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3F6B75CA">
      <w:pPr>
        <w:pStyle w:val="231"/>
        <w:spacing w:line="360" w:lineRule="auto"/>
        <w:ind w:firstLine="480"/>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D422FEC">
      <w:pPr>
        <w:pStyle w:val="231"/>
        <w:spacing w:line="360" w:lineRule="auto"/>
        <w:ind w:firstLine="48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9C93CE2">
      <w:pPr>
        <w:pStyle w:val="231"/>
        <w:spacing w:line="360" w:lineRule="auto"/>
        <w:ind w:firstLine="482"/>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3B0DD521">
      <w:pPr>
        <w:pStyle w:val="231"/>
        <w:spacing w:line="360" w:lineRule="auto"/>
        <w:ind w:left="25" w:firstLine="472"/>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7FECB741">
      <w:pPr>
        <w:pStyle w:val="231"/>
        <w:spacing w:line="360" w:lineRule="auto"/>
        <w:ind w:left="25" w:firstLine="472"/>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3D8FB155">
      <w:pPr>
        <w:pStyle w:val="231"/>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5F766DC3">
      <w:pPr>
        <w:pStyle w:val="231"/>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质疑事项：</w:t>
      </w:r>
    </w:p>
    <w:p w14:paraId="2265E2A3">
      <w:pPr>
        <w:pStyle w:val="231"/>
        <w:spacing w:line="360" w:lineRule="auto"/>
        <w:ind w:left="25" w:firstLine="352"/>
        <w:rPr>
          <w:rFonts w:hAnsi="宋体"/>
          <w:color w:val="auto"/>
          <w:sz w:val="24"/>
          <w:szCs w:val="24"/>
          <w:highlight w:val="none"/>
        </w:rPr>
      </w:pPr>
      <w:r>
        <w:rPr>
          <w:rFonts w:hint="eastAsia" w:hAnsi="宋体"/>
          <w:color w:val="auto"/>
          <w:sz w:val="24"/>
          <w:szCs w:val="24"/>
          <w:highlight w:val="none"/>
        </w:rPr>
        <w:t>□招标文件   招标文件获取日期：</w:t>
      </w:r>
      <w:r>
        <w:rPr>
          <w:rFonts w:hint="eastAsia" w:hAnsi="宋体"/>
          <w:bCs/>
          <w:color w:val="auto"/>
          <w:sz w:val="24"/>
          <w:szCs w:val="24"/>
          <w:highlight w:val="none"/>
          <w:u w:val="single"/>
        </w:rPr>
        <w:t xml:space="preserve">                                   </w:t>
      </w:r>
    </w:p>
    <w:p w14:paraId="06167B46">
      <w:pPr>
        <w:pStyle w:val="231"/>
        <w:spacing w:line="360" w:lineRule="auto"/>
        <w:ind w:left="25" w:firstLine="352"/>
        <w:rPr>
          <w:rFonts w:hint="eastAsia" w:hAnsi="宋体"/>
          <w:color w:val="auto"/>
          <w:sz w:val="24"/>
          <w:szCs w:val="24"/>
          <w:highlight w:val="none"/>
        </w:rPr>
      </w:pPr>
      <w:r>
        <w:rPr>
          <w:rFonts w:hint="eastAsia" w:hAnsi="宋体"/>
          <w:color w:val="auto"/>
          <w:sz w:val="24"/>
          <w:szCs w:val="24"/>
          <w:highlight w:val="none"/>
        </w:rPr>
        <w:t xml:space="preserve">□招标过程   </w:t>
      </w:r>
    </w:p>
    <w:p w14:paraId="684F7956">
      <w:pPr>
        <w:pStyle w:val="231"/>
        <w:spacing w:line="360" w:lineRule="auto"/>
        <w:ind w:left="25" w:firstLine="352"/>
        <w:rPr>
          <w:rFonts w:hint="eastAsia" w:hAnsi="宋体"/>
          <w:bCs/>
          <w:color w:val="auto"/>
          <w:sz w:val="24"/>
          <w:szCs w:val="24"/>
          <w:highlight w:val="none"/>
          <w:u w:val="single"/>
        </w:rPr>
      </w:pPr>
      <w:r>
        <w:rPr>
          <w:rFonts w:hint="eastAsia" w:hAnsi="宋体"/>
          <w:color w:val="auto"/>
          <w:sz w:val="24"/>
          <w:szCs w:val="24"/>
          <w:highlight w:val="none"/>
        </w:rPr>
        <w:t xml:space="preserve">□招标结果   </w:t>
      </w:r>
    </w:p>
    <w:p w14:paraId="08DC6A2A">
      <w:pPr>
        <w:pStyle w:val="231"/>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三、质疑事项具体内容</w:t>
      </w:r>
    </w:p>
    <w:p w14:paraId="5098622F">
      <w:pPr>
        <w:pStyle w:val="231"/>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7BC73C8D">
      <w:pPr>
        <w:pStyle w:val="231"/>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009E1DB2">
      <w:pPr>
        <w:pStyle w:val="231"/>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77B661EF">
      <w:pPr>
        <w:pStyle w:val="231"/>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质疑事项2</w:t>
      </w:r>
    </w:p>
    <w:p w14:paraId="5D71B801">
      <w:pPr>
        <w:pStyle w:val="231"/>
        <w:spacing w:line="360" w:lineRule="auto"/>
        <w:ind w:left="25" w:firstLine="472"/>
        <w:rPr>
          <w:rFonts w:hint="eastAsia" w:hAnsi="宋体"/>
          <w:color w:val="auto"/>
          <w:sz w:val="24"/>
          <w:szCs w:val="24"/>
          <w:highlight w:val="none"/>
        </w:rPr>
      </w:pPr>
      <w:r>
        <w:rPr>
          <w:rFonts w:hAnsi="宋体"/>
          <w:color w:val="auto"/>
          <w:sz w:val="24"/>
          <w:szCs w:val="24"/>
          <w:highlight w:val="none"/>
        </w:rPr>
        <w:t>……</w:t>
      </w:r>
    </w:p>
    <w:p w14:paraId="5CC10B47">
      <w:pPr>
        <w:pStyle w:val="231"/>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763649DE">
      <w:pPr>
        <w:pStyle w:val="231"/>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2DF7091D">
      <w:pPr>
        <w:pStyle w:val="231"/>
        <w:spacing w:line="360" w:lineRule="auto"/>
        <w:ind w:left="25" w:firstLine="352"/>
        <w:rPr>
          <w:rFonts w:hint="eastAsia" w:hAnsi="宋体"/>
          <w:color w:val="auto"/>
          <w:sz w:val="24"/>
          <w:szCs w:val="24"/>
          <w:highlight w:val="none"/>
        </w:rPr>
      </w:pPr>
    </w:p>
    <w:p w14:paraId="5551D966">
      <w:pPr>
        <w:pStyle w:val="231"/>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签字（签章）：                                       公章：</w:t>
      </w:r>
    </w:p>
    <w:p w14:paraId="0E1BEFAA">
      <w:pPr>
        <w:pStyle w:val="231"/>
        <w:spacing w:line="360" w:lineRule="auto"/>
        <w:ind w:left="25" w:firstLine="352"/>
        <w:rPr>
          <w:rFonts w:hint="eastAsia" w:hAnsi="宋体"/>
          <w:color w:val="auto"/>
          <w:sz w:val="24"/>
          <w:szCs w:val="24"/>
          <w:highlight w:val="none"/>
        </w:rPr>
      </w:pPr>
    </w:p>
    <w:p w14:paraId="53F863D6">
      <w:pPr>
        <w:pStyle w:val="231"/>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日期：</w:t>
      </w:r>
    </w:p>
    <w:p w14:paraId="706DB938">
      <w:pPr>
        <w:pStyle w:val="231"/>
        <w:spacing w:line="360" w:lineRule="auto"/>
        <w:rPr>
          <w:rFonts w:hint="eastAsia" w:hAnsi="宋体"/>
          <w:b/>
          <w:color w:val="auto"/>
          <w:sz w:val="24"/>
          <w:szCs w:val="24"/>
          <w:highlight w:val="none"/>
        </w:rPr>
      </w:pPr>
    </w:p>
    <w:p w14:paraId="296AD1DB">
      <w:pPr>
        <w:pStyle w:val="231"/>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79C7B66E">
      <w:pPr>
        <w:pStyle w:val="231"/>
        <w:spacing w:line="360" w:lineRule="auto"/>
        <w:ind w:left="25" w:firstLine="354"/>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544F876E">
      <w:pPr>
        <w:pStyle w:val="231"/>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D1FF87B">
      <w:pPr>
        <w:pStyle w:val="231"/>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221BA5B4">
      <w:pPr>
        <w:pStyle w:val="231"/>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79C06872">
      <w:pPr>
        <w:pStyle w:val="231"/>
        <w:spacing w:line="360" w:lineRule="auto"/>
        <w:ind w:left="25" w:firstLine="354"/>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19BD038F">
      <w:pPr>
        <w:spacing w:line="460" w:lineRule="exact"/>
        <w:rPr>
          <w:rFonts w:hint="eastAsia" w:eastAsia="隶书"/>
          <w:color w:val="auto"/>
          <w:sz w:val="44"/>
          <w:highlight w:val="none"/>
        </w:rPr>
      </w:pPr>
    </w:p>
    <w:p w14:paraId="241D8125">
      <w:pPr>
        <w:spacing w:line="360" w:lineRule="auto"/>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lang w:val="en-US" w:eastAsia="zh-CN"/>
        </w:rPr>
        <w:t>5</w:t>
      </w:r>
      <w:r>
        <w:rPr>
          <w:rFonts w:hint="eastAsia" w:ascii="宋体" w:hAnsi="宋体"/>
          <w:b/>
          <w:color w:val="auto"/>
          <w:sz w:val="24"/>
          <w:highlight w:val="none"/>
        </w:rPr>
        <w:t>.投诉书（格式）</w:t>
      </w:r>
    </w:p>
    <w:p w14:paraId="19F955F8">
      <w:pPr>
        <w:spacing w:line="360" w:lineRule="auto"/>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投诉书（格式）</w:t>
      </w:r>
    </w:p>
    <w:p w14:paraId="4B544762">
      <w:pPr>
        <w:pStyle w:val="231"/>
        <w:spacing w:line="360" w:lineRule="auto"/>
        <w:ind w:firstLine="482"/>
        <w:rPr>
          <w:rFonts w:hAnsi="宋体"/>
          <w:b/>
          <w:bCs/>
          <w:color w:val="auto"/>
          <w:sz w:val="24"/>
          <w:szCs w:val="24"/>
          <w:highlight w:val="none"/>
        </w:rPr>
      </w:pPr>
      <w:r>
        <w:rPr>
          <w:rFonts w:hint="eastAsia" w:hAnsi="宋体"/>
          <w:b/>
          <w:bCs/>
          <w:color w:val="auto"/>
          <w:sz w:val="24"/>
          <w:szCs w:val="24"/>
          <w:highlight w:val="none"/>
        </w:rPr>
        <w:t>一、投诉相关主体基本情况：</w:t>
      </w:r>
    </w:p>
    <w:p w14:paraId="542912FA">
      <w:pPr>
        <w:pStyle w:val="231"/>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投标人：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D721F85">
      <w:pPr>
        <w:pStyle w:val="231"/>
        <w:spacing w:line="360" w:lineRule="auto"/>
        <w:ind w:firstLine="480"/>
        <w:jc w:val="left"/>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BFB4F2D">
      <w:pPr>
        <w:pStyle w:val="231"/>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3185D556">
      <w:pPr>
        <w:pStyle w:val="231"/>
        <w:spacing w:line="360" w:lineRule="auto"/>
        <w:ind w:firstLine="480"/>
        <w:jc w:val="left"/>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2E9E9AC">
      <w:pPr>
        <w:pStyle w:val="231"/>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3235C024">
      <w:pPr>
        <w:pStyle w:val="231"/>
        <w:spacing w:line="360" w:lineRule="auto"/>
        <w:ind w:firstLine="48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7A4A566">
      <w:pPr>
        <w:pStyle w:val="231"/>
        <w:spacing w:line="360" w:lineRule="auto"/>
        <w:ind w:firstLine="48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26EBBCC">
      <w:pPr>
        <w:pStyle w:val="231"/>
        <w:spacing w:line="360" w:lineRule="auto"/>
        <w:ind w:firstLine="480"/>
        <w:jc w:val="left"/>
        <w:rPr>
          <w:rFonts w:hint="eastAsia" w:hAnsi="宋体"/>
          <w:bCs/>
          <w:color w:val="auto"/>
          <w:sz w:val="24"/>
          <w:szCs w:val="24"/>
          <w:highlight w:val="none"/>
        </w:rPr>
      </w:pPr>
      <w:r>
        <w:rPr>
          <w:rFonts w:hint="eastAsia" w:hAnsi="宋体"/>
          <w:bCs/>
          <w:color w:val="auto"/>
          <w:sz w:val="24"/>
          <w:szCs w:val="24"/>
          <w:highlight w:val="none"/>
        </w:rPr>
        <w:t>被投诉人1：</w:t>
      </w:r>
    </w:p>
    <w:p w14:paraId="337FF178">
      <w:pPr>
        <w:pStyle w:val="231"/>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2A4E0C0A">
      <w:pPr>
        <w:pStyle w:val="231"/>
        <w:spacing w:line="360" w:lineRule="auto"/>
        <w:ind w:firstLine="48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7F784DF">
      <w:pPr>
        <w:pStyle w:val="231"/>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102060BA">
      <w:pPr>
        <w:pStyle w:val="231"/>
        <w:spacing w:line="360" w:lineRule="auto"/>
        <w:ind w:firstLine="480"/>
        <w:jc w:val="left"/>
        <w:rPr>
          <w:rFonts w:hint="eastAsia" w:hAnsi="宋体"/>
          <w:bCs/>
          <w:color w:val="auto"/>
          <w:sz w:val="24"/>
          <w:szCs w:val="24"/>
          <w:highlight w:val="none"/>
        </w:rPr>
      </w:pPr>
      <w:r>
        <w:rPr>
          <w:rFonts w:hint="eastAsia" w:hAnsi="宋体"/>
          <w:bCs/>
          <w:color w:val="auto"/>
          <w:sz w:val="24"/>
          <w:szCs w:val="24"/>
          <w:highlight w:val="none"/>
        </w:rPr>
        <w:t>被投诉人2：</w:t>
      </w:r>
    </w:p>
    <w:p w14:paraId="2C833157">
      <w:pPr>
        <w:pStyle w:val="231"/>
        <w:spacing w:line="360" w:lineRule="auto"/>
        <w:ind w:firstLine="480"/>
        <w:jc w:val="left"/>
        <w:rPr>
          <w:rFonts w:hint="eastAsia" w:hAnsi="宋体"/>
          <w:bCs/>
          <w:color w:val="auto"/>
          <w:sz w:val="24"/>
          <w:szCs w:val="24"/>
          <w:highlight w:val="none"/>
        </w:rPr>
      </w:pPr>
      <w:r>
        <w:rPr>
          <w:rFonts w:hAnsi="宋体"/>
          <w:bCs/>
          <w:color w:val="auto"/>
          <w:sz w:val="24"/>
          <w:szCs w:val="24"/>
          <w:highlight w:val="none"/>
        </w:rPr>
        <w:t>……</w:t>
      </w:r>
    </w:p>
    <w:p w14:paraId="4DC34B13">
      <w:pPr>
        <w:pStyle w:val="231"/>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7A2DEBC4">
      <w:pPr>
        <w:pStyle w:val="231"/>
        <w:spacing w:line="360" w:lineRule="auto"/>
        <w:ind w:firstLine="48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8F20360">
      <w:pPr>
        <w:pStyle w:val="231"/>
        <w:spacing w:line="360" w:lineRule="auto"/>
        <w:ind w:firstLine="480"/>
        <w:jc w:val="left"/>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CF91A3F">
      <w:pPr>
        <w:pStyle w:val="231"/>
        <w:spacing w:line="360" w:lineRule="auto"/>
        <w:ind w:firstLine="482"/>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681F6BD5">
      <w:pPr>
        <w:pStyle w:val="231"/>
        <w:spacing w:line="360" w:lineRule="auto"/>
        <w:ind w:left="25" w:firstLine="472"/>
        <w:rPr>
          <w:rFonts w:hAnsi="宋体"/>
          <w:color w:val="auto"/>
          <w:sz w:val="24"/>
          <w:szCs w:val="24"/>
          <w:highlight w:val="none"/>
        </w:rPr>
      </w:pPr>
      <w:r>
        <w:rPr>
          <w:rFonts w:hint="eastAsia" w:hAnsi="宋体"/>
          <w:color w:val="auto"/>
          <w:sz w:val="24"/>
          <w:szCs w:val="24"/>
          <w:highlight w:val="none"/>
        </w:rPr>
        <w:t>招标项目的名称：</w:t>
      </w:r>
      <w:r>
        <w:rPr>
          <w:rFonts w:hint="eastAsia" w:hAnsi="宋体"/>
          <w:bCs/>
          <w:color w:val="auto"/>
          <w:sz w:val="24"/>
          <w:szCs w:val="24"/>
          <w:highlight w:val="none"/>
          <w:u w:val="single"/>
        </w:rPr>
        <w:t xml:space="preserve">                                                                   </w:t>
      </w:r>
    </w:p>
    <w:p w14:paraId="1446B550">
      <w:pPr>
        <w:pStyle w:val="231"/>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招标项目的编号：</w:t>
      </w:r>
      <w:r>
        <w:rPr>
          <w:rFonts w:hint="eastAsia" w:hAnsi="宋体"/>
          <w:bCs/>
          <w:color w:val="auto"/>
          <w:sz w:val="24"/>
          <w:szCs w:val="24"/>
          <w:highlight w:val="none"/>
          <w:u w:val="single"/>
        </w:rPr>
        <w:t xml:space="preserve">                                          </w:t>
      </w:r>
    </w:p>
    <w:p w14:paraId="6A7F0362">
      <w:pPr>
        <w:pStyle w:val="231"/>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60E03A78">
      <w:pPr>
        <w:pStyle w:val="231"/>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0840EF5A">
      <w:pPr>
        <w:pStyle w:val="231"/>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招标</w:t>
      </w:r>
      <w:r>
        <w:rPr>
          <w:rFonts w:hint="eastAsia" w:hAnsi="宋体"/>
          <w:bCs/>
          <w:color w:val="auto"/>
          <w:sz w:val="24"/>
          <w:szCs w:val="24"/>
          <w:highlight w:val="none"/>
        </w:rPr>
        <w:t>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0E7FBDF5">
      <w:pPr>
        <w:pStyle w:val="231"/>
        <w:spacing w:line="360" w:lineRule="auto"/>
        <w:ind w:left="25" w:firstLine="472"/>
        <w:rPr>
          <w:rFonts w:hint="eastAsia" w:hAnsi="宋体"/>
          <w:b/>
          <w:color w:val="auto"/>
          <w:sz w:val="24"/>
          <w:szCs w:val="24"/>
          <w:highlight w:val="none"/>
        </w:rPr>
      </w:pPr>
      <w:r>
        <w:rPr>
          <w:rFonts w:hint="eastAsia" w:hAnsi="宋体"/>
          <w:color w:val="auto"/>
          <w:sz w:val="24"/>
          <w:highlight w:val="none"/>
        </w:rPr>
        <w:t>招标</w:t>
      </w:r>
      <w:r>
        <w:rPr>
          <w:rFonts w:hint="eastAsia" w:hAnsi="宋体"/>
          <w:bCs/>
          <w:color w:val="auto"/>
          <w:sz w:val="24"/>
          <w:highlight w:val="none"/>
        </w:rPr>
        <w:t>结果公告：</w:t>
      </w:r>
      <w:r>
        <w:rPr>
          <w:rFonts w:hint="eastAsia" w:hAnsi="宋体"/>
          <w:bCs/>
          <w:color w:val="auto"/>
          <w:sz w:val="24"/>
          <w:highlight w:val="none"/>
          <w:u w:val="single"/>
        </w:rPr>
        <w:t>是</w:t>
      </w:r>
      <w:r>
        <w:rPr>
          <w:rFonts w:hAnsi="宋体"/>
          <w:bCs/>
          <w:color w:val="auto"/>
          <w:sz w:val="24"/>
          <w:highlight w:val="none"/>
          <w:u w:val="single"/>
        </w:rPr>
        <w:t>/</w:t>
      </w:r>
      <w:r>
        <w:rPr>
          <w:rFonts w:hint="eastAsia" w:hAnsi="宋体"/>
          <w:bCs/>
          <w:color w:val="auto"/>
          <w:sz w:val="24"/>
          <w:highlight w:val="none"/>
          <w:u w:val="single"/>
        </w:rPr>
        <w:t>否</w:t>
      </w:r>
      <w:r>
        <w:rPr>
          <w:rFonts w:hint="eastAsia" w:hAnsi="宋体"/>
          <w:bCs/>
          <w:color w:val="auto"/>
          <w:sz w:val="24"/>
          <w:highlight w:val="none"/>
        </w:rPr>
        <w:t>公告期限：</w:t>
      </w:r>
      <w:r>
        <w:rPr>
          <w:rFonts w:hAnsi="宋体"/>
          <w:bCs/>
          <w:color w:val="auto"/>
          <w:sz w:val="24"/>
          <w:highlight w:val="none"/>
          <w:u w:val="single"/>
        </w:rPr>
        <w:t xml:space="preserve">                                      </w:t>
      </w:r>
      <w:r>
        <w:rPr>
          <w:rFonts w:hint="eastAsia" w:hAnsi="宋体"/>
          <w:bCs/>
          <w:color w:val="auto"/>
          <w:sz w:val="24"/>
          <w:szCs w:val="24"/>
          <w:highlight w:val="none"/>
          <w:u w:val="single"/>
        </w:rPr>
        <w:t xml:space="preserve">              </w:t>
      </w:r>
    </w:p>
    <w:p w14:paraId="54C9FE02">
      <w:pPr>
        <w:pStyle w:val="231"/>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三、质疑基本情况</w:t>
      </w:r>
    </w:p>
    <w:p w14:paraId="7F2A9203">
      <w:pPr>
        <w:pStyle w:val="231"/>
        <w:spacing w:line="360" w:lineRule="auto"/>
        <w:ind w:left="25" w:firstLine="48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6C8DC9E0">
      <w:pPr>
        <w:pStyle w:val="231"/>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1536D801">
      <w:pPr>
        <w:pStyle w:val="231"/>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13C13E27">
      <w:pPr>
        <w:pStyle w:val="231"/>
        <w:spacing w:line="360" w:lineRule="auto"/>
        <w:ind w:firstLine="48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06014444">
      <w:pPr>
        <w:pStyle w:val="231"/>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四、投诉事项具体内容</w:t>
      </w:r>
    </w:p>
    <w:p w14:paraId="16A333DD">
      <w:pPr>
        <w:pStyle w:val="231"/>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4C11A441">
      <w:pPr>
        <w:pStyle w:val="231"/>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C5835A1">
      <w:pPr>
        <w:pStyle w:val="231"/>
        <w:spacing w:line="360" w:lineRule="auto"/>
        <w:ind w:left="25" w:firstLine="472"/>
        <w:rPr>
          <w:rFonts w:hint="eastAsia" w:hAnsi="宋体"/>
          <w:color w:val="auto"/>
          <w:sz w:val="24"/>
          <w:szCs w:val="24"/>
          <w:highlight w:val="none"/>
        </w:rPr>
      </w:pPr>
      <w:r>
        <w:rPr>
          <w:rFonts w:hint="eastAsia" w:hAnsi="宋体"/>
          <w:bCs/>
          <w:color w:val="auto"/>
          <w:sz w:val="24"/>
          <w:szCs w:val="24"/>
          <w:highlight w:val="none"/>
          <w:u w:val="single"/>
        </w:rPr>
        <w:t xml:space="preserve">                                                                                        </w:t>
      </w:r>
    </w:p>
    <w:p w14:paraId="6A7C2B9F">
      <w:pPr>
        <w:pStyle w:val="231"/>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5CD5D9F4">
      <w:pPr>
        <w:pStyle w:val="231"/>
        <w:spacing w:line="360" w:lineRule="auto"/>
        <w:ind w:left="25" w:firstLine="352"/>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31E99F68">
      <w:pPr>
        <w:pStyle w:val="231"/>
        <w:spacing w:line="360" w:lineRule="auto"/>
        <w:ind w:left="25" w:firstLine="472"/>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617D94AA">
      <w:pPr>
        <w:pStyle w:val="231"/>
        <w:spacing w:line="360" w:lineRule="auto"/>
        <w:ind w:left="25" w:firstLine="472"/>
        <w:rPr>
          <w:rFonts w:hint="eastAsia" w:hAnsi="宋体"/>
          <w:bCs/>
          <w:color w:val="auto"/>
          <w:sz w:val="24"/>
          <w:szCs w:val="24"/>
          <w:highlight w:val="none"/>
        </w:rPr>
      </w:pPr>
      <w:r>
        <w:rPr>
          <w:rFonts w:hAnsi="宋体"/>
          <w:bCs/>
          <w:color w:val="auto"/>
          <w:sz w:val="24"/>
          <w:szCs w:val="24"/>
          <w:highlight w:val="none"/>
        </w:rPr>
        <w:t>……</w:t>
      </w:r>
    </w:p>
    <w:p w14:paraId="2A6C5995">
      <w:pPr>
        <w:pStyle w:val="231"/>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593C9585">
      <w:pPr>
        <w:pStyle w:val="231"/>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7248295B">
      <w:pPr>
        <w:pStyle w:val="231"/>
        <w:spacing w:line="360" w:lineRule="auto"/>
        <w:ind w:left="25" w:firstLine="352"/>
        <w:rPr>
          <w:rFonts w:hint="eastAsia" w:hAnsi="宋体"/>
          <w:color w:val="auto"/>
          <w:sz w:val="24"/>
          <w:szCs w:val="24"/>
          <w:highlight w:val="none"/>
        </w:rPr>
      </w:pPr>
    </w:p>
    <w:p w14:paraId="51C0B2D2">
      <w:pPr>
        <w:pStyle w:val="231"/>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签字（签章）：                                       公章：</w:t>
      </w:r>
    </w:p>
    <w:p w14:paraId="3665DF03">
      <w:pPr>
        <w:pStyle w:val="231"/>
        <w:spacing w:line="360" w:lineRule="auto"/>
        <w:ind w:left="25" w:firstLine="352"/>
        <w:rPr>
          <w:rFonts w:hint="eastAsia" w:hAnsi="宋体"/>
          <w:color w:val="auto"/>
          <w:sz w:val="24"/>
          <w:szCs w:val="24"/>
          <w:highlight w:val="none"/>
        </w:rPr>
      </w:pPr>
    </w:p>
    <w:p w14:paraId="301A804C">
      <w:pPr>
        <w:pStyle w:val="231"/>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日期：</w:t>
      </w:r>
    </w:p>
    <w:p w14:paraId="113D306A">
      <w:pPr>
        <w:pStyle w:val="231"/>
        <w:spacing w:line="360" w:lineRule="auto"/>
        <w:ind w:left="25" w:firstLine="472"/>
        <w:rPr>
          <w:rFonts w:hint="eastAsia" w:hAnsi="宋体"/>
          <w:b/>
          <w:color w:val="auto"/>
          <w:sz w:val="24"/>
          <w:szCs w:val="24"/>
          <w:highlight w:val="none"/>
        </w:rPr>
      </w:pPr>
      <w:r>
        <w:rPr>
          <w:rFonts w:hint="eastAsia" w:hAnsi="宋体"/>
          <w:bCs/>
          <w:color w:val="auto"/>
          <w:sz w:val="24"/>
          <w:szCs w:val="24"/>
          <w:highlight w:val="none"/>
        </w:rPr>
        <w:t xml:space="preserve">                                                                                </w:t>
      </w:r>
      <w:r>
        <w:rPr>
          <w:rFonts w:hint="eastAsia" w:hAnsi="宋体"/>
          <w:b/>
          <w:color w:val="auto"/>
          <w:sz w:val="24"/>
          <w:szCs w:val="24"/>
          <w:highlight w:val="none"/>
        </w:rPr>
        <w:t>说明：</w:t>
      </w:r>
    </w:p>
    <w:p w14:paraId="48DAC0EB">
      <w:pPr>
        <w:pStyle w:val="231"/>
        <w:spacing w:line="360" w:lineRule="auto"/>
        <w:ind w:left="25" w:firstLine="354"/>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6FAA918F">
      <w:pPr>
        <w:pStyle w:val="231"/>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511410C">
      <w:pPr>
        <w:pStyle w:val="231"/>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40F70B2F">
      <w:pPr>
        <w:pStyle w:val="231"/>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38A145EA">
      <w:pPr>
        <w:pStyle w:val="231"/>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1A1E33DE">
      <w:pPr>
        <w:pStyle w:val="231"/>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footerReference r:id="rId15" w:type="first"/>
      <w:headerReference r:id="rId12" w:type="default"/>
      <w:footerReference r:id="rId13" w:type="default"/>
      <w:footerReference r:id="rId14" w:type="even"/>
      <w:pgSz w:w="11906" w:h="16838"/>
      <w:pgMar w:top="1134" w:right="1503" w:bottom="1559" w:left="1678" w:header="851" w:footer="992" w:gutter="0"/>
      <w:pgBorders>
        <w:top w:val="none" w:sz="0" w:space="0"/>
        <w:left w:val="none" w:sz="0" w:space="0"/>
        <w:bottom w:val="none" w:sz="0" w:space="0"/>
        <w:right w:val="none" w:sz="0" w:space="0"/>
      </w:pgBorders>
      <w:cols w:space="1701"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panose1 w:val="02040604050505020304"/>
    <w:charset w:val="00"/>
    <w:family w:val="auto"/>
    <w:pitch w:val="default"/>
    <w:sig w:usb0="00000287" w:usb1="00000000" w:usb2="00000000" w:usb3="00000000" w:csb0="2000009F" w:csb1="DFD7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 w:name="Segoe UI Symbol">
    <w:panose1 w:val="020B0502040204020203"/>
    <w:charset w:val="00"/>
    <w:family w:val="auto"/>
    <w:pitch w:val="default"/>
    <w:sig w:usb0="8000006F" w:usb1="1200FBEF" w:usb2="0064C000" w:usb3="00000002" w:csb0="00000001" w:csb1="4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方正仿宋_GBK">
    <w:altName w:val="微软雅黑"/>
    <w:panose1 w:val="020B0603030804020204"/>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854FC">
    <w:pPr>
      <w:pStyle w:val="24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308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0B7D5AA8">
                          <w:pPr>
                            <w:pStyle w:val="24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308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DQuOp/FAQAAqAMAAA4AAAAAAAAAAQAgAAAAHgEAAGRycy9lMm9Eb2MueG1s&#10;UEsFBgAAAAAGAAYAWQEAAFUFAAAAAA==&#10;">
              <v:fill on="f" focussize="0,0"/>
              <v:stroke on="f"/>
              <v:imagedata o:title=""/>
              <o:lock v:ext="edit" aspectratio="f"/>
              <v:textbox inset="0mm,0mm,0mm,0mm" style="mso-fit-shape-to-text:t;">
                <w:txbxContent>
                  <w:p w14:paraId="0B7D5AA8">
                    <w:pPr>
                      <w:pStyle w:val="24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71CC0">
    <w:pPr>
      <w:pStyle w:val="242"/>
      <w:ind w:right="360"/>
      <w:jc w:val="both"/>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_x0000_s307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4B1A5F7F">
                          <w:pPr>
                            <w:pStyle w:val="242"/>
                          </w:pPr>
                          <w:r>
                            <w:fldChar w:fldCharType="begin"/>
                          </w:r>
                          <w:r>
                            <w:instrText xml:space="preserve"> PAGE  \* MERGEFORMAT </w:instrText>
                          </w:r>
                          <w:r>
                            <w:fldChar w:fldCharType="separate"/>
                          </w:r>
                          <w:r>
                            <w:t>121</w:t>
                          </w:r>
                          <w:r>
                            <w:fldChar w:fldCharType="end"/>
                          </w:r>
                        </w:p>
                      </w:txbxContent>
                    </wps:txbx>
                    <wps:bodyPr wrap="none" lIns="0" tIns="0" rIns="0" bIns="0" upright="1">
                      <a:spAutoFit/>
                    </wps:bodyPr>
                  </wps:wsp>
                </a:graphicData>
              </a:graphic>
            </wp:anchor>
          </w:drawing>
        </mc:Choice>
        <mc:Fallback>
          <w:pict>
            <v:shape id="_x0000_s307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RwfPj8cBAACoAwAADgAAAAAAAAABACAAAAAeAQAAZHJzL2Uyb0RvYy54&#10;bWxQSwUGAAAAAAYABgBZAQAAVwUAAAAA&#10;">
              <v:fill on="f" focussize="0,0"/>
              <v:stroke on="f"/>
              <v:imagedata o:title=""/>
              <o:lock v:ext="edit" aspectratio="f"/>
              <v:textbox inset="0mm,0mm,0mm,0mm" style="mso-fit-shape-to-text:t;">
                <w:txbxContent>
                  <w:p w14:paraId="4B1A5F7F">
                    <w:pPr>
                      <w:pStyle w:val="242"/>
                    </w:pPr>
                    <w:r>
                      <w:fldChar w:fldCharType="begin"/>
                    </w:r>
                    <w:r>
                      <w:instrText xml:space="preserve"> PAGE  \* MERGEFORMAT </w:instrText>
                    </w:r>
                    <w:r>
                      <w:fldChar w:fldCharType="separate"/>
                    </w:r>
                    <w:r>
                      <w:t>121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D73A9">
    <w:pPr>
      <w:pStyle w:val="242"/>
      <w:ind w:firstLine="420"/>
      <w:jc w:val="center"/>
    </w:pPr>
    <w:r>
      <w:fldChar w:fldCharType="begin"/>
    </w:r>
    <w:r>
      <w:instrText xml:space="preserve"> PAGE   \* MERGEFORMAT </w:instrText>
    </w:r>
    <w:r>
      <w:fldChar w:fldCharType="separate"/>
    </w:r>
    <w:r>
      <w:rPr>
        <w:lang w:val="zh-CN"/>
      </w:rPr>
      <w:t>4</w:t>
    </w:r>
    <w:r>
      <w:fldChar w:fldCharType="end"/>
    </w:r>
  </w:p>
  <w:p w14:paraId="754C836A">
    <w:pPr>
      <w:pStyle w:val="24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5FB13">
    <w:pPr>
      <w:pStyle w:val="24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307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CB2EF0D">
                          <w:pPr>
                            <w:pStyle w:val="242"/>
                          </w:pPr>
                          <w:r>
                            <w:fldChar w:fldCharType="begin"/>
                          </w:r>
                          <w:r>
                            <w:instrText xml:space="preserve"> PAGE  \* MERGEFORMAT </w:instrText>
                          </w:r>
                          <w:r>
                            <w:fldChar w:fldCharType="separate"/>
                          </w:r>
                          <w:r>
                            <w:t>33</w:t>
                          </w:r>
                          <w:r>
                            <w:fldChar w:fldCharType="end"/>
                          </w:r>
                        </w:p>
                      </w:txbxContent>
                    </wps:txbx>
                    <wps:bodyPr wrap="none" lIns="0" tIns="0" rIns="0" bIns="0" upright="1">
                      <a:spAutoFit/>
                    </wps:bodyPr>
                  </wps:wsp>
                </a:graphicData>
              </a:graphic>
            </wp:anchor>
          </w:drawing>
        </mc:Choice>
        <mc:Fallback>
          <w:pict>
            <v:shape id="_x0000_s307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RfnZJccBAACoAwAADgAAAAAAAAABACAAAAAeAQAAZHJzL2Uyb0RvYy54&#10;bWxQSwUGAAAAAAYABgBZAQAAVwUAAAAA&#10;">
              <v:fill on="f" focussize="0,0"/>
              <v:stroke on="f"/>
              <v:imagedata o:title=""/>
              <o:lock v:ext="edit" aspectratio="f"/>
              <v:textbox inset="0mm,0mm,0mm,0mm" style="mso-fit-shape-to-text:t;">
                <w:txbxContent>
                  <w:p w14:paraId="2CB2EF0D">
                    <w:pPr>
                      <w:pStyle w:val="242"/>
                    </w:pPr>
                    <w:r>
                      <w:fldChar w:fldCharType="begin"/>
                    </w:r>
                    <w:r>
                      <w:instrText xml:space="preserve"> PAGE  \* MERGEFORMAT </w:instrText>
                    </w:r>
                    <w:r>
                      <w:fldChar w:fldCharType="separate"/>
                    </w:r>
                    <w:r>
                      <w:t>33</w:t>
                    </w:r>
                    <w:r>
                      <w:fldChar w:fldCharType="end"/>
                    </w:r>
                  </w:p>
                </w:txbxContent>
              </v:textbox>
            </v:shape>
          </w:pict>
        </mc:Fallback>
      </mc:AlternateContent>
    </w:r>
  </w:p>
  <w:p w14:paraId="7FE70083">
    <w:pPr>
      <w:pStyle w:val="24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6F6D6">
    <w:pPr>
      <w:pStyle w:val="24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_x0000_s3080"/>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1AD7626C">
                          <w:pPr>
                            <w:pStyle w:val="242"/>
                          </w:pPr>
                          <w:r>
                            <w:fldChar w:fldCharType="begin"/>
                          </w:r>
                          <w:r>
                            <w:instrText xml:space="preserve"> PAGE  \* MERGEFORMAT </w:instrText>
                          </w:r>
                          <w:r>
                            <w:fldChar w:fldCharType="separate"/>
                          </w:r>
                          <w:r>
                            <w:t>31</w:t>
                          </w:r>
                          <w:r>
                            <w:fldChar w:fldCharType="end"/>
                          </w:r>
                        </w:p>
                      </w:txbxContent>
                    </wps:txbx>
                    <wps:bodyPr wrap="none" lIns="0" tIns="0" rIns="0" bIns="0" upright="1">
                      <a:spAutoFit/>
                    </wps:bodyPr>
                  </wps:wsp>
                </a:graphicData>
              </a:graphic>
            </wp:anchor>
          </w:drawing>
        </mc:Choice>
        <mc:Fallback>
          <w:pict>
            <v:shape id="_x0000_s308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7ZwjVxgEAAKgDAAAOAAAAAAAAAAEAIAAAAB4BAABkcnMvZTJvRG9jLnht&#10;bFBLBQYAAAAABgAGAFkBAABWBQAAAAA=&#10;">
              <v:fill on="f" focussize="0,0"/>
              <v:stroke on="f"/>
              <v:imagedata o:title=""/>
              <o:lock v:ext="edit" aspectratio="f"/>
              <v:textbox inset="0mm,0mm,0mm,0mm" style="mso-fit-shape-to-text:t;">
                <w:txbxContent>
                  <w:p w14:paraId="1AD7626C">
                    <w:pPr>
                      <w:pStyle w:val="242"/>
                    </w:pPr>
                    <w:r>
                      <w:fldChar w:fldCharType="begin"/>
                    </w:r>
                    <w:r>
                      <w:instrText xml:space="preserve"> PAGE  \* MERGEFORMAT </w:instrText>
                    </w:r>
                    <w:r>
                      <w:fldChar w:fldCharType="separate"/>
                    </w:r>
                    <w:r>
                      <w:t>31</w:t>
                    </w:r>
                    <w:r>
                      <w:fldChar w:fldCharType="end"/>
                    </w:r>
                  </w:p>
                </w:txbxContent>
              </v:textbox>
            </v:shape>
          </w:pict>
        </mc:Fallback>
      </mc:AlternateContent>
    </w:r>
  </w:p>
  <w:p w14:paraId="1612898D">
    <w:pPr>
      <w:pStyle w:val="24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14797">
    <w:pPr>
      <w:pStyle w:val="24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_x0000_s307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651A74CD">
                          <w:pPr>
                            <w:pStyle w:val="242"/>
                          </w:pPr>
                          <w:r>
                            <w:fldChar w:fldCharType="begin"/>
                          </w:r>
                          <w:r>
                            <w:instrText xml:space="preserve"> PAGE  \* MERGEFORMAT </w:instrText>
                          </w:r>
                          <w:r>
                            <w:fldChar w:fldCharType="separate"/>
                          </w:r>
                          <w:r>
                            <w:t>89</w:t>
                          </w:r>
                          <w:r>
                            <w:fldChar w:fldCharType="end"/>
                          </w:r>
                        </w:p>
                      </w:txbxContent>
                    </wps:txbx>
                    <wps:bodyPr wrap="none" lIns="0" tIns="0" rIns="0" bIns="0" upright="1">
                      <a:spAutoFit/>
                    </wps:bodyPr>
                  </wps:wsp>
                </a:graphicData>
              </a:graphic>
            </wp:anchor>
          </w:drawing>
        </mc:Choice>
        <mc:Fallback>
          <w:pict>
            <v:shape id="_x0000_s307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I8XyzIAQAAqAMAAA4AAAAAAAAAAQAgAAAAHgEAAGRycy9lMm9Eb2Mu&#10;eG1sUEsFBgAAAAAGAAYAWQEAAFgFAAAAAA==&#10;">
              <v:fill on="f" focussize="0,0"/>
              <v:stroke on="f"/>
              <v:imagedata o:title=""/>
              <o:lock v:ext="edit" aspectratio="f"/>
              <v:textbox inset="0mm,0mm,0mm,0mm" style="mso-fit-shape-to-text:t;">
                <w:txbxContent>
                  <w:p w14:paraId="651A74CD">
                    <w:pPr>
                      <w:pStyle w:val="242"/>
                    </w:pPr>
                    <w:r>
                      <w:fldChar w:fldCharType="begin"/>
                    </w:r>
                    <w:r>
                      <w:instrText xml:space="preserve"> PAGE  \* MERGEFORMAT </w:instrText>
                    </w:r>
                    <w:r>
                      <w:fldChar w:fldCharType="separate"/>
                    </w:r>
                    <w:r>
                      <w:t>89</w:t>
                    </w:r>
                    <w:r>
                      <w:fldChar w:fldCharType="end"/>
                    </w:r>
                  </w:p>
                </w:txbxContent>
              </v:textbox>
            </v:shape>
          </w:pict>
        </mc:Fallback>
      </mc:AlternateContent>
    </w:r>
  </w:p>
  <w:p w14:paraId="4DF9F0D2">
    <w:pPr>
      <w:pStyle w:val="24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86F74">
    <w:pPr>
      <w:pStyle w:val="242"/>
      <w:framePr w:wrap="around" w:vAnchor="text" w:hAnchor="margin" w:xAlign="center" w:y="1"/>
      <w:rPr>
        <w:rStyle w:val="269"/>
      </w:rPr>
    </w:pPr>
    <w:r>
      <w:fldChar w:fldCharType="begin"/>
    </w:r>
    <w:r>
      <w:rPr>
        <w:rStyle w:val="269"/>
      </w:rPr>
      <w:instrText xml:space="preserve">PAGE  </w:instrText>
    </w:r>
    <w:r>
      <w:fldChar w:fldCharType="end"/>
    </w:r>
  </w:p>
  <w:p w14:paraId="752C3051">
    <w:pPr>
      <w:pStyle w:val="24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75C07">
    <w:pPr>
      <w:pStyle w:val="242"/>
      <w:framePr w:wrap="around" w:vAnchor="text" w:hAnchor="margin" w:xAlign="right" w:y="1"/>
      <w:rPr>
        <w:rStyle w:val="269"/>
      </w:rPr>
    </w:pPr>
    <w:r>
      <w:fldChar w:fldCharType="begin"/>
    </w:r>
    <w:r>
      <w:rPr>
        <w:rStyle w:val="269"/>
      </w:rPr>
      <w:instrText xml:space="preserve">PAGE  </w:instrText>
    </w:r>
    <w:r>
      <w:fldChar w:fldCharType="separate"/>
    </w:r>
    <w:r>
      <w:rPr>
        <w:rStyle w:val="269"/>
      </w:rPr>
      <w:t>122</w:t>
    </w:r>
    <w:r>
      <w:fldChar w:fldCharType="end"/>
    </w:r>
  </w:p>
  <w:p w14:paraId="2581B114">
    <w:pPr>
      <w:pStyle w:val="242"/>
      <w:ind w:right="360"/>
      <w:jc w:val="both"/>
      <w:rPr>
        <w:rFonts w:hint="eastAsia"/>
      </w:rPr>
    </w:pPr>
    <w:r>
      <w:rPr>
        <w:rFonts w:hint="eastAsia"/>
      </w:rPr>
      <w:t>121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1704C">
    <w:pPr>
      <w:pStyle w:val="24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_x0000_s307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22AED82">
                          <w:pPr>
                            <w:pStyle w:val="242"/>
                          </w:pPr>
                          <w:r>
                            <w:fldChar w:fldCharType="begin"/>
                          </w:r>
                          <w:r>
                            <w:instrText xml:space="preserve"> PAGE  \* MERGEFORMAT </w:instrText>
                          </w:r>
                          <w:r>
                            <w:fldChar w:fldCharType="separate"/>
                          </w:r>
                          <w:r>
                            <w:t>125</w:t>
                          </w:r>
                          <w:r>
                            <w:fldChar w:fldCharType="end"/>
                          </w:r>
                        </w:p>
                      </w:txbxContent>
                    </wps:txbx>
                    <wps:bodyPr wrap="none" lIns="0" tIns="0" rIns="0" bIns="0" upright="1">
                      <a:spAutoFit/>
                    </wps:bodyPr>
                  </wps:wsp>
                </a:graphicData>
              </a:graphic>
            </wp:anchor>
          </w:drawing>
        </mc:Choice>
        <mc:Fallback>
          <w:pict>
            <v:shape id="_x0000_s307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Wb/uTIAQAAqAMAAA4AAAAAAAAAAQAgAAAAHgEAAGRycy9lMm9Eb2Mu&#10;eG1sUEsFBgAAAAAGAAYAWQEAAFgFAAAAAA==&#10;">
              <v:fill on="f" focussize="0,0"/>
              <v:stroke on="f"/>
              <v:imagedata o:title=""/>
              <o:lock v:ext="edit" aspectratio="f"/>
              <v:textbox inset="0mm,0mm,0mm,0mm" style="mso-fit-shape-to-text:t;">
                <w:txbxContent>
                  <w:p w14:paraId="222AED82">
                    <w:pPr>
                      <w:pStyle w:val="242"/>
                    </w:pPr>
                    <w:r>
                      <w:fldChar w:fldCharType="begin"/>
                    </w:r>
                    <w:r>
                      <w:instrText xml:space="preserve"> PAGE  \* MERGEFORMAT </w:instrText>
                    </w:r>
                    <w:r>
                      <w:fldChar w:fldCharType="separate"/>
                    </w:r>
                    <w:r>
                      <w:t>125</w:t>
                    </w:r>
                    <w:r>
                      <w:fldChar w:fldCharType="end"/>
                    </w:r>
                  </w:p>
                </w:txbxContent>
              </v:textbox>
            </v:shape>
          </w:pict>
        </mc:Fallback>
      </mc:AlternateContent>
    </w:r>
  </w:p>
  <w:p w14:paraId="4B6CCB2E">
    <w:pPr>
      <w:pStyle w:val="24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9E841">
    <w:pPr>
      <w:pStyle w:val="242"/>
      <w:framePr w:wrap="around" w:vAnchor="text" w:hAnchor="margin" w:xAlign="center" w:y="1"/>
      <w:rPr>
        <w:rStyle w:val="269"/>
      </w:rPr>
    </w:pPr>
    <w:r>
      <w:fldChar w:fldCharType="begin"/>
    </w:r>
    <w:r>
      <w:rPr>
        <w:rStyle w:val="269"/>
      </w:rPr>
      <w:instrText xml:space="preserve">PAGE  </w:instrText>
    </w:r>
    <w:r>
      <w:fldChar w:fldCharType="end"/>
    </w:r>
  </w:p>
  <w:p w14:paraId="14C4A7BB">
    <w:pPr>
      <w:pStyle w:val="24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08F33">
    <w:pPr>
      <w:pStyle w:val="244"/>
      <w:pBdr>
        <w:bottom w:val="none" w:color="000000"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205E3">
    <w:pPr>
      <w:pStyle w:val="244"/>
      <w:pBdr>
        <w:bottom w:val="none" w:color="000000"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1C33D">
    <w:pPr>
      <w:pStyle w:val="244"/>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929B5C"/>
    <w:multiLevelType w:val="multilevel"/>
    <w:tmpl w:val="9D929B5C"/>
    <w:lvl w:ilvl="0" w:tentative="0">
      <w:start w:val="1"/>
      <w:numFmt w:val="decimal"/>
      <w:lvlText w:val="%1."/>
      <w:lvlJc w:val="left"/>
      <w:pPr>
        <w:tabs>
          <w:tab w:val="left" w:pos="312"/>
        </w:tabs>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AE0171D3"/>
    <w:multiLevelType w:val="multilevel"/>
    <w:tmpl w:val="AE0171D3"/>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CDC3758D"/>
    <w:multiLevelType w:val="multilevel"/>
    <w:tmpl w:val="CDC3758D"/>
    <w:lvl w:ilvl="0" w:tentative="0">
      <w:start w:val="2"/>
      <w:numFmt w:val="chineseCounting"/>
      <w:suff w:val="nothing"/>
      <w:lvlText w:val="（%1）"/>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D524EA48"/>
    <w:multiLevelType w:val="singleLevel"/>
    <w:tmpl w:val="D524EA48"/>
    <w:lvl w:ilvl="0" w:tentative="0">
      <w:start w:val="11"/>
      <w:numFmt w:val="decimal"/>
      <w:suff w:val="nothing"/>
      <w:lvlText w:val="%1、"/>
      <w:lvlJc w:val="left"/>
      <w:pPr>
        <w:ind w:left="262" w:leftChars="0" w:firstLine="0" w:firstLineChars="0"/>
      </w:pPr>
    </w:lvl>
  </w:abstractNum>
  <w:abstractNum w:abstractNumId="4">
    <w:nsid w:val="FFFFFF7E"/>
    <w:multiLevelType w:val="multilevel"/>
    <w:tmpl w:val="FFFFFF7E"/>
    <w:lvl w:ilvl="0" w:tentative="0">
      <w:start w:val="1"/>
      <w:numFmt w:val="decimal"/>
      <w:pStyle w:val="226"/>
      <w:lvlText w:val="%1."/>
      <w:lvlJc w:val="left"/>
      <w:pPr>
        <w:tabs>
          <w:tab w:val="left" w:pos="1200"/>
        </w:tabs>
        <w:ind w:left="1200" w:hanging="360"/>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5">
    <w:nsid w:val="23C5C101"/>
    <w:multiLevelType w:val="multilevel"/>
    <w:tmpl w:val="23C5C101"/>
    <w:lvl w:ilvl="0" w:tentative="0">
      <w:start w:val="1"/>
      <w:numFmt w:val="decimal"/>
      <w:pStyle w:val="336"/>
      <w:lvlText w:val="%1."/>
      <w:lvlJc w:val="left"/>
      <w:pPr>
        <w:tabs>
          <w:tab w:val="left" w:pos="312"/>
        </w:tabs>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6">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decimal"/>
      <w:suff w:val="nothing"/>
      <w:lvlText w:val=""/>
      <w:lvlJc w:val="left"/>
      <w:pPr>
        <w:ind w:left="0" w:firstLine="0"/>
      </w:pPr>
      <w:rPr>
        <w:rFonts w:hint="eastAsia"/>
      </w:rPr>
    </w:lvl>
    <w:lvl w:ilvl="2" w:tentative="0">
      <w:start w:val="1"/>
      <w:numFmt w:val="decimal"/>
      <w:suff w:val="nothing"/>
      <w:lvlText w:val=""/>
      <w:lvlJc w:val="left"/>
      <w:pPr>
        <w:ind w:left="0" w:firstLine="0"/>
      </w:pPr>
      <w:rPr>
        <w:rFonts w:hint="eastAsia"/>
      </w:rPr>
    </w:lvl>
    <w:lvl w:ilvl="3" w:tentative="0">
      <w:start w:val="1"/>
      <w:numFmt w:val="decimal"/>
      <w:suff w:val="nothing"/>
      <w:lvlText w:val=""/>
      <w:lvlJc w:val="left"/>
      <w:pPr>
        <w:ind w:left="0" w:firstLine="0"/>
      </w:pPr>
      <w:rPr>
        <w:rFonts w:hint="eastAsia"/>
      </w:rPr>
    </w:lvl>
    <w:lvl w:ilvl="4" w:tentative="0">
      <w:start w:val="1"/>
      <w:numFmt w:val="decimal"/>
      <w:pStyle w:val="198"/>
      <w:suff w:val="nothing"/>
      <w:lvlText w:val=""/>
      <w:lvlJc w:val="left"/>
      <w:pPr>
        <w:ind w:left="0" w:firstLine="0"/>
      </w:pPr>
      <w:rPr>
        <w:rFonts w:hint="eastAsia"/>
      </w:rPr>
    </w:lvl>
    <w:lvl w:ilvl="5" w:tentative="0">
      <w:start w:val="1"/>
      <w:numFmt w:val="decimal"/>
      <w:pStyle w:val="200"/>
      <w:suff w:val="nothing"/>
      <w:lvlText w:val=""/>
      <w:lvlJc w:val="left"/>
      <w:pPr>
        <w:ind w:left="0" w:firstLine="0"/>
      </w:pPr>
      <w:rPr>
        <w:rFonts w:hint="eastAsia"/>
      </w:rPr>
    </w:lvl>
    <w:lvl w:ilvl="6" w:tentative="0">
      <w:start w:val="1"/>
      <w:numFmt w:val="decimal"/>
      <w:pStyle w:val="201"/>
      <w:suff w:val="nothing"/>
      <w:lvlText w:val=""/>
      <w:lvlJc w:val="left"/>
      <w:pPr>
        <w:ind w:left="0" w:firstLine="0"/>
      </w:pPr>
      <w:rPr>
        <w:rFonts w:hint="eastAsia"/>
      </w:rPr>
    </w:lvl>
    <w:lvl w:ilvl="7" w:tentative="0">
      <w:start w:val="1"/>
      <w:numFmt w:val="decimal"/>
      <w:pStyle w:val="202"/>
      <w:suff w:val="nothing"/>
      <w:lvlText w:val=""/>
      <w:lvlJc w:val="left"/>
      <w:pPr>
        <w:ind w:left="0" w:firstLine="0"/>
      </w:pPr>
      <w:rPr>
        <w:rFonts w:hint="eastAsia"/>
      </w:rPr>
    </w:lvl>
    <w:lvl w:ilvl="8" w:tentative="0">
      <w:start w:val="1"/>
      <w:numFmt w:val="decimal"/>
      <w:pStyle w:val="203"/>
      <w:suff w:val="nothing"/>
      <w:lvlText w:val=""/>
      <w:lvlJc w:val="left"/>
      <w:pPr>
        <w:ind w:left="0" w:firstLine="0"/>
      </w:pPr>
      <w:rPr>
        <w:rFonts w:hint="eastAsia"/>
      </w:rPr>
    </w:lvl>
  </w:abstractNum>
  <w:abstractNum w:abstractNumId="7">
    <w:nsid w:val="4C601917"/>
    <w:multiLevelType w:val="multilevel"/>
    <w:tmpl w:val="4C601917"/>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8">
    <w:nsid w:val="4E3D33DA"/>
    <w:multiLevelType w:val="multilevel"/>
    <w:tmpl w:val="4E3D33DA"/>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9">
    <w:nsid w:val="5FABD14B"/>
    <w:multiLevelType w:val="multilevel"/>
    <w:tmpl w:val="5FABD14B"/>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0">
    <w:nsid w:val="6EDD6598"/>
    <w:multiLevelType w:val="multilevel"/>
    <w:tmpl w:val="6EDD6598"/>
    <w:lvl w:ilvl="0" w:tentative="0">
      <w:start w:val="1"/>
      <w:numFmt w:val="decimal"/>
      <w:suff w:val="space"/>
      <w:lvlText w:val="%1."/>
      <w:lvlJc w:val="left"/>
      <w:pPr>
        <w:ind w:left="0" w:firstLine="0"/>
      </w:pPr>
      <w:rPr>
        <w:rFonts w:cs="Times New Roman"/>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6"/>
  </w:num>
  <w:num w:numId="2">
    <w:abstractNumId w:val="4"/>
  </w:num>
  <w:num w:numId="3">
    <w:abstractNumId w:val="5"/>
  </w:num>
  <w:num w:numId="4">
    <w:abstractNumId w:val="0"/>
  </w:num>
  <w:num w:numId="5">
    <w:abstractNumId w:val="8"/>
  </w:num>
  <w:num w:numId="6">
    <w:abstractNumId w:val="7"/>
  </w:num>
  <w:num w:numId="7">
    <w:abstractNumId w:val="9"/>
  </w:num>
  <w:num w:numId="8">
    <w:abstractNumId w:val="1"/>
  </w:num>
  <w:num w:numId="9">
    <w:abstractNumId w:val="2"/>
  </w:num>
  <w:num w:numId="10">
    <w:abstractNumId w:val="10"/>
    <w:lvlOverride w:ilvl="0">
      <w:startOverride w:val="1"/>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D373D"/>
    <w:rsid w:val="01310E52"/>
    <w:rsid w:val="01435EF1"/>
    <w:rsid w:val="017C38A4"/>
    <w:rsid w:val="0239626F"/>
    <w:rsid w:val="037800D1"/>
    <w:rsid w:val="046B5426"/>
    <w:rsid w:val="06BD2956"/>
    <w:rsid w:val="071A5FC4"/>
    <w:rsid w:val="074E4FCA"/>
    <w:rsid w:val="08E356E1"/>
    <w:rsid w:val="08F659AB"/>
    <w:rsid w:val="0A6A0048"/>
    <w:rsid w:val="0B166D39"/>
    <w:rsid w:val="0D023EA0"/>
    <w:rsid w:val="0DB8556E"/>
    <w:rsid w:val="0E4B1D4D"/>
    <w:rsid w:val="114552E5"/>
    <w:rsid w:val="132F5CF7"/>
    <w:rsid w:val="14531B4D"/>
    <w:rsid w:val="1525798D"/>
    <w:rsid w:val="163F682C"/>
    <w:rsid w:val="16DF7298"/>
    <w:rsid w:val="179E7583"/>
    <w:rsid w:val="184C5231"/>
    <w:rsid w:val="195425EF"/>
    <w:rsid w:val="1B0167A6"/>
    <w:rsid w:val="1BFA6E7C"/>
    <w:rsid w:val="1EED2465"/>
    <w:rsid w:val="20EA1732"/>
    <w:rsid w:val="23C10A8D"/>
    <w:rsid w:val="24DB1045"/>
    <w:rsid w:val="269A7558"/>
    <w:rsid w:val="26E10AEC"/>
    <w:rsid w:val="278C389C"/>
    <w:rsid w:val="28A145A3"/>
    <w:rsid w:val="29017971"/>
    <w:rsid w:val="29C42E79"/>
    <w:rsid w:val="2AD36C9B"/>
    <w:rsid w:val="2C036AEC"/>
    <w:rsid w:val="2C152724"/>
    <w:rsid w:val="2E425882"/>
    <w:rsid w:val="2F25260C"/>
    <w:rsid w:val="30380DF1"/>
    <w:rsid w:val="35F66A20"/>
    <w:rsid w:val="384747C6"/>
    <w:rsid w:val="38577147"/>
    <w:rsid w:val="387B4990"/>
    <w:rsid w:val="38855EC9"/>
    <w:rsid w:val="396E61FC"/>
    <w:rsid w:val="3A0F5ADA"/>
    <w:rsid w:val="3E2F4D71"/>
    <w:rsid w:val="3E667015"/>
    <w:rsid w:val="40AA2996"/>
    <w:rsid w:val="41B31CF9"/>
    <w:rsid w:val="41E719A3"/>
    <w:rsid w:val="42643E84"/>
    <w:rsid w:val="45A0554E"/>
    <w:rsid w:val="460523D5"/>
    <w:rsid w:val="46C6427C"/>
    <w:rsid w:val="47383260"/>
    <w:rsid w:val="480768FB"/>
    <w:rsid w:val="49E14F29"/>
    <w:rsid w:val="4B531E57"/>
    <w:rsid w:val="4D2748B7"/>
    <w:rsid w:val="4D573E80"/>
    <w:rsid w:val="4D644AB2"/>
    <w:rsid w:val="4D8A0576"/>
    <w:rsid w:val="4FD60098"/>
    <w:rsid w:val="508E193C"/>
    <w:rsid w:val="51346287"/>
    <w:rsid w:val="547711D9"/>
    <w:rsid w:val="54A35606"/>
    <w:rsid w:val="557336E8"/>
    <w:rsid w:val="56805549"/>
    <w:rsid w:val="56AE3E4C"/>
    <w:rsid w:val="56ED7603"/>
    <w:rsid w:val="576A10B1"/>
    <w:rsid w:val="583F7B73"/>
    <w:rsid w:val="590B0E06"/>
    <w:rsid w:val="598C5035"/>
    <w:rsid w:val="59F25A92"/>
    <w:rsid w:val="5A6E2809"/>
    <w:rsid w:val="5AE36A39"/>
    <w:rsid w:val="5B2D4916"/>
    <w:rsid w:val="5B61411C"/>
    <w:rsid w:val="5C313919"/>
    <w:rsid w:val="5D3B6F2A"/>
    <w:rsid w:val="5ED6009D"/>
    <w:rsid w:val="5ED954C5"/>
    <w:rsid w:val="5FF11F12"/>
    <w:rsid w:val="60483AFC"/>
    <w:rsid w:val="613A15C1"/>
    <w:rsid w:val="639D006E"/>
    <w:rsid w:val="640A7FA7"/>
    <w:rsid w:val="642B176B"/>
    <w:rsid w:val="64FD48A2"/>
    <w:rsid w:val="65E824A5"/>
    <w:rsid w:val="661A39BB"/>
    <w:rsid w:val="663568D1"/>
    <w:rsid w:val="680E2F36"/>
    <w:rsid w:val="687A05CB"/>
    <w:rsid w:val="68A92CDE"/>
    <w:rsid w:val="68AB231B"/>
    <w:rsid w:val="6AC45C2D"/>
    <w:rsid w:val="6B274387"/>
    <w:rsid w:val="6B8660EC"/>
    <w:rsid w:val="6C5A5657"/>
    <w:rsid w:val="6CD070F2"/>
    <w:rsid w:val="6CF32B85"/>
    <w:rsid w:val="6F19513D"/>
    <w:rsid w:val="6F490CF7"/>
    <w:rsid w:val="708A46FF"/>
    <w:rsid w:val="713D5C95"/>
    <w:rsid w:val="72600832"/>
    <w:rsid w:val="74A50B6D"/>
    <w:rsid w:val="74CC0383"/>
    <w:rsid w:val="75982D30"/>
    <w:rsid w:val="7647697E"/>
    <w:rsid w:val="764861AD"/>
    <w:rsid w:val="783677F8"/>
    <w:rsid w:val="78E0447A"/>
    <w:rsid w:val="79E72CEB"/>
    <w:rsid w:val="7A08139F"/>
    <w:rsid w:val="7A6D4434"/>
    <w:rsid w:val="7BA67BFD"/>
    <w:rsid w:val="7DBF4170"/>
    <w:rsid w:val="7F855D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81"/>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166"/>
    <w:qFormat/>
    <w:uiPriority w:val="9"/>
    <w:pPr>
      <w:keepNext/>
      <w:keepLines/>
      <w:spacing w:before="360" w:after="80"/>
      <w:outlineLvl w:val="0"/>
    </w:pPr>
    <w:rPr>
      <w:rFonts w:ascii="Arial" w:hAnsi="Arial" w:eastAsia="Arial" w:cs="Arial"/>
      <w:color w:val="376092" w:themeColor="accent1" w:themeShade="BF"/>
      <w:sz w:val="40"/>
      <w:szCs w:val="40"/>
    </w:rPr>
  </w:style>
  <w:style w:type="paragraph" w:styleId="3">
    <w:name w:val="heading 2"/>
    <w:basedOn w:val="1"/>
    <w:next w:val="1"/>
    <w:link w:val="167"/>
    <w:unhideWhenUsed/>
    <w:qFormat/>
    <w:uiPriority w:val="9"/>
    <w:pPr>
      <w:keepNext/>
      <w:keepLines/>
      <w:spacing w:before="160" w:after="80"/>
      <w:outlineLvl w:val="1"/>
    </w:pPr>
    <w:rPr>
      <w:rFonts w:ascii="Arial" w:hAnsi="Arial" w:eastAsia="Arial" w:cs="Arial"/>
      <w:color w:val="376092" w:themeColor="accent1" w:themeShade="BF"/>
      <w:sz w:val="32"/>
      <w:szCs w:val="32"/>
    </w:rPr>
  </w:style>
  <w:style w:type="paragraph" w:styleId="4">
    <w:name w:val="heading 3"/>
    <w:basedOn w:val="1"/>
    <w:next w:val="1"/>
    <w:link w:val="168"/>
    <w:unhideWhenUsed/>
    <w:qFormat/>
    <w:uiPriority w:val="9"/>
    <w:pPr>
      <w:keepNext/>
      <w:keepLines/>
      <w:spacing w:before="160" w:after="80"/>
      <w:outlineLvl w:val="2"/>
    </w:pPr>
    <w:rPr>
      <w:rFonts w:ascii="Arial" w:hAnsi="Arial" w:eastAsia="Arial" w:cs="Arial"/>
      <w:color w:val="376092" w:themeColor="accent1" w:themeShade="BF"/>
      <w:sz w:val="28"/>
      <w:szCs w:val="28"/>
    </w:rPr>
  </w:style>
  <w:style w:type="paragraph" w:styleId="5">
    <w:name w:val="heading 4"/>
    <w:basedOn w:val="1"/>
    <w:next w:val="1"/>
    <w:link w:val="169"/>
    <w:unhideWhenUsed/>
    <w:qFormat/>
    <w:uiPriority w:val="9"/>
    <w:pPr>
      <w:keepNext/>
      <w:keepLines/>
      <w:spacing w:before="80" w:after="40"/>
      <w:outlineLvl w:val="3"/>
    </w:pPr>
    <w:rPr>
      <w:rFonts w:ascii="Arial" w:hAnsi="Arial" w:eastAsia="Arial" w:cs="Arial"/>
      <w:i/>
      <w:iCs/>
      <w:color w:val="376092" w:themeColor="accent1" w:themeShade="BF"/>
    </w:rPr>
  </w:style>
  <w:style w:type="paragraph" w:styleId="6">
    <w:name w:val="heading 5"/>
    <w:basedOn w:val="1"/>
    <w:next w:val="1"/>
    <w:link w:val="170"/>
    <w:unhideWhenUsed/>
    <w:qFormat/>
    <w:uiPriority w:val="9"/>
    <w:pPr>
      <w:keepNext/>
      <w:keepLines/>
      <w:spacing w:before="80" w:after="40"/>
      <w:outlineLvl w:val="4"/>
    </w:pPr>
    <w:rPr>
      <w:rFonts w:ascii="Arial" w:hAnsi="Arial" w:eastAsia="Arial" w:cs="Arial"/>
      <w:color w:val="376092" w:themeColor="accent1" w:themeShade="BF"/>
    </w:rPr>
  </w:style>
  <w:style w:type="paragraph" w:styleId="7">
    <w:name w:val="heading 6"/>
    <w:basedOn w:val="1"/>
    <w:next w:val="1"/>
    <w:link w:val="171"/>
    <w:unhideWhenUsed/>
    <w:qFormat/>
    <w:uiPriority w:val="9"/>
    <w:pPr>
      <w:keepNext/>
      <w:keepLines/>
      <w:spacing w:before="40" w:after="0"/>
      <w:outlineLvl w:val="5"/>
    </w:pPr>
    <w:rPr>
      <w:rFonts w:ascii="Arial" w:hAnsi="Arial" w:eastAsia="Arial" w:cs="Arial"/>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172"/>
    <w:unhideWhenUsed/>
    <w:qFormat/>
    <w:uiPriority w:val="9"/>
    <w:pPr>
      <w:keepNext/>
      <w:keepLines/>
      <w:spacing w:before="40" w:after="0"/>
      <w:outlineLvl w:val="6"/>
    </w:pPr>
    <w:rPr>
      <w:rFonts w:ascii="Arial" w:hAnsi="Arial" w:eastAsia="Arial" w:cs="Arial"/>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173"/>
    <w:unhideWhenUsed/>
    <w:qFormat/>
    <w:uiPriority w:val="9"/>
    <w:pPr>
      <w:keepNext/>
      <w:keepLines/>
      <w:spacing w:after="0"/>
      <w:outlineLvl w:val="7"/>
    </w:pPr>
    <w:rPr>
      <w:rFonts w:ascii="Arial" w:hAnsi="Arial" w:eastAsia="Arial" w:cs="Arial"/>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174"/>
    <w:unhideWhenUsed/>
    <w:qFormat/>
    <w:uiPriority w:val="9"/>
    <w:pPr>
      <w:keepNext/>
      <w:keepLines/>
      <w:spacing w:after="0"/>
      <w:outlineLvl w:val="8"/>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100"/>
      <w:ind w:left="1320"/>
    </w:pPr>
  </w:style>
  <w:style w:type="paragraph" w:styleId="12">
    <w:name w:val="caption"/>
    <w:basedOn w:val="1"/>
    <w:next w:val="1"/>
    <w:unhideWhenUsed/>
    <w:qFormat/>
    <w:uiPriority w:val="35"/>
    <w:pPr>
      <w:spacing w:after="200" w:line="240" w:lineRule="auto"/>
    </w:pPr>
    <w:rPr>
      <w:i/>
      <w:iCs/>
      <w:color w:val="1F497D" w:themeColor="text2"/>
      <w:sz w:val="18"/>
      <w:szCs w:val="18"/>
      <w14:textFill>
        <w14:solidFill>
          <w14:schemeClr w14:val="tx2"/>
        </w14:solidFill>
      </w14:textFill>
    </w:rPr>
  </w:style>
  <w:style w:type="paragraph" w:styleId="13">
    <w:name w:val="annotation text"/>
    <w:basedOn w:val="1"/>
    <w:semiHidden/>
    <w:unhideWhenUsed/>
    <w:qFormat/>
    <w:uiPriority w:val="99"/>
    <w:pPr>
      <w:jc w:val="left"/>
    </w:pPr>
  </w:style>
  <w:style w:type="paragraph" w:styleId="14">
    <w:name w:val="toc 5"/>
    <w:basedOn w:val="1"/>
    <w:next w:val="1"/>
    <w:unhideWhenUsed/>
    <w:qFormat/>
    <w:uiPriority w:val="39"/>
    <w:pPr>
      <w:spacing w:after="100"/>
      <w:ind w:left="880"/>
    </w:pPr>
  </w:style>
  <w:style w:type="paragraph" w:styleId="15">
    <w:name w:val="toc 3"/>
    <w:basedOn w:val="1"/>
    <w:next w:val="1"/>
    <w:unhideWhenUsed/>
    <w:qFormat/>
    <w:uiPriority w:val="39"/>
    <w:pPr>
      <w:spacing w:after="100"/>
      <w:ind w:left="440"/>
    </w:pPr>
  </w:style>
  <w:style w:type="paragraph" w:styleId="16">
    <w:name w:val="Plain Text"/>
    <w:basedOn w:val="1"/>
    <w:qFormat/>
    <w:uiPriority w:val="0"/>
    <w:rPr>
      <w:rFonts w:ascii="宋体" w:hAnsi="Courier New" w:cs="Century"/>
      <w:szCs w:val="21"/>
    </w:rPr>
  </w:style>
  <w:style w:type="paragraph" w:styleId="17">
    <w:name w:val="toc 8"/>
    <w:basedOn w:val="1"/>
    <w:next w:val="1"/>
    <w:unhideWhenUsed/>
    <w:qFormat/>
    <w:uiPriority w:val="39"/>
    <w:pPr>
      <w:spacing w:after="100"/>
      <w:ind w:left="1540"/>
    </w:pPr>
  </w:style>
  <w:style w:type="paragraph" w:styleId="18">
    <w:name w:val="endnote text"/>
    <w:basedOn w:val="1"/>
    <w:link w:val="191"/>
    <w:semiHidden/>
    <w:unhideWhenUsed/>
    <w:qFormat/>
    <w:uiPriority w:val="99"/>
    <w:pPr>
      <w:spacing w:after="0" w:line="240" w:lineRule="auto"/>
    </w:pPr>
    <w:rPr>
      <w:sz w:val="20"/>
      <w:szCs w:val="20"/>
    </w:rPr>
  </w:style>
  <w:style w:type="paragraph" w:styleId="19">
    <w:name w:val="footer"/>
    <w:basedOn w:val="1"/>
    <w:link w:val="189"/>
    <w:unhideWhenUsed/>
    <w:qFormat/>
    <w:uiPriority w:val="99"/>
    <w:pPr>
      <w:tabs>
        <w:tab w:val="center" w:pos="4844"/>
        <w:tab w:val="right" w:pos="9689"/>
      </w:tabs>
      <w:spacing w:after="0" w:line="240" w:lineRule="auto"/>
    </w:pPr>
  </w:style>
  <w:style w:type="paragraph" w:styleId="20">
    <w:name w:val="header"/>
    <w:basedOn w:val="1"/>
    <w:link w:val="188"/>
    <w:unhideWhenUsed/>
    <w:qFormat/>
    <w:uiPriority w:val="99"/>
    <w:pPr>
      <w:tabs>
        <w:tab w:val="center" w:pos="4844"/>
        <w:tab w:val="right" w:pos="9689"/>
      </w:tabs>
      <w:spacing w:after="0" w:line="240" w:lineRule="auto"/>
    </w:pPr>
  </w:style>
  <w:style w:type="paragraph" w:styleId="21">
    <w:name w:val="toc 1"/>
    <w:basedOn w:val="1"/>
    <w:next w:val="1"/>
    <w:unhideWhenUsed/>
    <w:qFormat/>
    <w:uiPriority w:val="39"/>
    <w:pPr>
      <w:spacing w:after="100"/>
    </w:pPr>
  </w:style>
  <w:style w:type="paragraph" w:styleId="22">
    <w:name w:val="toc 4"/>
    <w:basedOn w:val="1"/>
    <w:next w:val="1"/>
    <w:unhideWhenUsed/>
    <w:qFormat/>
    <w:uiPriority w:val="39"/>
    <w:pPr>
      <w:spacing w:after="100"/>
      <w:ind w:left="660"/>
    </w:pPr>
  </w:style>
  <w:style w:type="paragraph" w:styleId="23">
    <w:name w:val="Subtitle"/>
    <w:basedOn w:val="1"/>
    <w:next w:val="1"/>
    <w:link w:val="176"/>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24">
    <w:name w:val="footnote text"/>
    <w:basedOn w:val="1"/>
    <w:link w:val="190"/>
    <w:semiHidden/>
    <w:unhideWhenUsed/>
    <w:qFormat/>
    <w:uiPriority w:val="99"/>
    <w:pPr>
      <w:spacing w:after="0" w:line="240" w:lineRule="auto"/>
    </w:pPr>
    <w:rPr>
      <w:sz w:val="20"/>
      <w:szCs w:val="20"/>
    </w:rPr>
  </w:style>
  <w:style w:type="paragraph" w:styleId="25">
    <w:name w:val="toc 6"/>
    <w:basedOn w:val="1"/>
    <w:next w:val="1"/>
    <w:unhideWhenUsed/>
    <w:qFormat/>
    <w:uiPriority w:val="39"/>
    <w:pPr>
      <w:spacing w:after="100"/>
      <w:ind w:left="1100"/>
    </w:pPr>
  </w:style>
  <w:style w:type="paragraph" w:styleId="26">
    <w:name w:val="table of figures"/>
    <w:basedOn w:val="1"/>
    <w:next w:val="1"/>
    <w:unhideWhenUsed/>
    <w:qFormat/>
    <w:uiPriority w:val="99"/>
    <w:pPr>
      <w:spacing w:after="0" w:afterAutospacing="0"/>
    </w:pPr>
  </w:style>
  <w:style w:type="paragraph" w:styleId="27">
    <w:name w:val="toc 2"/>
    <w:basedOn w:val="1"/>
    <w:next w:val="1"/>
    <w:unhideWhenUsed/>
    <w:qFormat/>
    <w:uiPriority w:val="39"/>
    <w:pPr>
      <w:spacing w:after="100"/>
      <w:ind w:left="220"/>
    </w:pPr>
  </w:style>
  <w:style w:type="paragraph" w:styleId="28">
    <w:name w:val="toc 9"/>
    <w:basedOn w:val="1"/>
    <w:next w:val="1"/>
    <w:unhideWhenUsed/>
    <w:qFormat/>
    <w:uiPriority w:val="39"/>
    <w:pPr>
      <w:spacing w:after="100"/>
      <w:ind w:left="1760"/>
    </w:pPr>
  </w:style>
  <w:style w:type="paragraph" w:styleId="29">
    <w:name w:val="Title"/>
    <w:basedOn w:val="1"/>
    <w:next w:val="1"/>
    <w:link w:val="175"/>
    <w:qFormat/>
    <w:uiPriority w:val="10"/>
    <w:pPr>
      <w:spacing w:after="80" w:line="240" w:lineRule="auto"/>
      <w:contextualSpacing/>
    </w:pPr>
    <w:rPr>
      <w:rFonts w:ascii="Arial" w:hAnsi="Arial" w:eastAsia="Arial" w:cs="Arial"/>
      <w:spacing w:val="-10"/>
      <w:sz w:val="56"/>
      <w:szCs w:val="56"/>
    </w:rPr>
  </w:style>
  <w:style w:type="table" w:styleId="31">
    <w:name w:val="Table Grid"/>
    <w:basedOn w:val="30"/>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3">
    <w:name w:val="Strong"/>
    <w:basedOn w:val="32"/>
    <w:qFormat/>
    <w:uiPriority w:val="22"/>
    <w:rPr>
      <w:b/>
      <w:bCs/>
    </w:rPr>
  </w:style>
  <w:style w:type="character" w:styleId="34">
    <w:name w:val="endnote reference"/>
    <w:basedOn w:val="32"/>
    <w:semiHidden/>
    <w:unhideWhenUsed/>
    <w:qFormat/>
    <w:uiPriority w:val="99"/>
    <w:rPr>
      <w:vertAlign w:val="superscript"/>
    </w:rPr>
  </w:style>
  <w:style w:type="character" w:styleId="35">
    <w:name w:val="FollowedHyperlink"/>
    <w:basedOn w:val="32"/>
    <w:semiHidden/>
    <w:unhideWhenUsed/>
    <w:qFormat/>
    <w:uiPriority w:val="99"/>
    <w:rPr>
      <w:color w:val="800080" w:themeColor="followedHyperlink"/>
      <w:u w:val="single"/>
      <w14:textFill>
        <w14:solidFill>
          <w14:schemeClr w14:val="folHlink"/>
        </w14:solidFill>
      </w14:textFill>
    </w:rPr>
  </w:style>
  <w:style w:type="character" w:styleId="36">
    <w:name w:val="Emphasis"/>
    <w:basedOn w:val="32"/>
    <w:qFormat/>
    <w:uiPriority w:val="20"/>
    <w:rPr>
      <w:i/>
      <w:iCs/>
    </w:rPr>
  </w:style>
  <w:style w:type="character" w:styleId="37">
    <w:name w:val="Hyperlink"/>
    <w:basedOn w:val="32"/>
    <w:unhideWhenUsed/>
    <w:qFormat/>
    <w:uiPriority w:val="99"/>
    <w:rPr>
      <w:color w:val="0000FF" w:themeColor="hyperlink"/>
      <w:u w:val="single"/>
      <w14:textFill>
        <w14:solidFill>
          <w14:schemeClr w14:val="hlink"/>
        </w14:solidFill>
      </w14:textFill>
    </w:rPr>
  </w:style>
  <w:style w:type="character" w:styleId="38">
    <w:name w:val="footnote reference"/>
    <w:basedOn w:val="32"/>
    <w:semiHidden/>
    <w:unhideWhenUsed/>
    <w:qFormat/>
    <w:uiPriority w:val="99"/>
    <w:rPr>
      <w:vertAlign w:val="superscript"/>
    </w:rPr>
  </w:style>
  <w:style w:type="paragraph" w:customStyle="1" w:styleId="39">
    <w:name w:val="Default"/>
    <w:basedOn w:val="40"/>
    <w:qFormat/>
    <w:uiPriority w:val="0"/>
    <w:pPr>
      <w:widowControl w:val="0"/>
    </w:pPr>
    <w:rPr>
      <w:rFonts w:ascii="黑体" w:eastAsia="黑体" w:cs="黑体"/>
      <w:color w:val="000000"/>
      <w:sz w:val="24"/>
      <w:szCs w:val="24"/>
      <w:lang w:val="en-US" w:eastAsia="zh-CN" w:bidi="ar-SA"/>
    </w:rPr>
  </w:style>
  <w:style w:type="paragraph" w:customStyle="1" w:styleId="40">
    <w:name w:val="正文1"/>
    <w:qFormat/>
    <w:uiPriority w:val="0"/>
    <w:pPr>
      <w:jc w:val="both"/>
    </w:pPr>
    <w:rPr>
      <w:rFonts w:hint="default" w:ascii="Times New Roman" w:hAnsi="Times New Roman" w:eastAsia="宋体" w:cs="Times New Roman"/>
      <w:sz w:val="21"/>
      <w:szCs w:val="21"/>
      <w:lang w:val="en-US" w:eastAsia="zh-CN" w:bidi="ar-SA"/>
    </w:rPr>
  </w:style>
  <w:style w:type="table" w:customStyle="1" w:styleId="41">
    <w:name w:val="Table Grid Light"/>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42">
    <w:name w:val="Plain Table 1"/>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3">
    <w:name w:val="Plain Table 2"/>
    <w:basedOn w:val="30"/>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44">
    <w:name w:val="Plain Table 3"/>
    <w:basedOn w:val="30"/>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5">
    <w:name w:val="Plain Table 4"/>
    <w:basedOn w:val="30"/>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6">
    <w:name w:val="Plain Table 5"/>
    <w:basedOn w:val="30"/>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7">
    <w:name w:val="Grid Table 1 Light"/>
    <w:basedOn w:val="30"/>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48">
    <w:name w:val="Grid Table 1 Light - Accent 1"/>
    <w:basedOn w:val="30"/>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49">
    <w:name w:val="Grid Table 1 Light - Accent 2"/>
    <w:basedOn w:val="30"/>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50">
    <w:name w:val="Grid Table 1 Light - Accent 3"/>
    <w:basedOn w:val="30"/>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51">
    <w:name w:val="Grid Table 1 Light - Accent 4"/>
    <w:basedOn w:val="30"/>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52">
    <w:name w:val="Grid Table 1 Light - Accent 5"/>
    <w:basedOn w:val="30"/>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53">
    <w:name w:val="Grid Table 1 Light - Accent 6"/>
    <w:basedOn w:val="30"/>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54">
    <w:name w:val="Grid Table 2"/>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55">
    <w:name w:val="Grid Table 2 - Accent 1"/>
    <w:basedOn w:val="30"/>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56">
    <w:name w:val="Grid Table 2 - Accent 2"/>
    <w:basedOn w:val="30"/>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57">
    <w:name w:val="Grid Table 2 - Accent 3"/>
    <w:basedOn w:val="30"/>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58">
    <w:name w:val="Grid Table 2 - Accent 4"/>
    <w:basedOn w:val="30"/>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59">
    <w:name w:val="Grid Table 2 - Accent 5"/>
    <w:basedOn w:val="30"/>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60">
    <w:name w:val="Grid Table 2 - Accent 6"/>
    <w:basedOn w:val="30"/>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1">
    <w:name w:val="Grid Table 3"/>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2">
    <w:name w:val="Grid Table 3 - Accent 1"/>
    <w:basedOn w:val="30"/>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3">
    <w:name w:val="Grid Table 3 - Accent 2"/>
    <w:basedOn w:val="30"/>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4">
    <w:name w:val="Grid Table 3 - Accent 3"/>
    <w:basedOn w:val="30"/>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65">
    <w:name w:val="Grid Table 3 - Accent 4"/>
    <w:basedOn w:val="30"/>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66">
    <w:name w:val="Grid Table 3 - Accent 5"/>
    <w:basedOn w:val="30"/>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67">
    <w:name w:val="Grid Table 3 - Accent 6"/>
    <w:basedOn w:val="30"/>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8">
    <w:name w:val="Grid Table 4"/>
    <w:basedOn w:val="30"/>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9">
    <w:name w:val="Grid Table 4 - Accent 1"/>
    <w:basedOn w:val="30"/>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70">
    <w:name w:val="Grid Table 4 - Accent 2"/>
    <w:basedOn w:val="30"/>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1">
    <w:name w:val="Grid Table 4 - Accent 3"/>
    <w:basedOn w:val="30"/>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2">
    <w:name w:val="Grid Table 4 - Accent 4"/>
    <w:basedOn w:val="30"/>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3">
    <w:name w:val="Grid Table 4 - Accent 5"/>
    <w:basedOn w:val="30"/>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4">
    <w:name w:val="Grid Table 4 - Accent 6"/>
    <w:basedOn w:val="30"/>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5">
    <w:name w:val="Grid Table 5 Dark"/>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76">
    <w:name w:val="Grid Table 5 Dark- Accent 1"/>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77">
    <w:name w:val="Grid Table 5 Dark - Accent 2"/>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78">
    <w:name w:val="Grid Table 5 Dark - Accent 3"/>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79">
    <w:name w:val="Grid Table 5 Dark- Accent 4"/>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80">
    <w:name w:val="Grid Table 5 Dark - Accent 5"/>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81">
    <w:name w:val="Grid Table 5 Dark - Accent 6"/>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82">
    <w:name w:val="Grid Table 6 Colorful"/>
    <w:basedOn w:val="30"/>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83">
    <w:name w:val="Grid Table 6 Colorful - Accent 1"/>
    <w:basedOn w:val="30"/>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84">
    <w:name w:val="Grid Table 6 Colorful - Accent 2"/>
    <w:basedOn w:val="30"/>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85">
    <w:name w:val="Grid Table 6 Colorful - Accent 3"/>
    <w:basedOn w:val="30"/>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86">
    <w:name w:val="Grid Table 6 Colorful - Accent 4"/>
    <w:basedOn w:val="30"/>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87">
    <w:name w:val="Grid Table 6 Colorful - Accent 5"/>
    <w:basedOn w:val="30"/>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88">
    <w:name w:val="Grid Table 6 Colorful - Accent 6"/>
    <w:basedOn w:val="30"/>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89">
    <w:name w:val="Grid Table 7 Colorful"/>
    <w:basedOn w:val="30"/>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0">
    <w:name w:val="Grid Table 7 Colorful - Accent 1"/>
    <w:basedOn w:val="30"/>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1">
    <w:name w:val="Grid Table 7 Colorful - Accent 2"/>
    <w:basedOn w:val="30"/>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2">
    <w:name w:val="Grid Table 7 Colorful - Accent 3"/>
    <w:basedOn w:val="30"/>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3">
    <w:name w:val="Grid Table 7 Colorful - Accent 4"/>
    <w:basedOn w:val="30"/>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4">
    <w:name w:val="Grid Table 7 Colorful - Accent 5"/>
    <w:basedOn w:val="30"/>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5">
    <w:name w:val="Grid Table 7 Colorful - Accent 6"/>
    <w:basedOn w:val="30"/>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96">
    <w:name w:val="List Table 1 Light"/>
    <w:basedOn w:val="30"/>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97">
    <w:name w:val="List Table 1 Light - Accent 1"/>
    <w:basedOn w:val="30"/>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98">
    <w:name w:val="List Table 1 Light - Accent 2"/>
    <w:basedOn w:val="30"/>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99">
    <w:name w:val="List Table 1 Light - Accent 3"/>
    <w:basedOn w:val="30"/>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00">
    <w:name w:val="List Table 1 Light - Accent 4"/>
    <w:basedOn w:val="30"/>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1">
    <w:name w:val="List Table 1 Light - Accent 5"/>
    <w:basedOn w:val="30"/>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2">
    <w:name w:val="List Table 1 Light - Accent 6"/>
    <w:basedOn w:val="30"/>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3">
    <w:name w:val="List Table 2"/>
    <w:basedOn w:val="30"/>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04">
    <w:name w:val="List Table 2 - Accent 1"/>
    <w:basedOn w:val="30"/>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05">
    <w:name w:val="List Table 2 - Accent 2"/>
    <w:basedOn w:val="30"/>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06">
    <w:name w:val="List Table 2 - Accent 3"/>
    <w:basedOn w:val="30"/>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07">
    <w:name w:val="List Table 2 - Accent 4"/>
    <w:basedOn w:val="30"/>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8">
    <w:name w:val="List Table 2 - Accent 5"/>
    <w:basedOn w:val="30"/>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9">
    <w:name w:val="List Table 2 - Accent 6"/>
    <w:basedOn w:val="30"/>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0">
    <w:name w:val="List Table 3"/>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11">
    <w:name w:val="List Table 3 - Accent 1"/>
    <w:basedOn w:val="30"/>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12">
    <w:name w:val="List Table 3 - Accent 2"/>
    <w:basedOn w:val="30"/>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13">
    <w:name w:val="List Table 3 - Accent 3"/>
    <w:basedOn w:val="30"/>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14">
    <w:name w:val="List Table 3 - Accent 4"/>
    <w:basedOn w:val="30"/>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15">
    <w:name w:val="List Table 3 - Accent 5"/>
    <w:basedOn w:val="30"/>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16">
    <w:name w:val="List Table 3 - Accent 6"/>
    <w:basedOn w:val="30"/>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17">
    <w:name w:val="List Table 4"/>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8">
    <w:name w:val="List Table 4 - Accent 1"/>
    <w:basedOn w:val="30"/>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9">
    <w:name w:val="List Table 4 - Accent 2"/>
    <w:basedOn w:val="30"/>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0">
    <w:name w:val="List Table 4 - Accent 3"/>
    <w:basedOn w:val="30"/>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1">
    <w:name w:val="List Table 4 - Accent 4"/>
    <w:basedOn w:val="30"/>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2">
    <w:name w:val="List Table 4 - Accent 5"/>
    <w:basedOn w:val="30"/>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3">
    <w:name w:val="List Table 4 - Accent 6"/>
    <w:basedOn w:val="30"/>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4">
    <w:name w:val="List Table 5 Dark"/>
    <w:basedOn w:val="30"/>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25">
    <w:name w:val="List Table 5 Dark - Accent 1"/>
    <w:basedOn w:val="30"/>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26">
    <w:name w:val="List Table 5 Dark - Accent 2"/>
    <w:basedOn w:val="30"/>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27">
    <w:name w:val="List Table 5 Dark - Accent 3"/>
    <w:basedOn w:val="30"/>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28">
    <w:name w:val="List Table 5 Dark - Accent 4"/>
    <w:basedOn w:val="30"/>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29">
    <w:name w:val="List Table 5 Dark - Accent 5"/>
    <w:basedOn w:val="30"/>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30">
    <w:name w:val="List Table 5 Dark - Accent 6"/>
    <w:basedOn w:val="30"/>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31">
    <w:name w:val="List Table 6 Colorful"/>
    <w:basedOn w:val="30"/>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32">
    <w:name w:val="List Table 6 Colorful - Accent 1"/>
    <w:basedOn w:val="30"/>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33">
    <w:name w:val="List Table 6 Colorful - Accent 2"/>
    <w:basedOn w:val="30"/>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34">
    <w:name w:val="List Table 6 Colorful - Accent 3"/>
    <w:basedOn w:val="30"/>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35">
    <w:name w:val="List Table 6 Colorful - Accent 4"/>
    <w:basedOn w:val="30"/>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36">
    <w:name w:val="List Table 6 Colorful - Accent 5"/>
    <w:basedOn w:val="30"/>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37">
    <w:name w:val="List Table 6 Colorful - Accent 6"/>
    <w:basedOn w:val="30"/>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38">
    <w:name w:val="List Table 7 Colorful"/>
    <w:basedOn w:val="30"/>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39">
    <w:name w:val="List Table 7 Colorful - Accent 1"/>
    <w:basedOn w:val="30"/>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0">
    <w:name w:val="List Table 7 Colorful - Accent 2"/>
    <w:basedOn w:val="30"/>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1">
    <w:name w:val="List Table 7 Colorful - Accent 3"/>
    <w:basedOn w:val="30"/>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2">
    <w:name w:val="List Table 7 Colorful - Accent 4"/>
    <w:basedOn w:val="30"/>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3">
    <w:name w:val="List Table 7 Colorful - Accent 5"/>
    <w:basedOn w:val="30"/>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4">
    <w:name w:val="List Table 7 Colorful - Accent 6"/>
    <w:basedOn w:val="30"/>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45">
    <w:name w:val="Lined - Accent"/>
    <w:basedOn w:val="30"/>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46">
    <w:name w:val="Lined - Accent 1"/>
    <w:basedOn w:val="30"/>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47">
    <w:name w:val="Lined - Accent 2"/>
    <w:basedOn w:val="30"/>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48">
    <w:name w:val="Lined - Accent 3"/>
    <w:basedOn w:val="30"/>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49">
    <w:name w:val="Lined - Accent 4"/>
    <w:basedOn w:val="30"/>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50">
    <w:name w:val="Lined - Accent 5"/>
    <w:basedOn w:val="30"/>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1">
    <w:name w:val="Lined - Accent 6"/>
    <w:basedOn w:val="30"/>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2">
    <w:name w:val="Bordered &amp; Lined - Accent"/>
    <w:basedOn w:val="30"/>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3">
    <w:name w:val="Bordered &amp; Lined - Accent 1"/>
    <w:basedOn w:val="30"/>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54">
    <w:name w:val="Bordered &amp; Lined - Accent 2"/>
    <w:basedOn w:val="30"/>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55">
    <w:name w:val="Bordered &amp; Lined - Accent 3"/>
    <w:basedOn w:val="30"/>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56">
    <w:name w:val="Bordered &amp; Lined - Accent 4"/>
    <w:basedOn w:val="30"/>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57">
    <w:name w:val="Bordered &amp; Lined - Accent 5"/>
    <w:basedOn w:val="30"/>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8">
    <w:name w:val="Bordered &amp; Lined - Accent 6"/>
    <w:basedOn w:val="30"/>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9">
    <w:name w:val="Bordered"/>
    <w:basedOn w:val="30"/>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60">
    <w:name w:val="Bordered - Accent 1"/>
    <w:basedOn w:val="30"/>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61">
    <w:name w:val="Bordered - Accent 2"/>
    <w:basedOn w:val="30"/>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62">
    <w:name w:val="Bordered - Accent 3"/>
    <w:basedOn w:val="30"/>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63">
    <w:name w:val="Bordered - Accent 4"/>
    <w:basedOn w:val="30"/>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64">
    <w:name w:val="Bordered - Accent 5"/>
    <w:basedOn w:val="30"/>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65">
    <w:name w:val="Bordered - Accent 6"/>
    <w:basedOn w:val="30"/>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66">
    <w:name w:val="Heading 1 Char"/>
    <w:basedOn w:val="32"/>
    <w:link w:val="2"/>
    <w:qFormat/>
    <w:uiPriority w:val="9"/>
    <w:rPr>
      <w:rFonts w:ascii="Arial" w:hAnsi="Arial" w:eastAsia="Arial" w:cs="Arial"/>
      <w:color w:val="376092" w:themeColor="accent1" w:themeShade="BF"/>
      <w:sz w:val="40"/>
      <w:szCs w:val="40"/>
    </w:rPr>
  </w:style>
  <w:style w:type="character" w:customStyle="1" w:styleId="167">
    <w:name w:val="Heading 2 Char"/>
    <w:basedOn w:val="32"/>
    <w:link w:val="3"/>
    <w:qFormat/>
    <w:uiPriority w:val="9"/>
    <w:rPr>
      <w:rFonts w:ascii="Arial" w:hAnsi="Arial" w:eastAsia="Arial" w:cs="Arial"/>
      <w:color w:val="376092" w:themeColor="accent1" w:themeShade="BF"/>
      <w:sz w:val="32"/>
      <w:szCs w:val="32"/>
    </w:rPr>
  </w:style>
  <w:style w:type="character" w:customStyle="1" w:styleId="168">
    <w:name w:val="Heading 3 Char"/>
    <w:basedOn w:val="32"/>
    <w:link w:val="4"/>
    <w:qFormat/>
    <w:uiPriority w:val="9"/>
    <w:rPr>
      <w:rFonts w:ascii="Arial" w:hAnsi="Arial" w:eastAsia="Arial" w:cs="Arial"/>
      <w:color w:val="376092" w:themeColor="accent1" w:themeShade="BF"/>
      <w:sz w:val="28"/>
      <w:szCs w:val="28"/>
    </w:rPr>
  </w:style>
  <w:style w:type="character" w:customStyle="1" w:styleId="169">
    <w:name w:val="Heading 4 Char"/>
    <w:basedOn w:val="32"/>
    <w:link w:val="5"/>
    <w:qFormat/>
    <w:uiPriority w:val="9"/>
    <w:rPr>
      <w:rFonts w:ascii="Arial" w:hAnsi="Arial" w:eastAsia="Arial" w:cs="Arial"/>
      <w:i/>
      <w:iCs/>
      <w:color w:val="376092" w:themeColor="accent1" w:themeShade="BF"/>
    </w:rPr>
  </w:style>
  <w:style w:type="character" w:customStyle="1" w:styleId="170">
    <w:name w:val="Heading 5 Char"/>
    <w:basedOn w:val="32"/>
    <w:link w:val="6"/>
    <w:qFormat/>
    <w:uiPriority w:val="9"/>
    <w:rPr>
      <w:rFonts w:ascii="Arial" w:hAnsi="Arial" w:eastAsia="Arial" w:cs="Arial"/>
      <w:color w:val="376092" w:themeColor="accent1" w:themeShade="BF"/>
    </w:rPr>
  </w:style>
  <w:style w:type="character" w:customStyle="1" w:styleId="171">
    <w:name w:val="Heading 6 Char"/>
    <w:basedOn w:val="32"/>
    <w:link w:val="7"/>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72">
    <w:name w:val="Heading 7 Char"/>
    <w:basedOn w:val="32"/>
    <w:link w:val="8"/>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73">
    <w:name w:val="Heading 8 Char"/>
    <w:basedOn w:val="32"/>
    <w:link w:val="9"/>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4">
    <w:name w:val="Heading 9 Char"/>
    <w:basedOn w:val="32"/>
    <w:link w:val="10"/>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5">
    <w:name w:val="Title Char"/>
    <w:basedOn w:val="32"/>
    <w:link w:val="29"/>
    <w:qFormat/>
    <w:uiPriority w:val="10"/>
    <w:rPr>
      <w:rFonts w:ascii="Arial" w:hAnsi="Arial" w:eastAsia="Arial" w:cs="Arial"/>
      <w:spacing w:val="-10"/>
      <w:sz w:val="56"/>
      <w:szCs w:val="56"/>
    </w:rPr>
  </w:style>
  <w:style w:type="character" w:customStyle="1" w:styleId="176">
    <w:name w:val="Subtitle Char"/>
    <w:basedOn w:val="32"/>
    <w:link w:val="23"/>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177">
    <w:name w:val="Quote"/>
    <w:basedOn w:val="1"/>
    <w:next w:val="1"/>
    <w:link w:val="17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78">
    <w:name w:val="Quote Char"/>
    <w:basedOn w:val="32"/>
    <w:link w:val="177"/>
    <w:qFormat/>
    <w:uiPriority w:val="29"/>
    <w:rPr>
      <w:i/>
      <w:iCs/>
      <w:color w:val="404040" w:themeColor="text1" w:themeTint="BF"/>
      <w14:textFill>
        <w14:solidFill>
          <w14:schemeClr w14:val="tx1">
            <w14:lumMod w14:val="75000"/>
            <w14:lumOff w14:val="25000"/>
          </w14:schemeClr>
        </w14:solidFill>
      </w14:textFill>
    </w:rPr>
  </w:style>
  <w:style w:type="paragraph" w:styleId="179">
    <w:name w:val="List Paragraph"/>
    <w:basedOn w:val="1"/>
    <w:qFormat/>
    <w:uiPriority w:val="34"/>
    <w:pPr>
      <w:ind w:left="720"/>
      <w:contextualSpacing/>
    </w:pPr>
  </w:style>
  <w:style w:type="character" w:customStyle="1" w:styleId="180">
    <w:name w:val="Intense Emphasis"/>
    <w:basedOn w:val="32"/>
    <w:qFormat/>
    <w:uiPriority w:val="21"/>
    <w:rPr>
      <w:i/>
      <w:iCs/>
      <w:color w:val="376092" w:themeColor="accent1" w:themeShade="BF"/>
    </w:rPr>
  </w:style>
  <w:style w:type="paragraph" w:styleId="181">
    <w:name w:val="Intense Quote"/>
    <w:basedOn w:val="1"/>
    <w:next w:val="1"/>
    <w:link w:val="182"/>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182">
    <w:name w:val="Intense Quote Char"/>
    <w:basedOn w:val="32"/>
    <w:link w:val="181"/>
    <w:qFormat/>
    <w:uiPriority w:val="30"/>
    <w:rPr>
      <w:i/>
      <w:iCs/>
      <w:color w:val="376092" w:themeColor="accent1" w:themeShade="BF"/>
    </w:rPr>
  </w:style>
  <w:style w:type="character" w:customStyle="1" w:styleId="183">
    <w:name w:val="Intense Reference"/>
    <w:basedOn w:val="32"/>
    <w:qFormat/>
    <w:uiPriority w:val="32"/>
    <w:rPr>
      <w:b/>
      <w:bCs/>
      <w:smallCaps/>
      <w:color w:val="376092" w:themeColor="accent1" w:themeShade="BF"/>
      <w:spacing w:val="5"/>
    </w:rPr>
  </w:style>
  <w:style w:type="paragraph" w:styleId="184">
    <w:name w:val="No Spacing"/>
    <w:basedOn w:val="1"/>
    <w:qFormat/>
    <w:uiPriority w:val="1"/>
    <w:pPr>
      <w:spacing w:after="0" w:line="240" w:lineRule="auto"/>
    </w:pPr>
  </w:style>
  <w:style w:type="character" w:customStyle="1" w:styleId="185">
    <w:name w:val="Subtle Emphasis"/>
    <w:basedOn w:val="32"/>
    <w:qFormat/>
    <w:uiPriority w:val="19"/>
    <w:rPr>
      <w:i/>
      <w:iCs/>
      <w:color w:val="404040" w:themeColor="text1" w:themeTint="BF"/>
      <w14:textFill>
        <w14:solidFill>
          <w14:schemeClr w14:val="tx1">
            <w14:lumMod w14:val="75000"/>
            <w14:lumOff w14:val="25000"/>
          </w14:schemeClr>
        </w14:solidFill>
      </w14:textFill>
    </w:rPr>
  </w:style>
  <w:style w:type="character" w:customStyle="1" w:styleId="186">
    <w:name w:val="Subtle Reference"/>
    <w:basedOn w:val="32"/>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87">
    <w:name w:val="Book Title"/>
    <w:basedOn w:val="32"/>
    <w:qFormat/>
    <w:uiPriority w:val="33"/>
    <w:rPr>
      <w:b/>
      <w:bCs/>
      <w:i/>
      <w:iCs/>
      <w:spacing w:val="5"/>
    </w:rPr>
  </w:style>
  <w:style w:type="character" w:customStyle="1" w:styleId="188">
    <w:name w:val="Header Char"/>
    <w:basedOn w:val="32"/>
    <w:link w:val="20"/>
    <w:qFormat/>
    <w:uiPriority w:val="99"/>
  </w:style>
  <w:style w:type="character" w:customStyle="1" w:styleId="189">
    <w:name w:val="Footer Char"/>
    <w:basedOn w:val="32"/>
    <w:link w:val="19"/>
    <w:qFormat/>
    <w:uiPriority w:val="99"/>
  </w:style>
  <w:style w:type="character" w:customStyle="1" w:styleId="190">
    <w:name w:val="Footnote Text Char"/>
    <w:basedOn w:val="32"/>
    <w:link w:val="24"/>
    <w:semiHidden/>
    <w:qFormat/>
    <w:uiPriority w:val="99"/>
    <w:rPr>
      <w:sz w:val="20"/>
      <w:szCs w:val="20"/>
    </w:rPr>
  </w:style>
  <w:style w:type="character" w:customStyle="1" w:styleId="191">
    <w:name w:val="Endnote Text Char"/>
    <w:basedOn w:val="32"/>
    <w:link w:val="18"/>
    <w:semiHidden/>
    <w:qFormat/>
    <w:uiPriority w:val="99"/>
    <w:rPr>
      <w:sz w:val="20"/>
      <w:szCs w:val="20"/>
    </w:rPr>
  </w:style>
  <w:style w:type="character" w:styleId="192">
    <w:name w:val="Placeholder Text"/>
    <w:basedOn w:val="32"/>
    <w:semiHidden/>
    <w:qFormat/>
    <w:uiPriority w:val="99"/>
    <w:rPr>
      <w:color w:val="666666"/>
    </w:rPr>
  </w:style>
  <w:style w:type="paragraph" w:customStyle="1" w:styleId="193">
    <w:name w:val="TOC Heading"/>
    <w:unhideWhenUsed/>
    <w:qFormat/>
    <w:uiPriority w:val="39"/>
    <w:rPr>
      <w:rFonts w:hint="default" w:ascii="Times New Roman" w:hAnsi="Times New Roman" w:eastAsia="宋体" w:cs="Times New Roman"/>
    </w:rPr>
  </w:style>
  <w:style w:type="paragraph" w:customStyle="1" w:styleId="194">
    <w:name w:val="标题 11"/>
    <w:basedOn w:val="1"/>
    <w:next w:val="1"/>
    <w:link w:val="206"/>
    <w:qFormat/>
    <w:uiPriority w:val="99"/>
    <w:pPr>
      <w:keepNext/>
      <w:keepLines/>
      <w:spacing w:before="340" w:after="330" w:line="578" w:lineRule="auto"/>
      <w:outlineLvl w:val="0"/>
    </w:pPr>
    <w:rPr>
      <w:b/>
      <w:bCs/>
      <w:sz w:val="44"/>
      <w:szCs w:val="44"/>
    </w:rPr>
  </w:style>
  <w:style w:type="paragraph" w:customStyle="1" w:styleId="195">
    <w:name w:val="标题 21"/>
    <w:basedOn w:val="1"/>
    <w:next w:val="1"/>
    <w:link w:val="207"/>
    <w:qFormat/>
    <w:uiPriority w:val="99"/>
    <w:pPr>
      <w:keepNext/>
      <w:keepLines/>
      <w:spacing w:before="260" w:after="260" w:line="416" w:lineRule="auto"/>
      <w:outlineLvl w:val="1"/>
    </w:pPr>
    <w:rPr>
      <w:rFonts w:ascii="Arial" w:hAnsi="Arial" w:eastAsia="黑体"/>
      <w:b/>
      <w:bCs/>
      <w:sz w:val="32"/>
      <w:szCs w:val="32"/>
    </w:rPr>
  </w:style>
  <w:style w:type="paragraph" w:customStyle="1" w:styleId="196">
    <w:name w:val="标题 31"/>
    <w:basedOn w:val="1"/>
    <w:next w:val="1"/>
    <w:link w:val="208"/>
    <w:qFormat/>
    <w:uiPriority w:val="99"/>
    <w:pPr>
      <w:keepNext/>
      <w:keepLines/>
      <w:spacing w:before="260" w:after="260" w:line="416" w:lineRule="auto"/>
      <w:outlineLvl w:val="2"/>
    </w:pPr>
    <w:rPr>
      <w:b/>
      <w:bCs/>
      <w:sz w:val="32"/>
      <w:szCs w:val="32"/>
    </w:rPr>
  </w:style>
  <w:style w:type="paragraph" w:customStyle="1" w:styleId="197">
    <w:name w:val="标题 41"/>
    <w:basedOn w:val="1"/>
    <w:next w:val="1"/>
    <w:qFormat/>
    <w:uiPriority w:val="9"/>
    <w:pPr>
      <w:keepNext/>
      <w:keepLines/>
      <w:spacing w:before="280" w:after="290" w:line="376" w:lineRule="auto"/>
      <w:outlineLvl w:val="3"/>
    </w:pPr>
    <w:rPr>
      <w:rFonts w:ascii="Cambria" w:hAnsi="Cambria" w:eastAsia="宋体" w:cs="Times New Roman"/>
      <w:b/>
      <w:bCs/>
      <w:sz w:val="28"/>
      <w:szCs w:val="28"/>
    </w:rPr>
  </w:style>
  <w:style w:type="paragraph" w:customStyle="1" w:styleId="198">
    <w:name w:val="标题 51"/>
    <w:basedOn w:val="1"/>
    <w:next w:val="199"/>
    <w:link w:val="209"/>
    <w:qFormat/>
    <w:uiPriority w:val="99"/>
    <w:pPr>
      <w:keepNext/>
      <w:keepLines/>
      <w:numPr>
        <w:ilvl w:val="4"/>
        <w:numId w:val="1"/>
      </w:numPr>
      <w:spacing w:before="280" w:after="290" w:line="376" w:lineRule="auto"/>
      <w:outlineLvl w:val="4"/>
    </w:pPr>
    <w:rPr>
      <w:b/>
      <w:sz w:val="28"/>
    </w:rPr>
  </w:style>
  <w:style w:type="paragraph" w:customStyle="1" w:styleId="199">
    <w:name w:val="正文缩进1"/>
    <w:basedOn w:val="1"/>
    <w:qFormat/>
    <w:uiPriority w:val="99"/>
    <w:pPr>
      <w:ind w:firstLine="420"/>
    </w:pPr>
    <w:rPr>
      <w:szCs w:val="20"/>
    </w:rPr>
  </w:style>
  <w:style w:type="paragraph" w:customStyle="1" w:styleId="200">
    <w:name w:val="标题 61"/>
    <w:basedOn w:val="1"/>
    <w:next w:val="199"/>
    <w:link w:val="210"/>
    <w:qFormat/>
    <w:uiPriority w:val="99"/>
    <w:pPr>
      <w:keepNext/>
      <w:keepLines/>
      <w:numPr>
        <w:ilvl w:val="5"/>
        <w:numId w:val="1"/>
      </w:numPr>
      <w:spacing w:before="240" w:after="64" w:line="320" w:lineRule="auto"/>
      <w:outlineLvl w:val="5"/>
    </w:pPr>
    <w:rPr>
      <w:rFonts w:ascii="Arial" w:hAnsi="Arial" w:eastAsia="黑体"/>
      <w:b/>
      <w:sz w:val="24"/>
    </w:rPr>
  </w:style>
  <w:style w:type="paragraph" w:customStyle="1" w:styleId="201">
    <w:name w:val="标题 71"/>
    <w:basedOn w:val="1"/>
    <w:next w:val="199"/>
    <w:link w:val="211"/>
    <w:qFormat/>
    <w:uiPriority w:val="99"/>
    <w:pPr>
      <w:keepNext/>
      <w:keepLines/>
      <w:numPr>
        <w:ilvl w:val="6"/>
        <w:numId w:val="1"/>
      </w:numPr>
      <w:spacing w:before="240" w:after="64" w:line="320" w:lineRule="auto"/>
      <w:outlineLvl w:val="6"/>
    </w:pPr>
    <w:rPr>
      <w:b/>
      <w:sz w:val="24"/>
    </w:rPr>
  </w:style>
  <w:style w:type="paragraph" w:customStyle="1" w:styleId="202">
    <w:name w:val="标题 81"/>
    <w:basedOn w:val="1"/>
    <w:next w:val="199"/>
    <w:link w:val="212"/>
    <w:qFormat/>
    <w:uiPriority w:val="99"/>
    <w:pPr>
      <w:keepNext/>
      <w:keepLines/>
      <w:numPr>
        <w:ilvl w:val="7"/>
        <w:numId w:val="1"/>
      </w:numPr>
      <w:spacing w:before="240" w:after="64" w:line="320" w:lineRule="auto"/>
      <w:outlineLvl w:val="7"/>
    </w:pPr>
    <w:rPr>
      <w:rFonts w:ascii="Arial" w:hAnsi="Arial" w:eastAsia="黑体"/>
      <w:sz w:val="24"/>
    </w:rPr>
  </w:style>
  <w:style w:type="paragraph" w:customStyle="1" w:styleId="203">
    <w:name w:val="标题 91"/>
    <w:basedOn w:val="1"/>
    <w:next w:val="199"/>
    <w:link w:val="213"/>
    <w:qFormat/>
    <w:uiPriority w:val="99"/>
    <w:pPr>
      <w:keepNext/>
      <w:keepLines/>
      <w:numPr>
        <w:ilvl w:val="8"/>
        <w:numId w:val="1"/>
      </w:numPr>
      <w:spacing w:before="240" w:after="64" w:line="320" w:lineRule="auto"/>
      <w:outlineLvl w:val="8"/>
    </w:pPr>
    <w:rPr>
      <w:rFonts w:ascii="Arial" w:hAnsi="Arial" w:eastAsia="黑体"/>
    </w:rPr>
  </w:style>
  <w:style w:type="character" w:customStyle="1" w:styleId="204">
    <w:name w:val="默认段落字体1"/>
    <w:link w:val="1"/>
    <w:unhideWhenUsed/>
    <w:qFormat/>
    <w:uiPriority w:val="1"/>
  </w:style>
  <w:style w:type="table" w:customStyle="1" w:styleId="205">
    <w:name w:val="普通表格1"/>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06">
    <w:name w:val="标题 1 Char"/>
    <w:link w:val="194"/>
    <w:qFormat/>
    <w:uiPriority w:val="99"/>
    <w:rPr>
      <w:rFonts w:ascii="Times New Roman" w:hAnsi="Times New Roman" w:eastAsia="宋体" w:cs="Times New Roman"/>
      <w:b/>
      <w:bCs/>
      <w:sz w:val="44"/>
      <w:szCs w:val="44"/>
    </w:rPr>
  </w:style>
  <w:style w:type="character" w:customStyle="1" w:styleId="207">
    <w:name w:val="标题 2 Char"/>
    <w:link w:val="195"/>
    <w:qFormat/>
    <w:uiPriority w:val="99"/>
    <w:rPr>
      <w:rFonts w:ascii="Arial" w:hAnsi="Arial" w:eastAsia="黑体" w:cs="Times New Roman"/>
      <w:b/>
      <w:bCs/>
      <w:sz w:val="32"/>
      <w:szCs w:val="32"/>
    </w:rPr>
  </w:style>
  <w:style w:type="character" w:customStyle="1" w:styleId="208">
    <w:name w:val="标题 3 Char"/>
    <w:link w:val="196"/>
    <w:qFormat/>
    <w:uiPriority w:val="99"/>
    <w:rPr>
      <w:rFonts w:ascii="Times New Roman" w:hAnsi="Times New Roman" w:eastAsia="宋体" w:cs="Times New Roman"/>
      <w:b/>
      <w:bCs/>
      <w:sz w:val="32"/>
      <w:szCs w:val="32"/>
    </w:rPr>
  </w:style>
  <w:style w:type="character" w:customStyle="1" w:styleId="209">
    <w:name w:val="标题 5 Char2"/>
    <w:link w:val="198"/>
    <w:qFormat/>
    <w:uiPriority w:val="99"/>
    <w:rPr>
      <w:b/>
      <w:sz w:val="28"/>
      <w:szCs w:val="24"/>
    </w:rPr>
  </w:style>
  <w:style w:type="character" w:customStyle="1" w:styleId="210">
    <w:name w:val="标题 6 Char"/>
    <w:link w:val="200"/>
    <w:qFormat/>
    <w:uiPriority w:val="99"/>
    <w:rPr>
      <w:rFonts w:ascii="Arial" w:hAnsi="Arial" w:eastAsia="黑体"/>
      <w:b/>
      <w:sz w:val="24"/>
      <w:szCs w:val="24"/>
    </w:rPr>
  </w:style>
  <w:style w:type="character" w:customStyle="1" w:styleId="211">
    <w:name w:val="标题 7 Char"/>
    <w:link w:val="201"/>
    <w:qFormat/>
    <w:uiPriority w:val="99"/>
    <w:rPr>
      <w:rFonts w:ascii="Times New Roman" w:hAnsi="Times New Roman"/>
      <w:b/>
      <w:sz w:val="24"/>
      <w:szCs w:val="24"/>
    </w:rPr>
  </w:style>
  <w:style w:type="character" w:customStyle="1" w:styleId="212">
    <w:name w:val="标题 8 Char"/>
    <w:link w:val="202"/>
    <w:qFormat/>
    <w:uiPriority w:val="99"/>
    <w:rPr>
      <w:rFonts w:ascii="Arial" w:hAnsi="Arial" w:eastAsia="黑体"/>
      <w:sz w:val="24"/>
      <w:szCs w:val="24"/>
    </w:rPr>
  </w:style>
  <w:style w:type="character" w:customStyle="1" w:styleId="213">
    <w:name w:val="标题 9 Char"/>
    <w:link w:val="203"/>
    <w:qFormat/>
    <w:uiPriority w:val="99"/>
    <w:rPr>
      <w:rFonts w:ascii="Arial" w:hAnsi="Arial" w:eastAsia="黑体"/>
      <w:sz w:val="21"/>
      <w:szCs w:val="24"/>
    </w:rPr>
  </w:style>
  <w:style w:type="paragraph" w:customStyle="1" w:styleId="214">
    <w:name w:val="目录 71"/>
    <w:basedOn w:val="1"/>
    <w:next w:val="1"/>
    <w:unhideWhenUsed/>
    <w:qFormat/>
    <w:uiPriority w:val="39"/>
    <w:pPr>
      <w:ind w:left="2520"/>
    </w:pPr>
    <w:rPr>
      <w:rFonts w:ascii="Calibri" w:hAnsi="Calibri" w:eastAsia="宋体" w:cs="Times New Roman"/>
      <w:szCs w:val="22"/>
    </w:rPr>
  </w:style>
  <w:style w:type="paragraph" w:customStyle="1" w:styleId="215">
    <w:name w:val="索引 81"/>
    <w:basedOn w:val="1"/>
    <w:next w:val="1"/>
    <w:qFormat/>
    <w:uiPriority w:val="0"/>
    <w:pPr>
      <w:ind w:left="2940"/>
    </w:pPr>
  </w:style>
  <w:style w:type="paragraph" w:customStyle="1" w:styleId="216">
    <w:name w:val="列表编号1"/>
    <w:basedOn w:val="1"/>
    <w:qFormat/>
    <w:uiPriority w:val="99"/>
    <w:pPr>
      <w:widowControl/>
      <w:tabs>
        <w:tab w:val="left" w:pos="454"/>
        <w:tab w:val="left" w:pos="720"/>
        <w:tab w:val="left" w:pos="840"/>
      </w:tabs>
      <w:spacing w:after="50"/>
      <w:ind w:left="454" w:hanging="284"/>
      <w:jc w:val="left"/>
    </w:pPr>
    <w:rPr>
      <w:sz w:val="24"/>
      <w:szCs w:val="20"/>
    </w:rPr>
  </w:style>
  <w:style w:type="paragraph" w:customStyle="1" w:styleId="217">
    <w:name w:val="题注1"/>
    <w:basedOn w:val="1"/>
    <w:next w:val="1"/>
    <w:qFormat/>
    <w:uiPriority w:val="99"/>
    <w:pPr>
      <w:spacing w:before="152" w:after="160"/>
    </w:pPr>
    <w:rPr>
      <w:rFonts w:ascii="Arial" w:hAnsi="Arial" w:eastAsia="黑体" w:cs="Arial"/>
      <w:sz w:val="20"/>
      <w:szCs w:val="20"/>
    </w:rPr>
  </w:style>
  <w:style w:type="paragraph" w:customStyle="1" w:styleId="218">
    <w:name w:val="批注文字1"/>
    <w:basedOn w:val="1"/>
    <w:link w:val="219"/>
    <w:unhideWhenUsed/>
    <w:qFormat/>
    <w:uiPriority w:val="99"/>
    <w:pPr>
      <w:jc w:val="left"/>
    </w:pPr>
  </w:style>
  <w:style w:type="character" w:customStyle="1" w:styleId="219">
    <w:name w:val="批注文字 Char2"/>
    <w:link w:val="218"/>
    <w:qFormat/>
    <w:uiPriority w:val="99"/>
    <w:rPr>
      <w:rFonts w:ascii="Times New Roman" w:hAnsi="Times New Roman"/>
      <w:sz w:val="21"/>
      <w:szCs w:val="24"/>
    </w:rPr>
  </w:style>
  <w:style w:type="paragraph" w:customStyle="1" w:styleId="220">
    <w:name w:val="正文文本 31"/>
    <w:basedOn w:val="1"/>
    <w:link w:val="221"/>
    <w:qFormat/>
    <w:uiPriority w:val="99"/>
    <w:pPr>
      <w:spacing w:line="500" w:lineRule="exact"/>
    </w:pPr>
    <w:rPr>
      <w:b/>
      <w:bCs/>
      <w:sz w:val="24"/>
    </w:rPr>
  </w:style>
  <w:style w:type="character" w:customStyle="1" w:styleId="221">
    <w:name w:val="正文文本 3 Char"/>
    <w:link w:val="220"/>
    <w:qFormat/>
    <w:uiPriority w:val="99"/>
    <w:rPr>
      <w:rFonts w:ascii="Times New Roman" w:hAnsi="Times New Roman" w:eastAsia="宋体" w:cs="Times New Roman"/>
      <w:b/>
      <w:bCs/>
      <w:sz w:val="24"/>
      <w:szCs w:val="24"/>
    </w:rPr>
  </w:style>
  <w:style w:type="paragraph" w:customStyle="1" w:styleId="222">
    <w:name w:val="正文文本1"/>
    <w:basedOn w:val="1"/>
    <w:link w:val="223"/>
    <w:qFormat/>
    <w:uiPriority w:val="99"/>
    <w:pPr>
      <w:spacing w:line="380" w:lineRule="exact"/>
    </w:pPr>
    <w:rPr>
      <w:sz w:val="24"/>
    </w:rPr>
  </w:style>
  <w:style w:type="character" w:customStyle="1" w:styleId="223">
    <w:name w:val="正文文本 Char"/>
    <w:link w:val="222"/>
    <w:qFormat/>
    <w:uiPriority w:val="99"/>
    <w:rPr>
      <w:rFonts w:ascii="Times New Roman" w:hAnsi="Times New Roman" w:eastAsia="宋体" w:cs="Times New Roman"/>
      <w:sz w:val="24"/>
      <w:szCs w:val="24"/>
    </w:rPr>
  </w:style>
  <w:style w:type="paragraph" w:customStyle="1" w:styleId="224">
    <w:name w:val="正文文本缩进1"/>
    <w:basedOn w:val="1"/>
    <w:link w:val="225"/>
    <w:qFormat/>
    <w:uiPriority w:val="99"/>
    <w:pPr>
      <w:ind w:firstLine="830"/>
    </w:pPr>
    <w:rPr>
      <w:rFonts w:ascii="仿宋_GB2312" w:eastAsia="仿宋_GB2312"/>
      <w:sz w:val="32"/>
      <w:szCs w:val="20"/>
    </w:rPr>
  </w:style>
  <w:style w:type="character" w:customStyle="1" w:styleId="225">
    <w:name w:val="正文文本缩进 Char"/>
    <w:link w:val="224"/>
    <w:qFormat/>
    <w:uiPriority w:val="99"/>
    <w:rPr>
      <w:rFonts w:ascii="仿宋_GB2312" w:hAnsi="Times New Roman" w:eastAsia="仿宋_GB2312" w:cs="Times New Roman"/>
      <w:sz w:val="32"/>
      <w:szCs w:val="20"/>
    </w:rPr>
  </w:style>
  <w:style w:type="paragraph" w:customStyle="1" w:styleId="226">
    <w:name w:val="列表编号 31"/>
    <w:basedOn w:val="1"/>
    <w:qFormat/>
    <w:uiPriority w:val="99"/>
    <w:pPr>
      <w:numPr>
        <w:ilvl w:val="0"/>
        <w:numId w:val="2"/>
      </w:numPr>
    </w:pPr>
  </w:style>
  <w:style w:type="paragraph" w:customStyle="1" w:styleId="227">
    <w:name w:val="列表 21"/>
    <w:basedOn w:val="1"/>
    <w:qFormat/>
    <w:uiPriority w:val="99"/>
    <w:pPr>
      <w:ind w:left="100" w:hanging="200"/>
    </w:pPr>
    <w:rPr>
      <w:sz w:val="28"/>
    </w:rPr>
  </w:style>
  <w:style w:type="paragraph" w:customStyle="1" w:styleId="228">
    <w:name w:val="文本块1"/>
    <w:basedOn w:val="1"/>
    <w:qFormat/>
    <w:uiPriority w:val="0"/>
    <w:pPr>
      <w:spacing w:line="240" w:lineRule="auto"/>
      <w:ind w:left="420" w:right="33" w:firstLine="0"/>
      <w:jc w:val="left"/>
    </w:pPr>
    <w:rPr>
      <w:szCs w:val="20"/>
    </w:rPr>
  </w:style>
  <w:style w:type="paragraph" w:customStyle="1" w:styleId="229">
    <w:name w:val="目录 51"/>
    <w:basedOn w:val="1"/>
    <w:next w:val="1"/>
    <w:unhideWhenUsed/>
    <w:qFormat/>
    <w:uiPriority w:val="39"/>
    <w:pPr>
      <w:ind w:left="1680"/>
    </w:pPr>
    <w:rPr>
      <w:rFonts w:ascii="Calibri" w:hAnsi="Calibri" w:eastAsia="宋体" w:cs="Times New Roman"/>
      <w:szCs w:val="22"/>
    </w:rPr>
  </w:style>
  <w:style w:type="paragraph" w:customStyle="1" w:styleId="230">
    <w:name w:val="目录 31"/>
    <w:basedOn w:val="1"/>
    <w:next w:val="1"/>
    <w:unhideWhenUsed/>
    <w:qFormat/>
    <w:uiPriority w:val="39"/>
    <w:pPr>
      <w:ind w:left="840"/>
    </w:pPr>
    <w:rPr>
      <w:rFonts w:ascii="Calibri" w:hAnsi="Calibri" w:eastAsia="宋体" w:cs="Times New Roman"/>
      <w:szCs w:val="22"/>
    </w:rPr>
  </w:style>
  <w:style w:type="paragraph" w:customStyle="1" w:styleId="231">
    <w:name w:val="纯文本11"/>
    <w:basedOn w:val="1"/>
    <w:link w:val="232"/>
    <w:qFormat/>
    <w:uiPriority w:val="99"/>
    <w:rPr>
      <w:rFonts w:ascii="宋体" w:hAnsi="Courier New"/>
      <w:sz w:val="20"/>
      <w:szCs w:val="21"/>
    </w:rPr>
  </w:style>
  <w:style w:type="character" w:customStyle="1" w:styleId="232">
    <w:name w:val="纯文本 Char2"/>
    <w:link w:val="231"/>
    <w:qFormat/>
    <w:uiPriority w:val="99"/>
    <w:rPr>
      <w:rFonts w:ascii="宋体" w:hAnsi="Courier New" w:eastAsia="宋体" w:cs="Courier New"/>
      <w:szCs w:val="21"/>
    </w:rPr>
  </w:style>
  <w:style w:type="paragraph" w:customStyle="1" w:styleId="233">
    <w:name w:val="目录 81"/>
    <w:basedOn w:val="1"/>
    <w:next w:val="1"/>
    <w:unhideWhenUsed/>
    <w:qFormat/>
    <w:uiPriority w:val="39"/>
    <w:pPr>
      <w:ind w:left="2940"/>
    </w:pPr>
    <w:rPr>
      <w:rFonts w:ascii="Calibri" w:hAnsi="Calibri" w:eastAsia="宋体" w:cs="Times New Roman"/>
      <w:szCs w:val="22"/>
    </w:rPr>
  </w:style>
  <w:style w:type="paragraph" w:customStyle="1" w:styleId="234">
    <w:name w:val="日期1"/>
    <w:basedOn w:val="1"/>
    <w:next w:val="1"/>
    <w:link w:val="235"/>
    <w:qFormat/>
    <w:uiPriority w:val="99"/>
    <w:pPr>
      <w:ind w:left="100"/>
    </w:pPr>
    <w:rPr>
      <w:rFonts w:ascii="宋体" w:hAnsi="Courier New"/>
      <w:sz w:val="20"/>
      <w:szCs w:val="21"/>
    </w:rPr>
  </w:style>
  <w:style w:type="character" w:customStyle="1" w:styleId="235">
    <w:name w:val="日期 Char"/>
    <w:link w:val="234"/>
    <w:qFormat/>
    <w:uiPriority w:val="99"/>
    <w:rPr>
      <w:rFonts w:ascii="宋体" w:hAnsi="Courier New" w:eastAsia="宋体" w:cs="Courier New"/>
      <w:szCs w:val="21"/>
    </w:rPr>
  </w:style>
  <w:style w:type="paragraph" w:customStyle="1" w:styleId="236">
    <w:name w:val="正文文本缩进 21"/>
    <w:basedOn w:val="1"/>
    <w:link w:val="237"/>
    <w:qFormat/>
    <w:uiPriority w:val="99"/>
    <w:pPr>
      <w:ind w:firstLine="630"/>
    </w:pPr>
    <w:rPr>
      <w:sz w:val="32"/>
      <w:szCs w:val="20"/>
    </w:rPr>
  </w:style>
  <w:style w:type="character" w:customStyle="1" w:styleId="237">
    <w:name w:val="正文文本缩进 2 Char"/>
    <w:link w:val="236"/>
    <w:qFormat/>
    <w:uiPriority w:val="99"/>
    <w:rPr>
      <w:rFonts w:ascii="Times New Roman" w:hAnsi="Times New Roman" w:eastAsia="宋体" w:cs="Times New Roman"/>
      <w:sz w:val="32"/>
      <w:szCs w:val="20"/>
    </w:rPr>
  </w:style>
  <w:style w:type="paragraph" w:customStyle="1" w:styleId="238">
    <w:name w:val="尾注文本1"/>
    <w:basedOn w:val="1"/>
    <w:link w:val="239"/>
    <w:unhideWhenUsed/>
    <w:qFormat/>
    <w:uiPriority w:val="99"/>
    <w:pPr>
      <w:jc w:val="left"/>
    </w:pPr>
  </w:style>
  <w:style w:type="character" w:customStyle="1" w:styleId="239">
    <w:name w:val="尾注文本 Char"/>
    <w:link w:val="238"/>
    <w:qFormat/>
    <w:uiPriority w:val="99"/>
    <w:rPr>
      <w:rFonts w:ascii="Times New Roman" w:hAnsi="Times New Roman"/>
      <w:sz w:val="21"/>
      <w:szCs w:val="24"/>
    </w:rPr>
  </w:style>
  <w:style w:type="paragraph" w:customStyle="1" w:styleId="240">
    <w:name w:val="批注框文本1"/>
    <w:basedOn w:val="1"/>
    <w:link w:val="241"/>
    <w:qFormat/>
    <w:uiPriority w:val="99"/>
    <w:rPr>
      <w:sz w:val="18"/>
      <w:szCs w:val="18"/>
    </w:rPr>
  </w:style>
  <w:style w:type="character" w:customStyle="1" w:styleId="241">
    <w:name w:val="批注框文本 Char"/>
    <w:link w:val="240"/>
    <w:qFormat/>
    <w:uiPriority w:val="99"/>
    <w:rPr>
      <w:rFonts w:ascii="Times New Roman" w:hAnsi="Times New Roman" w:eastAsia="宋体" w:cs="Times New Roman"/>
      <w:sz w:val="18"/>
      <w:szCs w:val="18"/>
    </w:rPr>
  </w:style>
  <w:style w:type="paragraph" w:customStyle="1" w:styleId="242">
    <w:name w:val="页脚1"/>
    <w:basedOn w:val="1"/>
    <w:link w:val="243"/>
    <w:unhideWhenUsed/>
    <w:qFormat/>
    <w:uiPriority w:val="99"/>
    <w:pPr>
      <w:tabs>
        <w:tab w:val="center" w:pos="4153"/>
        <w:tab w:val="right" w:pos="8306"/>
      </w:tabs>
      <w:jc w:val="left"/>
    </w:pPr>
    <w:rPr>
      <w:sz w:val="18"/>
      <w:szCs w:val="18"/>
    </w:rPr>
  </w:style>
  <w:style w:type="character" w:customStyle="1" w:styleId="243">
    <w:name w:val="页脚 Char"/>
    <w:link w:val="242"/>
    <w:qFormat/>
    <w:uiPriority w:val="99"/>
    <w:rPr>
      <w:sz w:val="18"/>
      <w:szCs w:val="18"/>
    </w:rPr>
  </w:style>
  <w:style w:type="paragraph" w:customStyle="1" w:styleId="244">
    <w:name w:val="页眉1"/>
    <w:basedOn w:val="1"/>
    <w:link w:val="245"/>
    <w:unhideWhenUsed/>
    <w:qFormat/>
    <w:uiPriority w:val="99"/>
    <w:pPr>
      <w:pBdr>
        <w:bottom w:val="single" w:color="000000" w:sz="6" w:space="1"/>
      </w:pBdr>
      <w:tabs>
        <w:tab w:val="center" w:pos="0"/>
        <w:tab w:val="left" w:pos="8306"/>
      </w:tabs>
      <w:jc w:val="center"/>
    </w:pPr>
    <w:rPr>
      <w:sz w:val="18"/>
      <w:szCs w:val="18"/>
    </w:rPr>
  </w:style>
  <w:style w:type="character" w:customStyle="1" w:styleId="245">
    <w:name w:val="页眉 Char"/>
    <w:link w:val="244"/>
    <w:qFormat/>
    <w:uiPriority w:val="99"/>
    <w:rPr>
      <w:rFonts w:ascii="Times New Roman" w:hAnsi="Times New Roman"/>
      <w:sz w:val="18"/>
      <w:szCs w:val="18"/>
    </w:rPr>
  </w:style>
  <w:style w:type="paragraph" w:customStyle="1" w:styleId="246">
    <w:name w:val="目录 11"/>
    <w:basedOn w:val="1"/>
    <w:next w:val="1"/>
    <w:qFormat/>
    <w:uiPriority w:val="39"/>
    <w:pPr>
      <w:tabs>
        <w:tab w:val="right" w:leader="dot" w:pos="8398"/>
      </w:tabs>
      <w:spacing w:before="120" w:after="120"/>
      <w:ind w:firstLine="240"/>
      <w:jc w:val="left"/>
    </w:pPr>
    <w:rPr>
      <w:rFonts w:ascii="宋体" w:hAnsi="宋体"/>
      <w:b/>
      <w:bCs/>
      <w:caps/>
      <w:sz w:val="24"/>
    </w:rPr>
  </w:style>
  <w:style w:type="paragraph" w:customStyle="1" w:styleId="247">
    <w:name w:val="目录 41"/>
    <w:basedOn w:val="1"/>
    <w:next w:val="1"/>
    <w:unhideWhenUsed/>
    <w:qFormat/>
    <w:uiPriority w:val="39"/>
    <w:pPr>
      <w:ind w:left="1260"/>
    </w:pPr>
    <w:rPr>
      <w:rFonts w:ascii="Calibri" w:hAnsi="Calibri" w:eastAsia="宋体" w:cs="Times New Roman"/>
      <w:szCs w:val="22"/>
    </w:rPr>
  </w:style>
  <w:style w:type="paragraph" w:customStyle="1" w:styleId="248">
    <w:name w:val="列表1"/>
    <w:basedOn w:val="1"/>
    <w:qFormat/>
    <w:uiPriority w:val="99"/>
    <w:pPr>
      <w:ind w:left="200" w:hanging="200"/>
    </w:pPr>
    <w:rPr>
      <w:sz w:val="28"/>
    </w:rPr>
  </w:style>
  <w:style w:type="paragraph" w:customStyle="1" w:styleId="249">
    <w:name w:val="脚注文本1"/>
    <w:basedOn w:val="1"/>
    <w:link w:val="250"/>
    <w:unhideWhenUsed/>
    <w:qFormat/>
    <w:uiPriority w:val="99"/>
    <w:pPr>
      <w:jc w:val="left"/>
    </w:pPr>
    <w:rPr>
      <w:sz w:val="18"/>
      <w:szCs w:val="18"/>
    </w:rPr>
  </w:style>
  <w:style w:type="character" w:customStyle="1" w:styleId="250">
    <w:name w:val="脚注文本 Char"/>
    <w:link w:val="249"/>
    <w:qFormat/>
    <w:uiPriority w:val="99"/>
    <w:rPr>
      <w:rFonts w:ascii="Times New Roman" w:hAnsi="Times New Roman"/>
      <w:sz w:val="18"/>
      <w:szCs w:val="18"/>
    </w:rPr>
  </w:style>
  <w:style w:type="paragraph" w:customStyle="1" w:styleId="251">
    <w:name w:val="目录 61"/>
    <w:basedOn w:val="1"/>
    <w:next w:val="1"/>
    <w:unhideWhenUsed/>
    <w:qFormat/>
    <w:uiPriority w:val="39"/>
    <w:pPr>
      <w:ind w:left="2100"/>
    </w:pPr>
    <w:rPr>
      <w:rFonts w:ascii="Calibri" w:hAnsi="Calibri" w:eastAsia="宋体" w:cs="Times New Roman"/>
      <w:szCs w:val="22"/>
    </w:rPr>
  </w:style>
  <w:style w:type="paragraph" w:customStyle="1" w:styleId="252">
    <w:name w:val="正文文本缩进 31"/>
    <w:basedOn w:val="1"/>
    <w:link w:val="253"/>
    <w:qFormat/>
    <w:uiPriority w:val="99"/>
    <w:pPr>
      <w:spacing w:after="120"/>
      <w:ind w:left="420"/>
    </w:pPr>
    <w:rPr>
      <w:sz w:val="16"/>
      <w:szCs w:val="16"/>
    </w:rPr>
  </w:style>
  <w:style w:type="character" w:customStyle="1" w:styleId="253">
    <w:name w:val="正文文本缩进 3 Char"/>
    <w:link w:val="252"/>
    <w:qFormat/>
    <w:uiPriority w:val="99"/>
    <w:rPr>
      <w:rFonts w:ascii="Times New Roman" w:hAnsi="Times New Roman" w:eastAsia="宋体" w:cs="Times New Roman"/>
      <w:sz w:val="16"/>
      <w:szCs w:val="16"/>
    </w:rPr>
  </w:style>
  <w:style w:type="paragraph" w:customStyle="1" w:styleId="254">
    <w:name w:val="目录 21"/>
    <w:basedOn w:val="1"/>
    <w:next w:val="1"/>
    <w:unhideWhenUsed/>
    <w:qFormat/>
    <w:uiPriority w:val="39"/>
    <w:pPr>
      <w:ind w:left="420"/>
    </w:pPr>
  </w:style>
  <w:style w:type="paragraph" w:customStyle="1" w:styleId="255">
    <w:name w:val="目录 91"/>
    <w:basedOn w:val="1"/>
    <w:next w:val="1"/>
    <w:unhideWhenUsed/>
    <w:qFormat/>
    <w:uiPriority w:val="39"/>
    <w:pPr>
      <w:ind w:left="3360"/>
    </w:pPr>
    <w:rPr>
      <w:rFonts w:ascii="Calibri" w:hAnsi="Calibri" w:eastAsia="宋体" w:cs="Times New Roman"/>
      <w:szCs w:val="22"/>
    </w:rPr>
  </w:style>
  <w:style w:type="paragraph" w:customStyle="1" w:styleId="256">
    <w:name w:val="正文文本 21"/>
    <w:basedOn w:val="1"/>
    <w:link w:val="257"/>
    <w:qFormat/>
    <w:uiPriority w:val="99"/>
    <w:pPr>
      <w:spacing w:after="120" w:line="480" w:lineRule="auto"/>
    </w:pPr>
    <w:rPr>
      <w:sz w:val="20"/>
    </w:rPr>
  </w:style>
  <w:style w:type="character" w:customStyle="1" w:styleId="257">
    <w:name w:val="正文文本 2 Char"/>
    <w:link w:val="256"/>
    <w:qFormat/>
    <w:uiPriority w:val="99"/>
    <w:rPr>
      <w:rFonts w:ascii="Times New Roman" w:hAnsi="Times New Roman" w:eastAsia="宋体" w:cs="Times New Roman"/>
      <w:szCs w:val="24"/>
    </w:rPr>
  </w:style>
  <w:style w:type="paragraph" w:customStyle="1" w:styleId="258">
    <w:name w:val="普通(网站)1"/>
    <w:basedOn w:val="1"/>
    <w:qFormat/>
    <w:uiPriority w:val="99"/>
    <w:pPr>
      <w:widowControl/>
      <w:spacing w:before="100" w:beforeAutospacing="1" w:after="100" w:afterAutospacing="1"/>
      <w:jc w:val="left"/>
    </w:pPr>
    <w:rPr>
      <w:rFonts w:ascii="宋体" w:hAnsi="宋体"/>
      <w:sz w:val="24"/>
    </w:rPr>
  </w:style>
  <w:style w:type="paragraph" w:customStyle="1" w:styleId="259">
    <w:name w:val="索引 11"/>
    <w:basedOn w:val="1"/>
    <w:next w:val="1"/>
    <w:semiHidden/>
    <w:qFormat/>
    <w:uiPriority w:val="99"/>
    <w:pPr>
      <w:spacing w:line="400" w:lineRule="exact"/>
      <w:ind w:firstLine="420"/>
    </w:pPr>
    <w:rPr>
      <w:rFonts w:ascii="宋体" w:hAnsi="Courier New"/>
      <w:b/>
      <w:szCs w:val="20"/>
    </w:rPr>
  </w:style>
  <w:style w:type="paragraph" w:customStyle="1" w:styleId="260">
    <w:name w:val="标题1"/>
    <w:basedOn w:val="1"/>
    <w:next w:val="1"/>
    <w:link w:val="261"/>
    <w:qFormat/>
    <w:uiPriority w:val="99"/>
    <w:pPr>
      <w:spacing w:before="240" w:after="60"/>
      <w:jc w:val="center"/>
      <w:outlineLvl w:val="0"/>
    </w:pPr>
    <w:rPr>
      <w:rFonts w:ascii="Cambria" w:hAnsi="Cambria"/>
      <w:b/>
      <w:bCs/>
      <w:sz w:val="32"/>
      <w:szCs w:val="32"/>
    </w:rPr>
  </w:style>
  <w:style w:type="character" w:customStyle="1" w:styleId="261">
    <w:name w:val="标题 Char"/>
    <w:link w:val="260"/>
    <w:qFormat/>
    <w:uiPriority w:val="99"/>
    <w:rPr>
      <w:rFonts w:ascii="Cambria" w:hAnsi="Cambria" w:cs="Times New Roman"/>
      <w:b/>
      <w:bCs/>
      <w:sz w:val="32"/>
      <w:szCs w:val="32"/>
    </w:rPr>
  </w:style>
  <w:style w:type="paragraph" w:customStyle="1" w:styleId="262">
    <w:name w:val="批注主题1"/>
    <w:basedOn w:val="218"/>
    <w:next w:val="218"/>
    <w:link w:val="263"/>
    <w:unhideWhenUsed/>
    <w:qFormat/>
    <w:uiPriority w:val="99"/>
    <w:rPr>
      <w:b/>
      <w:bCs/>
    </w:rPr>
  </w:style>
  <w:style w:type="character" w:customStyle="1" w:styleId="263">
    <w:name w:val="批注主题 Char"/>
    <w:link w:val="262"/>
    <w:qFormat/>
    <w:uiPriority w:val="99"/>
    <w:rPr>
      <w:rFonts w:ascii="Times New Roman" w:hAnsi="Times New Roman"/>
      <w:b/>
      <w:bCs/>
      <w:sz w:val="21"/>
      <w:szCs w:val="24"/>
    </w:rPr>
  </w:style>
  <w:style w:type="paragraph" w:customStyle="1" w:styleId="264">
    <w:name w:val="正文首行缩进1"/>
    <w:basedOn w:val="222"/>
    <w:next w:val="1"/>
    <w:qFormat/>
    <w:uiPriority w:val="0"/>
    <w:pPr>
      <w:ind w:firstLine="420"/>
    </w:pPr>
  </w:style>
  <w:style w:type="paragraph" w:customStyle="1" w:styleId="265">
    <w:name w:val="正文首行缩进 21"/>
    <w:basedOn w:val="224"/>
    <w:link w:val="266"/>
    <w:unhideWhenUsed/>
    <w:qFormat/>
    <w:uiPriority w:val="99"/>
    <w:pPr>
      <w:spacing w:after="120"/>
      <w:ind w:left="420" w:firstLine="420"/>
    </w:pPr>
    <w:rPr>
      <w:rFonts w:ascii="Calibri" w:hAnsi="Calibri"/>
      <w:sz w:val="21"/>
      <w:szCs w:val="24"/>
    </w:rPr>
  </w:style>
  <w:style w:type="character" w:customStyle="1" w:styleId="266">
    <w:name w:val="正文首行缩进 2 Char"/>
    <w:link w:val="265"/>
    <w:qFormat/>
    <w:uiPriority w:val="99"/>
    <w:rPr>
      <w:rFonts w:ascii="Calibri" w:hAnsi="Calibri" w:eastAsia="仿宋_GB2312" w:cs="Times New Roman"/>
      <w:sz w:val="21"/>
      <w:szCs w:val="24"/>
    </w:rPr>
  </w:style>
  <w:style w:type="table" w:customStyle="1" w:styleId="267">
    <w:name w:val="网格型111"/>
    <w:basedOn w:val="205"/>
    <w:qFormat/>
    <w:uiPriority w:val="99"/>
    <w:pPr>
      <w:widowControl w:val="0"/>
      <w:jc w:val="both"/>
    </w:pPr>
    <w:rPr>
      <w:rFonts w:ascii="Times New Roman" w:hAnsi="Times New Roman" w:eastAsia="宋体"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68">
    <w:name w:val="尾注引用1"/>
    <w:link w:val="1"/>
    <w:unhideWhenUsed/>
    <w:qFormat/>
    <w:uiPriority w:val="99"/>
    <w:rPr>
      <w:vertAlign w:val="superscript"/>
    </w:rPr>
  </w:style>
  <w:style w:type="character" w:customStyle="1" w:styleId="269">
    <w:name w:val="页码1"/>
    <w:link w:val="1"/>
    <w:qFormat/>
    <w:uiPriority w:val="99"/>
  </w:style>
  <w:style w:type="character" w:customStyle="1" w:styleId="270">
    <w:name w:val="已访问的超链接1"/>
    <w:link w:val="1"/>
    <w:qFormat/>
    <w:uiPriority w:val="99"/>
    <w:rPr>
      <w:color w:val="800080"/>
      <w:u w:val="single"/>
    </w:rPr>
  </w:style>
  <w:style w:type="character" w:customStyle="1" w:styleId="271">
    <w:name w:val="超链接1"/>
    <w:link w:val="1"/>
    <w:qFormat/>
    <w:uiPriority w:val="99"/>
    <w:rPr>
      <w:color w:val="0000FF"/>
      <w:u w:val="single"/>
    </w:rPr>
  </w:style>
  <w:style w:type="character" w:customStyle="1" w:styleId="272">
    <w:name w:val="批注引用1"/>
    <w:link w:val="1"/>
    <w:unhideWhenUsed/>
    <w:qFormat/>
    <w:uiPriority w:val="99"/>
    <w:rPr>
      <w:sz w:val="21"/>
      <w:szCs w:val="21"/>
    </w:rPr>
  </w:style>
  <w:style w:type="character" w:customStyle="1" w:styleId="273">
    <w:name w:val="脚注引用1"/>
    <w:link w:val="1"/>
    <w:unhideWhenUsed/>
    <w:qFormat/>
    <w:uiPriority w:val="99"/>
    <w:rPr>
      <w:vertAlign w:val="superscript"/>
    </w:rPr>
  </w:style>
  <w:style w:type="character" w:customStyle="1" w:styleId="274">
    <w:name w:val="脚注文本 Char1"/>
    <w:link w:val="1"/>
    <w:qFormat/>
    <w:uiPriority w:val="99"/>
    <w:rPr>
      <w:sz w:val="18"/>
      <w:lang w:val="zh-CN"/>
    </w:rPr>
  </w:style>
  <w:style w:type="character" w:customStyle="1" w:styleId="275">
    <w:name w:val="apple-style-span"/>
    <w:link w:val="1"/>
    <w:qFormat/>
    <w:uiPriority w:val="99"/>
  </w:style>
  <w:style w:type="character" w:customStyle="1" w:styleId="276">
    <w:name w:val="标题 Char1"/>
    <w:link w:val="1"/>
    <w:qFormat/>
    <w:uiPriority w:val="99"/>
    <w:rPr>
      <w:rFonts w:ascii="Cambria" w:hAnsi="Cambria"/>
      <w:b/>
      <w:sz w:val="32"/>
      <w:lang w:val="zh-CN"/>
    </w:rPr>
  </w:style>
  <w:style w:type="character" w:customStyle="1" w:styleId="277">
    <w:name w:val="textcontents"/>
    <w:link w:val="1"/>
    <w:qFormat/>
    <w:uiPriority w:val="99"/>
  </w:style>
  <w:style w:type="character" w:customStyle="1" w:styleId="278">
    <w:name w:val="纯文本 字符"/>
    <w:link w:val="1"/>
    <w:qFormat/>
    <w:uiPriority w:val="99"/>
    <w:rPr>
      <w:rFonts w:ascii="宋体" w:hAnsi="Courier New" w:eastAsia="宋体" w:cs="Courier New"/>
      <w:szCs w:val="21"/>
    </w:rPr>
  </w:style>
  <w:style w:type="character" w:customStyle="1" w:styleId="279">
    <w:name w:val="批注主题 Char1"/>
    <w:link w:val="1"/>
    <w:qFormat/>
    <w:uiPriority w:val="99"/>
    <w:rPr>
      <w:b/>
      <w:sz w:val="24"/>
      <w:lang w:val="zh-CN"/>
    </w:rPr>
  </w:style>
  <w:style w:type="character" w:customStyle="1" w:styleId="280">
    <w:name w:val="font21"/>
    <w:basedOn w:val="204"/>
    <w:link w:val="1"/>
    <w:qFormat/>
    <w:uiPriority w:val="99"/>
    <w:rPr>
      <w:rFonts w:hint="eastAsia" w:ascii="仿宋_GB2312" w:eastAsia="仿宋_GB2312" w:cs="仿宋_GB2312"/>
      <w:b/>
      <w:bCs/>
      <w:color w:val="000000"/>
      <w:sz w:val="24"/>
      <w:szCs w:val="24"/>
      <w:u w:val="none"/>
    </w:rPr>
  </w:style>
  <w:style w:type="character" w:customStyle="1" w:styleId="281">
    <w:name w:val="标题 1 Char1"/>
    <w:link w:val="1"/>
    <w:qFormat/>
    <w:uiPriority w:val="99"/>
    <w:rPr>
      <w:b/>
      <w:sz w:val="44"/>
      <w:lang w:val="zh-CN"/>
    </w:rPr>
  </w:style>
  <w:style w:type="character" w:customStyle="1" w:styleId="282">
    <w:name w:val="批注文字 字符2"/>
    <w:link w:val="1"/>
    <w:qFormat/>
    <w:uiPriority w:val="99"/>
    <w:rPr>
      <w:rFonts w:ascii="Times New Roman" w:hAnsi="Times New Roman"/>
      <w:sz w:val="21"/>
      <w:szCs w:val="24"/>
    </w:rPr>
  </w:style>
  <w:style w:type="character" w:customStyle="1" w:styleId="283">
    <w:name w:val="正文文本缩进 Char1"/>
    <w:link w:val="1"/>
    <w:qFormat/>
    <w:uiPriority w:val="99"/>
    <w:rPr>
      <w:rFonts w:ascii="仿宋_GB2312" w:eastAsia="仿宋_GB2312"/>
      <w:lang w:val="zh-CN"/>
    </w:rPr>
  </w:style>
  <w:style w:type="character" w:customStyle="1" w:styleId="284">
    <w:name w:val="纯文本 字符2"/>
    <w:link w:val="1"/>
    <w:qFormat/>
    <w:uiPriority w:val="99"/>
    <w:rPr>
      <w:rFonts w:ascii="宋体" w:hAnsi="Courier New"/>
      <w:sz w:val="21"/>
    </w:rPr>
  </w:style>
  <w:style w:type="character" w:customStyle="1" w:styleId="285">
    <w:name w:val="标题 9 Char1"/>
    <w:link w:val="1"/>
    <w:qFormat/>
    <w:uiPriority w:val="99"/>
    <w:rPr>
      <w:rFonts w:ascii="Arial" w:hAnsi="Arial" w:eastAsia="黑体"/>
      <w:sz w:val="24"/>
      <w:lang w:val="zh-CN"/>
    </w:rPr>
  </w:style>
  <w:style w:type="character" w:customStyle="1" w:styleId="286">
    <w:name w:val="font41"/>
    <w:link w:val="1"/>
    <w:qFormat/>
    <w:uiPriority w:val="99"/>
    <w:rPr>
      <w:rFonts w:hint="eastAsia" w:ascii="宋体" w:hAnsi="宋体" w:eastAsia="宋体" w:cs="宋体"/>
      <w:b/>
      <w:bCs/>
      <w:color w:val="000000"/>
      <w:sz w:val="20"/>
      <w:szCs w:val="20"/>
      <w:u w:val="none"/>
    </w:rPr>
  </w:style>
  <w:style w:type="character" w:customStyle="1" w:styleId="287">
    <w:name w:val="纯文本 字符1"/>
    <w:link w:val="1"/>
    <w:qFormat/>
    <w:uiPriority w:val="99"/>
    <w:rPr>
      <w:rFonts w:ascii="宋体" w:hAnsi="Courier New"/>
    </w:rPr>
  </w:style>
  <w:style w:type="character" w:customStyle="1" w:styleId="288">
    <w:name w:val="正文文本 (26) + 间距 0 pt"/>
    <w:link w:val="1"/>
    <w:qFormat/>
    <w:uiPriority w:val="99"/>
    <w:rPr>
      <w:rFonts w:ascii="宋体" w:hAnsi="宋体" w:eastAsia="宋体" w:cs="宋体"/>
      <w:color w:val="000000"/>
      <w:spacing w:val="0"/>
      <w:position w:val="0"/>
      <w:sz w:val="22"/>
      <w:szCs w:val="22"/>
      <w:u w:val="none"/>
      <w:lang w:val="zh-CN" w:eastAsia="zh-CN" w:bidi="zh-CN"/>
    </w:rPr>
  </w:style>
  <w:style w:type="character" w:customStyle="1" w:styleId="289">
    <w:name w:val="NormalCharacter1"/>
    <w:link w:val="1"/>
    <w:qFormat/>
    <w:uiPriority w:val="0"/>
  </w:style>
  <w:style w:type="character" w:customStyle="1" w:styleId="290">
    <w:name w:val="批注框文本 Char1"/>
    <w:link w:val="1"/>
    <w:semiHidden/>
    <w:qFormat/>
    <w:uiPriority w:val="99"/>
    <w:rPr>
      <w:sz w:val="18"/>
      <w:lang w:val="zh-CN"/>
    </w:rPr>
  </w:style>
  <w:style w:type="character" w:customStyle="1" w:styleId="291">
    <w:name w:val="正文文本 Char1"/>
    <w:link w:val="1"/>
    <w:qFormat/>
    <w:uiPriority w:val="99"/>
    <w:rPr>
      <w:sz w:val="21"/>
      <w:szCs w:val="24"/>
    </w:rPr>
  </w:style>
  <w:style w:type="character" w:customStyle="1" w:styleId="292">
    <w:name w:val="批注文字 Char"/>
    <w:link w:val="1"/>
    <w:qFormat/>
    <w:uiPriority w:val="99"/>
    <w:rPr>
      <w:rFonts w:ascii="Times New Roman" w:hAnsi="Times New Roman"/>
      <w:sz w:val="21"/>
      <w:szCs w:val="24"/>
    </w:rPr>
  </w:style>
  <w:style w:type="character" w:customStyle="1" w:styleId="293">
    <w:name w:val="批注文字 Char1"/>
    <w:link w:val="1"/>
    <w:qFormat/>
    <w:uiPriority w:val="99"/>
    <w:rPr>
      <w:rFonts w:ascii="Times New Roman" w:hAnsi="Times New Roman"/>
      <w:sz w:val="21"/>
      <w:szCs w:val="24"/>
    </w:rPr>
  </w:style>
  <w:style w:type="character" w:customStyle="1" w:styleId="294">
    <w:name w:val="正文文本 3 Char1"/>
    <w:link w:val="1"/>
    <w:qFormat/>
    <w:uiPriority w:val="99"/>
    <w:rPr>
      <w:b/>
      <w:sz w:val="24"/>
      <w:lang w:val="zh-CN"/>
    </w:rPr>
  </w:style>
  <w:style w:type="character" w:customStyle="1" w:styleId="295">
    <w:name w:val="标题 6 Char1"/>
    <w:link w:val="1"/>
    <w:qFormat/>
    <w:uiPriority w:val="99"/>
    <w:rPr>
      <w:rFonts w:ascii="Arial" w:hAnsi="Arial" w:eastAsia="黑体"/>
      <w:b/>
      <w:sz w:val="24"/>
      <w:lang w:val="zh-CN"/>
    </w:rPr>
  </w:style>
  <w:style w:type="character" w:customStyle="1" w:styleId="296">
    <w:name w:val="标题 3 Char1"/>
    <w:link w:val="1"/>
    <w:qFormat/>
    <w:uiPriority w:val="99"/>
    <w:rPr>
      <w:b/>
      <w:sz w:val="32"/>
      <w:lang w:val="zh-CN"/>
    </w:rPr>
  </w:style>
  <w:style w:type="character" w:customStyle="1" w:styleId="297">
    <w:name w:val="标题 7 Char1"/>
    <w:link w:val="1"/>
    <w:qFormat/>
    <w:uiPriority w:val="99"/>
    <w:rPr>
      <w:b/>
      <w:sz w:val="24"/>
      <w:lang w:val="zh-CN"/>
    </w:rPr>
  </w:style>
  <w:style w:type="character" w:customStyle="1" w:styleId="298">
    <w:name w:val="普通文字 Char Char2"/>
    <w:link w:val="1"/>
    <w:qFormat/>
    <w:uiPriority w:val="99"/>
    <w:rPr>
      <w:rFonts w:ascii="宋体" w:hAnsi="Courier New" w:eastAsia="宋体"/>
      <w:sz w:val="21"/>
      <w:lang w:val="en-US" w:eastAsia="zh-CN" w:bidi="ar-SA"/>
    </w:rPr>
  </w:style>
  <w:style w:type="character" w:customStyle="1" w:styleId="299">
    <w:name w:val="标题 1 字符"/>
    <w:link w:val="1"/>
    <w:qFormat/>
    <w:uiPriority w:val="99"/>
    <w:rPr>
      <w:rFonts w:ascii="Times New Roman" w:hAnsi="Times New Roman" w:eastAsia="宋体" w:cs="Times New Roman"/>
      <w:b/>
      <w:bCs/>
      <w:sz w:val="44"/>
      <w:szCs w:val="44"/>
    </w:rPr>
  </w:style>
  <w:style w:type="character" w:customStyle="1" w:styleId="300">
    <w:name w:val="纯文本 Char1"/>
    <w:link w:val="1"/>
    <w:qFormat/>
    <w:uiPriority w:val="99"/>
    <w:rPr>
      <w:rFonts w:ascii="宋体" w:hAnsi="Courier New" w:eastAsia="宋体" w:cs="Courier New"/>
      <w:szCs w:val="21"/>
    </w:rPr>
  </w:style>
  <w:style w:type="character" w:customStyle="1" w:styleId="301">
    <w:name w:val="批注文字 字符"/>
    <w:link w:val="1"/>
    <w:qFormat/>
    <w:uiPriority w:val="99"/>
    <w:rPr>
      <w:rFonts w:ascii="Times New Roman" w:hAnsi="Times New Roman"/>
      <w:sz w:val="21"/>
      <w:szCs w:val="24"/>
    </w:rPr>
  </w:style>
  <w:style w:type="character" w:customStyle="1" w:styleId="302">
    <w:name w:val="标题 5 Char"/>
    <w:link w:val="1"/>
    <w:qFormat/>
    <w:uiPriority w:val="99"/>
    <w:rPr>
      <w:b/>
      <w:sz w:val="28"/>
      <w:szCs w:val="24"/>
    </w:rPr>
  </w:style>
  <w:style w:type="character" w:customStyle="1" w:styleId="303">
    <w:name w:val="页眉 字符"/>
    <w:link w:val="1"/>
    <w:qFormat/>
    <w:uiPriority w:val="99"/>
    <w:rPr>
      <w:rFonts w:ascii="Times New Roman" w:hAnsi="Times New Roman"/>
      <w:sz w:val="18"/>
    </w:rPr>
  </w:style>
  <w:style w:type="character" w:customStyle="1" w:styleId="304">
    <w:name w:val="font151"/>
    <w:link w:val="1"/>
    <w:qFormat/>
    <w:uiPriority w:val="99"/>
    <w:rPr>
      <w:rFonts w:hint="eastAsia" w:ascii="宋体" w:hAnsi="宋体" w:eastAsia="宋体" w:cs="宋体"/>
      <w:b/>
      <w:bCs/>
      <w:color w:val="000000"/>
      <w:sz w:val="18"/>
      <w:szCs w:val="18"/>
      <w:u w:val="none"/>
    </w:rPr>
  </w:style>
  <w:style w:type="character" w:customStyle="1" w:styleId="305">
    <w:name w:val="font141"/>
    <w:link w:val="1"/>
    <w:qFormat/>
    <w:uiPriority w:val="99"/>
    <w:rPr>
      <w:rFonts w:hint="eastAsia" w:ascii="仿宋_GB2312" w:eastAsia="仿宋_GB2312" w:cs="仿宋_GB2312"/>
      <w:color w:val="000000"/>
      <w:sz w:val="24"/>
      <w:szCs w:val="24"/>
      <w:u w:val="none"/>
    </w:rPr>
  </w:style>
  <w:style w:type="character" w:customStyle="1" w:styleId="306">
    <w:name w:val="尾注文本 Char1"/>
    <w:link w:val="1"/>
    <w:qFormat/>
    <w:uiPriority w:val="99"/>
    <w:rPr>
      <w:sz w:val="24"/>
      <w:lang w:val="zh-CN"/>
    </w:rPr>
  </w:style>
  <w:style w:type="character" w:customStyle="1" w:styleId="307">
    <w:name w:val="font11"/>
    <w:link w:val="1"/>
    <w:qFormat/>
    <w:uiPriority w:val="99"/>
    <w:rPr>
      <w:rFonts w:hint="eastAsia" w:ascii="宋体" w:hAnsi="宋体" w:eastAsia="宋体" w:cs="宋体"/>
      <w:color w:val="000000"/>
      <w:sz w:val="22"/>
      <w:szCs w:val="22"/>
      <w:u w:val="none"/>
    </w:rPr>
  </w:style>
  <w:style w:type="character" w:customStyle="1" w:styleId="308">
    <w:name w:val="正文文本缩进 2 Char1"/>
    <w:link w:val="1"/>
    <w:qFormat/>
    <w:uiPriority w:val="99"/>
    <w:rPr>
      <w:lang w:val="zh-CN"/>
    </w:rPr>
  </w:style>
  <w:style w:type="character" w:customStyle="1" w:styleId="309">
    <w:name w:val="标题 8 Char1"/>
    <w:link w:val="1"/>
    <w:qFormat/>
    <w:uiPriority w:val="99"/>
    <w:rPr>
      <w:rFonts w:ascii="Arial" w:hAnsi="Arial" w:eastAsia="黑体"/>
      <w:sz w:val="24"/>
      <w:lang w:val="zh-CN"/>
    </w:rPr>
  </w:style>
  <w:style w:type="character" w:customStyle="1" w:styleId="310">
    <w:name w:val="日期 Char1"/>
    <w:link w:val="1"/>
    <w:qFormat/>
    <w:uiPriority w:val="99"/>
    <w:rPr>
      <w:rFonts w:ascii="宋体" w:hAnsi="Courier New"/>
      <w:sz w:val="21"/>
      <w:lang w:val="zh-CN"/>
    </w:rPr>
  </w:style>
  <w:style w:type="character" w:customStyle="1" w:styleId="311">
    <w:name w:val="正文文本 2 Char1"/>
    <w:link w:val="1"/>
    <w:qFormat/>
    <w:uiPriority w:val="99"/>
    <w:rPr>
      <w:sz w:val="24"/>
      <w:lang w:val="zh-CN"/>
    </w:rPr>
  </w:style>
  <w:style w:type="character" w:customStyle="1" w:styleId="312">
    <w:name w:val="正文文本缩进 3 Char1"/>
    <w:link w:val="1"/>
    <w:qFormat/>
    <w:uiPriority w:val="99"/>
    <w:rPr>
      <w:sz w:val="16"/>
      <w:lang w:val="zh-CN"/>
    </w:rPr>
  </w:style>
  <w:style w:type="character" w:customStyle="1" w:styleId="313">
    <w:name w:val="case31"/>
    <w:link w:val="1"/>
    <w:qFormat/>
    <w:uiPriority w:val="99"/>
    <w:rPr>
      <w:sz w:val="21"/>
      <w:szCs w:val="21"/>
    </w:rPr>
  </w:style>
  <w:style w:type="character" w:customStyle="1" w:styleId="314">
    <w:name w:val="纯文本 Char"/>
    <w:link w:val="1"/>
    <w:qFormat/>
    <w:uiPriority w:val="99"/>
    <w:rPr>
      <w:rFonts w:ascii="宋体" w:hAnsi="Courier New" w:eastAsia="宋体" w:cs="Courier New"/>
      <w:szCs w:val="21"/>
    </w:rPr>
  </w:style>
  <w:style w:type="character" w:customStyle="1" w:styleId="315">
    <w:name w:val="headline-content4"/>
    <w:link w:val="1"/>
    <w:qFormat/>
    <w:uiPriority w:val="99"/>
  </w:style>
  <w:style w:type="character" w:customStyle="1" w:styleId="316">
    <w:name w:val="页脚 字符"/>
    <w:link w:val="1"/>
    <w:qFormat/>
    <w:uiPriority w:val="99"/>
    <w:rPr>
      <w:sz w:val="18"/>
    </w:rPr>
  </w:style>
  <w:style w:type="character" w:customStyle="1" w:styleId="317">
    <w:name w:val="标题 2 Char1"/>
    <w:link w:val="1"/>
    <w:qFormat/>
    <w:uiPriority w:val="99"/>
    <w:rPr>
      <w:rFonts w:ascii="Arial" w:hAnsi="Arial" w:eastAsia="黑体"/>
      <w:b/>
      <w:sz w:val="32"/>
      <w:lang w:val="zh-CN"/>
    </w:rPr>
  </w:style>
  <w:style w:type="character" w:customStyle="1" w:styleId="318">
    <w:name w:val="标题 5 Char1"/>
    <w:link w:val="1"/>
    <w:qFormat/>
    <w:uiPriority w:val="0"/>
    <w:rPr>
      <w:b/>
      <w:sz w:val="28"/>
      <w:szCs w:val="24"/>
    </w:rPr>
  </w:style>
  <w:style w:type="character" w:customStyle="1" w:styleId="319">
    <w:name w:val="正文文本缩进 字符"/>
    <w:link w:val="1"/>
    <w:qFormat/>
    <w:uiPriority w:val="99"/>
    <w:rPr>
      <w:rFonts w:ascii="仿宋_GB2312" w:hAnsi="Times New Roman" w:eastAsia="仿宋_GB2312" w:cs="Times New Roman"/>
      <w:sz w:val="32"/>
      <w:szCs w:val="20"/>
    </w:rPr>
  </w:style>
  <w:style w:type="paragraph" w:customStyle="1" w:styleId="320">
    <w:name w:val="xl67"/>
    <w:basedOn w:val="1"/>
    <w:qFormat/>
    <w:uiPriority w:val="99"/>
    <w:pPr>
      <w:widowControl/>
      <w:shd w:val="clear" w:color="000000" w:fill="FFFFFF"/>
      <w:spacing w:before="100" w:beforeAutospacing="1" w:after="100" w:afterAutospacing="1"/>
      <w:jc w:val="left"/>
    </w:pPr>
    <w:rPr>
      <w:rFonts w:ascii="宋体" w:hAnsi="宋体" w:cs="宋体"/>
      <w:sz w:val="24"/>
    </w:rPr>
  </w:style>
  <w:style w:type="paragraph" w:customStyle="1" w:styleId="321">
    <w:name w:val="xl86"/>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2"/>
      <w:szCs w:val="22"/>
    </w:rPr>
  </w:style>
  <w:style w:type="paragraph" w:customStyle="1" w:styleId="322">
    <w:name w:val="样式 标题 2 + Times New Roman 四号 非加粗 段前: 5 磅 段后: 0 磅 行距: 固定值 20..."/>
    <w:basedOn w:val="195"/>
    <w:qFormat/>
    <w:uiPriority w:val="99"/>
    <w:pPr>
      <w:spacing w:before="100" w:after="0" w:line="400" w:lineRule="exact"/>
    </w:pPr>
    <w:rPr>
      <w:rFonts w:ascii="Times New Roman" w:hAnsi="Times New Roman" w:cs="宋体"/>
      <w:b w:val="0"/>
      <w:bCs w:val="0"/>
      <w:sz w:val="28"/>
      <w:szCs w:val="20"/>
    </w:rPr>
  </w:style>
  <w:style w:type="paragraph" w:customStyle="1" w:styleId="323">
    <w:name w:val="xl74"/>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4"/>
    </w:rPr>
  </w:style>
  <w:style w:type="paragraph" w:customStyle="1" w:styleId="324">
    <w:name w:val="font5"/>
    <w:basedOn w:val="1"/>
    <w:qFormat/>
    <w:uiPriority w:val="99"/>
    <w:pPr>
      <w:widowControl/>
      <w:spacing w:before="100" w:beforeAutospacing="1" w:after="100" w:afterAutospacing="1"/>
      <w:jc w:val="left"/>
    </w:pPr>
    <w:rPr>
      <w:rFonts w:ascii="宋体" w:hAnsi="宋体" w:cs="宋体"/>
      <w:szCs w:val="21"/>
    </w:rPr>
  </w:style>
  <w:style w:type="paragraph" w:customStyle="1" w:styleId="325">
    <w:name w:val="xl82"/>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sz w:val="22"/>
      <w:szCs w:val="22"/>
    </w:rPr>
  </w:style>
  <w:style w:type="paragraph" w:customStyle="1" w:styleId="326">
    <w:name w:val="无间隔"/>
    <w:qFormat/>
    <w:uiPriority w:val="99"/>
    <w:pPr>
      <w:widowControl w:val="0"/>
      <w:jc w:val="both"/>
    </w:pPr>
    <w:rPr>
      <w:rFonts w:hint="default" w:ascii="Calibri" w:hAnsi="Calibri" w:eastAsia="宋体" w:cs="Times New Roman"/>
      <w:sz w:val="21"/>
      <w:szCs w:val="22"/>
      <w:lang w:val="en-US" w:eastAsia="zh-CN" w:bidi="ar-SA"/>
    </w:rPr>
  </w:style>
  <w:style w:type="paragraph" w:customStyle="1" w:styleId="327">
    <w:name w:val="xl65"/>
    <w:basedOn w:val="1"/>
    <w:qFormat/>
    <w:uiPriority w:val="99"/>
    <w:pPr>
      <w:widowControl/>
      <w:shd w:val="clear" w:color="000000" w:fill="FFFF00"/>
      <w:spacing w:before="100" w:beforeAutospacing="1" w:after="100" w:afterAutospacing="1"/>
      <w:jc w:val="left"/>
    </w:pPr>
    <w:rPr>
      <w:rFonts w:ascii="宋体" w:hAnsi="宋体" w:cs="宋体"/>
      <w:sz w:val="24"/>
    </w:rPr>
  </w:style>
  <w:style w:type="paragraph" w:customStyle="1" w:styleId="328">
    <w:name w:val="xl87"/>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sz w:val="22"/>
      <w:szCs w:val="22"/>
    </w:rPr>
  </w:style>
  <w:style w:type="paragraph" w:customStyle="1" w:styleId="329">
    <w:name w:val="xl8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2"/>
      <w:szCs w:val="22"/>
    </w:rPr>
  </w:style>
  <w:style w:type="paragraph" w:customStyle="1" w:styleId="330">
    <w:name w:val="正文2"/>
    <w:basedOn w:val="1"/>
    <w:qFormat/>
    <w:uiPriority w:val="99"/>
    <w:pPr>
      <w:spacing w:before="156" w:line="360" w:lineRule="auto"/>
      <w:ind w:firstLine="510"/>
    </w:pPr>
    <w:rPr>
      <w:sz w:val="24"/>
      <w:szCs w:val="20"/>
    </w:rPr>
  </w:style>
  <w:style w:type="paragraph" w:customStyle="1" w:styleId="331">
    <w:name w:val="列出段落"/>
    <w:basedOn w:val="1"/>
    <w:qFormat/>
    <w:uiPriority w:val="99"/>
    <w:pPr>
      <w:ind w:firstLine="420"/>
    </w:pPr>
  </w:style>
  <w:style w:type="paragraph" w:customStyle="1" w:styleId="332">
    <w:name w:val="正文首行缩进两字符"/>
    <w:basedOn w:val="1"/>
    <w:qFormat/>
    <w:uiPriority w:val="99"/>
    <w:pPr>
      <w:spacing w:line="360" w:lineRule="auto"/>
      <w:ind w:firstLine="200"/>
    </w:pPr>
  </w:style>
  <w:style w:type="paragraph" w:customStyle="1" w:styleId="333">
    <w:name w:val="样式"/>
    <w:qFormat/>
    <w:uiPriority w:val="99"/>
    <w:pPr>
      <w:widowControl w:val="0"/>
      <w:jc w:val="center"/>
    </w:pPr>
    <w:rPr>
      <w:rFonts w:hint="default" w:ascii="宋体" w:hAnsi="宋体" w:eastAsia="宋体" w:cs="宋体"/>
      <w:sz w:val="24"/>
      <w:szCs w:val="24"/>
      <w:lang w:val="en-US" w:eastAsia="zh-CN" w:bidi="ar-SA"/>
    </w:rPr>
  </w:style>
  <w:style w:type="paragraph" w:customStyle="1" w:styleId="334">
    <w:name w:val="表格"/>
    <w:basedOn w:val="1"/>
    <w:qFormat/>
    <w:uiPriority w:val="99"/>
    <w:pPr>
      <w:spacing w:line="400" w:lineRule="exact"/>
    </w:pPr>
    <w:rPr>
      <w:sz w:val="24"/>
    </w:rPr>
  </w:style>
  <w:style w:type="paragraph" w:customStyle="1" w:styleId="335">
    <w:name w:val="xl66"/>
    <w:basedOn w:val="1"/>
    <w:qFormat/>
    <w:uiPriority w:val="99"/>
    <w:pPr>
      <w:widowControl/>
      <w:spacing w:before="100" w:beforeAutospacing="1" w:after="100" w:afterAutospacing="1"/>
      <w:jc w:val="center"/>
    </w:pPr>
    <w:rPr>
      <w:rFonts w:ascii="宋体" w:hAnsi="宋体" w:cs="宋体"/>
      <w:sz w:val="24"/>
    </w:rPr>
  </w:style>
  <w:style w:type="paragraph" w:customStyle="1" w:styleId="336">
    <w:name w:val="表格文字"/>
    <w:basedOn w:val="224"/>
    <w:next w:val="222"/>
    <w:unhideWhenUsed/>
    <w:qFormat/>
    <w:uiPriority w:val="0"/>
    <w:pPr>
      <w:numPr>
        <w:ilvl w:val="0"/>
        <w:numId w:val="3"/>
      </w:numPr>
      <w:spacing w:before="25" w:after="25"/>
      <w:ind w:firstLine="0"/>
      <w:jc w:val="left"/>
    </w:pPr>
    <w:rPr>
      <w:rFonts w:cs="Times New Roman"/>
      <w:bCs/>
      <w:spacing w:val="10"/>
      <w:sz w:val="24"/>
      <w:szCs w:val="22"/>
      <w:lang w:val="en-US" w:eastAsia="zh-CN"/>
    </w:rPr>
  </w:style>
  <w:style w:type="paragraph" w:customStyle="1" w:styleId="337">
    <w:name w:val="xl72"/>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b/>
      <w:bCs/>
      <w:sz w:val="24"/>
    </w:rPr>
  </w:style>
  <w:style w:type="paragraph" w:customStyle="1" w:styleId="338">
    <w:name w:val="xl68"/>
    <w:basedOn w:val="1"/>
    <w:qFormat/>
    <w:uiPriority w:val="99"/>
    <w:pPr>
      <w:widowControl/>
      <w:pBdr>
        <w:top w:val="single" w:color="000000" w:sz="4" w:space="0"/>
        <w:left w:val="single" w:color="000000" w:sz="4" w:space="0"/>
        <w:right w:val="single" w:color="000000" w:sz="4" w:space="0"/>
      </w:pBdr>
      <w:shd w:val="clear" w:color="000000" w:fill="FFFFFF"/>
      <w:spacing w:before="100" w:beforeAutospacing="1" w:after="100" w:afterAutospacing="1"/>
      <w:jc w:val="center"/>
    </w:pPr>
    <w:rPr>
      <w:b/>
      <w:bCs/>
      <w:sz w:val="24"/>
    </w:rPr>
  </w:style>
  <w:style w:type="paragraph" w:customStyle="1" w:styleId="339">
    <w:name w:val="Char1"/>
    <w:basedOn w:val="1"/>
    <w:qFormat/>
    <w:uiPriority w:val="99"/>
    <w:rPr>
      <w:szCs w:val="21"/>
    </w:rPr>
  </w:style>
  <w:style w:type="paragraph" w:customStyle="1" w:styleId="340">
    <w:name w:val="xl70"/>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sz w:val="22"/>
      <w:szCs w:val="22"/>
    </w:rPr>
  </w:style>
  <w:style w:type="paragraph" w:customStyle="1" w:styleId="341">
    <w:name w:val="xl69"/>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sz w:val="22"/>
      <w:szCs w:val="22"/>
    </w:rPr>
  </w:style>
  <w:style w:type="paragraph" w:customStyle="1" w:styleId="342">
    <w:name w:val="表内文字"/>
    <w:basedOn w:val="1"/>
    <w:qFormat/>
    <w:uiPriority w:val="99"/>
    <w:pPr>
      <w:spacing w:before="50" w:after="50"/>
      <w:jc w:val="center"/>
    </w:pPr>
    <w:rPr>
      <w:rFonts w:ascii="仿宋_GB2312" w:hAnsi="宋体" w:eastAsia="仿宋_GB2312"/>
      <w:b/>
      <w:color w:val="000000"/>
      <w:sz w:val="32"/>
      <w:szCs w:val="32"/>
    </w:rPr>
  </w:style>
  <w:style w:type="paragraph" w:customStyle="1" w:styleId="343">
    <w:name w:val="正文段"/>
    <w:basedOn w:val="1"/>
    <w:qFormat/>
    <w:uiPriority w:val="99"/>
    <w:pPr>
      <w:widowControl/>
      <w:spacing w:after="50"/>
      <w:ind w:firstLine="200"/>
    </w:pPr>
    <w:rPr>
      <w:sz w:val="24"/>
      <w:szCs w:val="20"/>
    </w:rPr>
  </w:style>
  <w:style w:type="paragraph" w:customStyle="1" w:styleId="344">
    <w:name w:val="xl75"/>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FF0000"/>
      <w:sz w:val="22"/>
      <w:szCs w:val="22"/>
    </w:rPr>
  </w:style>
  <w:style w:type="paragraph" w:customStyle="1" w:styleId="345">
    <w:name w:val="Revision1"/>
    <w:qFormat/>
    <w:uiPriority w:val="99"/>
    <w:rPr>
      <w:rFonts w:hint="default" w:ascii="Times New Roman" w:hAnsi="Times New Roman" w:eastAsia="宋体" w:cs="Times New Roman"/>
      <w:sz w:val="21"/>
      <w:szCs w:val="24"/>
      <w:lang w:val="en-US" w:eastAsia="zh-CN" w:bidi="ar-SA"/>
    </w:rPr>
  </w:style>
  <w:style w:type="paragraph" w:customStyle="1" w:styleId="346">
    <w:name w:val="xl85"/>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2"/>
      <w:szCs w:val="22"/>
    </w:rPr>
  </w:style>
  <w:style w:type="paragraph" w:customStyle="1" w:styleId="347">
    <w:name w:val="1"/>
    <w:basedOn w:val="1"/>
    <w:next w:val="331"/>
    <w:qFormat/>
    <w:uiPriority w:val="99"/>
    <w:pPr>
      <w:ind w:firstLine="420"/>
    </w:pPr>
  </w:style>
  <w:style w:type="paragraph" w:customStyle="1" w:styleId="348">
    <w:name w:val="默认段落字体 Para Char Char Char Char Char Char Char Char Char1 Char Char Char Char"/>
    <w:basedOn w:val="1"/>
    <w:qFormat/>
    <w:uiPriority w:val="99"/>
    <w:rPr>
      <w:rFonts w:ascii="Tahoma" w:hAnsi="Tahoma"/>
      <w:sz w:val="24"/>
      <w:szCs w:val="20"/>
    </w:rPr>
  </w:style>
  <w:style w:type="paragraph" w:customStyle="1" w:styleId="349">
    <w:name w:val="xl22"/>
    <w:basedOn w:val="1"/>
    <w:qFormat/>
    <w:uiPriority w:val="99"/>
    <w:pPr>
      <w:widowControl/>
      <w:spacing w:before="100" w:beforeAutospacing="1" w:after="100" w:afterAutospacing="1"/>
      <w:jc w:val="left"/>
    </w:pPr>
    <w:rPr>
      <w:rFonts w:ascii="Arial Unicode MS" w:hAnsi="Arial Unicode MS" w:eastAsia="Arial Unicode MS" w:cs="Arial Unicode MS"/>
      <w:sz w:val="20"/>
      <w:szCs w:val="20"/>
    </w:rPr>
  </w:style>
  <w:style w:type="paragraph" w:customStyle="1" w:styleId="350">
    <w:name w:val="纯文本1"/>
    <w:basedOn w:val="1"/>
    <w:qFormat/>
    <w:uiPriority w:val="99"/>
    <w:rPr>
      <w:rFonts w:ascii="宋体" w:hAnsi="Courier New" w:cs="Century"/>
      <w:szCs w:val="21"/>
    </w:rPr>
  </w:style>
  <w:style w:type="paragraph" w:customStyle="1" w:styleId="351">
    <w:name w:val="font6"/>
    <w:basedOn w:val="1"/>
    <w:qFormat/>
    <w:uiPriority w:val="99"/>
    <w:pPr>
      <w:widowControl/>
      <w:spacing w:before="100" w:beforeAutospacing="1" w:after="100" w:afterAutospacing="1"/>
      <w:jc w:val="left"/>
    </w:pPr>
    <w:rPr>
      <w:rFonts w:ascii="宋体" w:hAnsi="宋体" w:cs="宋体"/>
      <w:sz w:val="18"/>
      <w:szCs w:val="18"/>
    </w:rPr>
  </w:style>
  <w:style w:type="paragraph" w:customStyle="1" w:styleId="352">
    <w:name w:val="Table Paragraph"/>
    <w:basedOn w:val="1"/>
    <w:qFormat/>
    <w:uiPriority w:val="99"/>
    <w:pPr>
      <w:jc w:val="left"/>
    </w:pPr>
    <w:rPr>
      <w:rFonts w:ascii="Calibri" w:hAnsi="Calibri" w:eastAsia="宋体" w:cs="Times New Roman"/>
      <w:sz w:val="22"/>
      <w:szCs w:val="22"/>
      <w:lang w:eastAsia="en-US"/>
    </w:rPr>
  </w:style>
  <w:style w:type="paragraph" w:customStyle="1" w:styleId="353">
    <w:name w:val="样式 首行缩进:  2 字符"/>
    <w:basedOn w:val="1"/>
    <w:qFormat/>
    <w:uiPriority w:val="99"/>
    <w:pPr>
      <w:spacing w:line="400" w:lineRule="exact"/>
      <w:ind w:firstLine="200"/>
    </w:pPr>
    <w:rPr>
      <w:rFonts w:cs="宋体"/>
      <w:sz w:val="24"/>
    </w:rPr>
  </w:style>
  <w:style w:type="paragraph" w:customStyle="1" w:styleId="354">
    <w:name w:val="样式 标题 3 + (中文) 黑体 小四 非加粗 段前: 7.8 磅 段后: 0 磅 行距: 固定值 20 磅"/>
    <w:basedOn w:val="196"/>
    <w:qFormat/>
    <w:uiPriority w:val="99"/>
    <w:pPr>
      <w:spacing w:before="0" w:after="0" w:line="400" w:lineRule="exact"/>
    </w:pPr>
    <w:rPr>
      <w:rFonts w:eastAsia="黑体" w:cs="宋体"/>
      <w:b w:val="0"/>
      <w:bCs w:val="0"/>
      <w:sz w:val="24"/>
      <w:szCs w:val="20"/>
    </w:rPr>
  </w:style>
  <w:style w:type="paragraph" w:customStyle="1" w:styleId="355">
    <w:name w:val="xl78"/>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sz w:val="22"/>
      <w:szCs w:val="22"/>
    </w:rPr>
  </w:style>
  <w:style w:type="paragraph" w:customStyle="1" w:styleId="356">
    <w:name w:val="UserStyle_36"/>
    <w:qFormat/>
    <w:uiPriority w:val="0"/>
    <w:pPr>
      <w:spacing w:line="360" w:lineRule="exact"/>
    </w:pPr>
    <w:rPr>
      <w:rFonts w:hint="default" w:ascii="宋体" w:hAnsi="Calibri" w:eastAsia="宋体" w:cs="Times New Roman"/>
      <w:color w:val="000000"/>
      <w:sz w:val="24"/>
      <w:szCs w:val="24"/>
      <w:lang w:val="en-US" w:eastAsia="zh-CN" w:bidi="ar-SA"/>
    </w:rPr>
  </w:style>
  <w:style w:type="paragraph" w:customStyle="1" w:styleId="357">
    <w:name w:val="_Style 120"/>
    <w:unhideWhenUsed/>
    <w:qFormat/>
    <w:uiPriority w:val="99"/>
    <w:pPr>
      <w:widowControl w:val="0"/>
      <w:jc w:val="both"/>
    </w:pPr>
    <w:rPr>
      <w:rFonts w:hint="default" w:ascii="Times New Roman" w:hAnsi="Times New Roman" w:eastAsia="宋体" w:cs="Times New Roman"/>
      <w:sz w:val="21"/>
      <w:szCs w:val="24"/>
      <w:lang w:val="en-US" w:eastAsia="zh-CN" w:bidi="ar-SA"/>
    </w:rPr>
  </w:style>
  <w:style w:type="paragraph" w:customStyle="1" w:styleId="358">
    <w:name w:val="xl71"/>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2"/>
      <w:szCs w:val="22"/>
    </w:rPr>
  </w:style>
  <w:style w:type="paragraph" w:customStyle="1" w:styleId="359">
    <w:name w:val="xl84"/>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sz w:val="22"/>
      <w:szCs w:val="22"/>
    </w:rPr>
  </w:style>
  <w:style w:type="paragraph" w:customStyle="1" w:styleId="360">
    <w:name w:val="xl73"/>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4"/>
    </w:rPr>
  </w:style>
  <w:style w:type="paragraph" w:customStyle="1" w:styleId="361">
    <w:name w:val="xl76"/>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Cs w:val="21"/>
    </w:rPr>
  </w:style>
  <w:style w:type="paragraph" w:customStyle="1" w:styleId="362">
    <w:name w:val="xl77"/>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b/>
      <w:bCs/>
      <w:color w:val="000000"/>
      <w:sz w:val="22"/>
      <w:szCs w:val="22"/>
    </w:rPr>
  </w:style>
  <w:style w:type="paragraph" w:customStyle="1" w:styleId="363">
    <w:name w:val="xl79"/>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2"/>
      <w:szCs w:val="22"/>
    </w:rPr>
  </w:style>
  <w:style w:type="paragraph" w:customStyle="1" w:styleId="364">
    <w:name w:val="xl80"/>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b/>
      <w:bCs/>
      <w:color w:val="000000"/>
      <w:sz w:val="22"/>
      <w:szCs w:val="22"/>
    </w:rPr>
  </w:style>
  <w:style w:type="paragraph" w:customStyle="1" w:styleId="365">
    <w:name w:val="font7"/>
    <w:basedOn w:val="1"/>
    <w:qFormat/>
    <w:uiPriority w:val="99"/>
    <w:pPr>
      <w:widowControl/>
      <w:spacing w:before="100" w:beforeAutospacing="1" w:after="100" w:afterAutospacing="1"/>
      <w:jc w:val="left"/>
    </w:pPr>
    <w:rPr>
      <w:rFonts w:ascii="宋体" w:hAnsi="宋体" w:cs="宋体"/>
      <w:sz w:val="22"/>
      <w:szCs w:val="22"/>
    </w:rPr>
  </w:style>
  <w:style w:type="paragraph" w:customStyle="1" w:styleId="366">
    <w:name w:val="xl81"/>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2"/>
      <w:szCs w:val="22"/>
    </w:rPr>
  </w:style>
  <w:style w:type="paragraph" w:customStyle="1" w:styleId="367">
    <w:name w:val="xl83"/>
    <w:basedOn w:val="1"/>
    <w:qFormat/>
    <w:uiPriority w:val="99"/>
    <w:pPr>
      <w:widowControl/>
      <w:spacing w:before="100" w:beforeAutospacing="1" w:after="100" w:afterAutospacing="1"/>
      <w:jc w:val="left"/>
    </w:pPr>
    <w:rPr>
      <w:rFonts w:ascii="宋体" w:hAnsi="宋体" w:cs="宋体"/>
      <w:sz w:val="22"/>
      <w:szCs w:val="22"/>
    </w:rPr>
  </w:style>
  <w:style w:type="table" w:customStyle="1" w:styleId="368">
    <w:name w:val="网格型2"/>
    <w:qFormat/>
    <w:uiPriority w:val="99"/>
    <w:rPr>
      <w:rFonts w:ascii="Calibri" w:hAnsi="Calibri"/>
      <w:lang w:val="en-US" w:eastAsia="zh-CN" w:bidi="ar-S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369">
    <w:name w:val="网格型1"/>
    <w:qFormat/>
    <w:uiPriority w:val="99"/>
    <w:rPr>
      <w:rFonts w:ascii="Calibri" w:hAnsi="Calibri"/>
      <w:lang w:val="en-US" w:eastAsia="zh-CN" w:bidi="ar-S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370">
    <w:name w:val="Table Normal1"/>
    <w:semiHidden/>
    <w:qFormat/>
    <w:uiPriority w:val="99"/>
    <w:pPr>
      <w:widowControl w:val="0"/>
    </w:pPr>
    <w:rPr>
      <w:rFonts w:ascii="Calibri" w:hAnsi="Calibri"/>
      <w:sz w:val="22"/>
      <w:lang w:val="en-US" w:eastAsia="en-US" w:bidi="ar-SA"/>
    </w:rPr>
    <w:tblPr>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371">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372">
    <w:name w:val="网格型3"/>
    <w:qFormat/>
    <w:uiPriority w:val="99"/>
    <w:pPr>
      <w:widowControl w:val="0"/>
      <w:jc w:val="both"/>
    </w:pPr>
    <w:rPr>
      <w:lang w:val="en-US" w:eastAsia="zh-CN" w:bidi="ar-S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373">
    <w:name w:val="Table Normal11"/>
    <w:semiHidden/>
    <w:qFormat/>
    <w:uiPriority w:val="99"/>
    <w:pPr>
      <w:widowControl w:val="0"/>
    </w:pPr>
    <w:rPr>
      <w:rFonts w:ascii="Calibri" w:hAnsi="Calibri"/>
      <w:sz w:val="22"/>
      <w:lang w:val="en-US" w:eastAsia="en-US" w:bidi="ar-SA"/>
    </w:rPr>
    <w:tblPr>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374">
    <w:name w:val="网格型11"/>
    <w:qFormat/>
    <w:uiPriority w:val="99"/>
    <w:rPr>
      <w:rFonts w:ascii="Calibri" w:hAnsi="Calibri"/>
      <w:lang w:val="en-US" w:eastAsia="zh-CN" w:bidi="ar-S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375">
    <w:name w:val="网格型21"/>
    <w:qFormat/>
    <w:uiPriority w:val="99"/>
    <w:rPr>
      <w:rFonts w:ascii="Calibri" w:hAnsi="Calibri"/>
      <w:lang w:val="en-US" w:eastAsia="zh-CN" w:bidi="ar-S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376">
    <w:name w:val="样式1"/>
    <w:basedOn w:val="1"/>
    <w:qFormat/>
    <w:uiPriority w:val="0"/>
    <w:pPr>
      <w:spacing w:line="360" w:lineRule="auto"/>
    </w:pPr>
    <w:rPr>
      <w:rFonts w:ascii="宋体"/>
      <w:sz w:val="24"/>
    </w:rPr>
  </w:style>
  <w:style w:type="paragraph" w:customStyle="1" w:styleId="377">
    <w:name w:val="Table Text"/>
    <w:basedOn w:val="1"/>
    <w:semiHidden/>
    <w:qFormat/>
    <w:uiPriority w:val="0"/>
    <w:rPr>
      <w:rFonts w:ascii="宋体" w:hAnsi="宋体" w:eastAsia="宋体" w:cs="宋体"/>
      <w:sz w:val="19"/>
      <w:szCs w:val="19"/>
      <w:lang w:val="en-US" w:eastAsia="en-US" w:bidi="ar-SA"/>
    </w:rPr>
  </w:style>
  <w:style w:type="paragraph" w:customStyle="1" w:styleId="378">
    <w:name w:val="Normal_0"/>
    <w:qFormat/>
    <w:uiPriority w:val="0"/>
    <w:rPr>
      <w:rFonts w:hint="default" w:ascii="Times New Roman" w:hAnsi="Times New Roman" w:eastAsia="Times New Roman" w:cs="Times New Roman"/>
      <w:sz w:val="24"/>
      <w:szCs w:val="24"/>
      <w:lang w:val="en-US" w:eastAsia="zh-CN" w:bidi="ar-SA"/>
    </w:rPr>
  </w:style>
  <w:style w:type="paragraph" w:customStyle="1" w:styleId="379">
    <w:name w:val="Other|1"/>
    <w:basedOn w:val="1"/>
    <w:qFormat/>
    <w:uiPriority w:val="0"/>
    <w:pPr>
      <w:spacing w:line="360" w:lineRule="auto"/>
      <w:ind w:firstLine="400"/>
      <w:jc w:val="left"/>
    </w:pPr>
    <w:rPr>
      <w:rFonts w:ascii="宋体" w:hAnsi="宋体" w:cs="宋体"/>
      <w:sz w:val="20"/>
      <w:szCs w:val="20"/>
      <w:lang w:val="zh-CN" w:bidi="zh-CN"/>
    </w:rPr>
  </w:style>
  <w:style w:type="character" w:customStyle="1" w:styleId="380">
    <w:name w:val="font71"/>
    <w:basedOn w:val="204"/>
    <w:link w:val="1"/>
    <w:qFormat/>
    <w:uiPriority w:val="0"/>
    <w:rPr>
      <w:rFonts w:hint="eastAsia" w:ascii="宋体" w:hAnsi="宋体" w:eastAsia="宋体" w:cs="宋体"/>
      <w:b/>
      <w:bCs/>
      <w:color w:val="000000"/>
      <w:sz w:val="20"/>
      <w:szCs w:val="20"/>
      <w:u w:val="none"/>
      <w:vertAlign w:val="superscript"/>
    </w:rPr>
  </w:style>
  <w:style w:type="character" w:customStyle="1" w:styleId="381">
    <w:name w:val="font51"/>
    <w:basedOn w:val="204"/>
    <w:link w:val="1"/>
    <w:qFormat/>
    <w:uiPriority w:val="0"/>
    <w:rPr>
      <w:rFonts w:hint="eastAsia" w:ascii="宋体" w:hAnsi="宋体" w:eastAsia="宋体" w:cs="宋体"/>
      <w:b/>
      <w:bCs/>
      <w:color w:val="000000"/>
      <w:sz w:val="20"/>
      <w:szCs w:val="20"/>
      <w:u w:val="none"/>
    </w:rPr>
  </w:style>
  <w:style w:type="paragraph" w:customStyle="1" w:styleId="382">
    <w:name w:val="正文_4"/>
    <w:qFormat/>
    <w:uiPriority w:val="0"/>
    <w:pPr>
      <w:widowControl w:val="0"/>
      <w:jc w:val="both"/>
    </w:pPr>
    <w:rPr>
      <w:rFonts w:hint="default"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9761167f-5be2-44b5-971d-edc33a072ab8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6BB319E4</paraID>
      <start>16</start>
      <end>17</end>
      <status>unmodified</status>
      <modifiedWord/>
      <trackRevisions>false</trackRevisions>
    </reviewItem>
    <reviewItem>
      <errorID>865ac4e5-415a-4016-ad6d-6c8dd51c9905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420A0E29</paraID>
      <start>4</start>
      <end>5</end>
      <status>unmodified</status>
      <modifiedWord/>
      <trackRevisions>false</trackRevisions>
    </reviewItem>
    <reviewItem>
      <errorID>d76f6b63-18e0-428d-87fd-b3b678119371</errorID>
      <errorWord>/）</errorWord>
      <group>L1_Punc</group>
      <groupName>标点问题</groupName>
      <ability>L2_Punc</ability>
      <abilityName>标点符号检查</abilityName>
      <candidateList>
        <item>）</item>
      </candidateList>
      <explain/>
      <paraID>420A0E29</paraID>
      <start>86</start>
      <end>88</end>
      <status>unmodified</status>
      <modifiedWord/>
      <trackRevisions>false</trackRevisions>
    </reviewItem>
    <reviewItem>
      <errorID>4cfbd6c3-80f3-4019-bf2e-d626527ef069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D406DBC</paraID>
      <start>27</start>
      <end>28</end>
      <status>unmodified</status>
      <modifiedWord/>
      <trackRevisions>false</trackRevisions>
    </reviewItem>
    <reviewItem>
      <errorID>9201096b-976c-492b-9524-95da6189470b</errorID>
      <errorWord>/）</errorWord>
      <group>L1_Punc</group>
      <groupName>标点问题</groupName>
      <ability>L2_Punc</ability>
      <abilityName>标点符号检查</abilityName>
      <candidateList>
        <item>）</item>
      </candidateList>
      <explain/>
      <paraID>450E83F6</paraID>
      <start>45</start>
      <end>47</end>
      <status>unmodified</status>
      <modifiedWord/>
      <trackRevisions>false</trackRevisions>
    </reviewItem>
    <reviewItem>
      <errorID>abb7e0b7-931f-454f-bf7a-eb828de4ded4</errorID>
      <errorWord>/）</errorWord>
      <group>L1_Punc</group>
      <groupName>标点问题</groupName>
      <ability>L2_Punc</ability>
      <abilityName>标点符号检查</abilityName>
      <candidateList>
        <item>）</item>
      </candidateList>
      <explain/>
      <paraID>54739332</paraID>
      <start>68</start>
      <end>70</end>
      <status>unmodified</status>
      <modifiedWord/>
      <trackRevisions>false</trackRevisions>
    </reviewItem>
    <reviewItem>
      <errorID>355e992c-f6be-468d-8058-8ee7472d647c</errorID>
      <errorWord>-</errorWord>
      <group>L1_Format</group>
      <groupName>格式问题</groupName>
      <ability>L2_HalfPunc</ability>
      <abilityName>全半角检查</abilityName>
      <candidateList>
        <item>－</item>
      </candidateList>
      <explain>文本全半角错误。</explain>
      <paraID>54739332</paraID>
      <start>70</start>
      <end>71</end>
      <status>unmodified</status>
      <modifiedWord/>
      <trackRevisions>false</trackRevisions>
    </reviewItem>
    <reviewItem>
      <errorID>af4cb8d1-25a2-44f6-b73f-38c7b0bdef2e</errorID>
      <errorWord>/）</errorWord>
      <group>L1_Punc</group>
      <groupName>标点问题</groupName>
      <ability>L2_Punc</ability>
      <abilityName>标点符号检查</abilityName>
      <candidateList>
        <item>）</item>
      </candidateList>
      <explain/>
      <paraID> 94E68E2</paraID>
      <start>47</start>
      <end>49</end>
      <status>unmodified</status>
      <modifiedWord/>
      <trackRevisions>false</trackRevisions>
    </reviewItem>
    <reviewItem>
      <errorID>e5817445-d689-43ad-90b0-84b5d50a19df</errorID>
      <errorWord>/）</errorWord>
      <group>L1_Punc</group>
      <groupName>标点问题</groupName>
      <ability>L2_Punc</ability>
      <abilityName>标点符号检查</abilityName>
      <candidateList>
        <item>）</item>
      </candidateList>
      <explain/>
      <paraID>62C6E6B9</paraID>
      <start>39</start>
      <end>41</end>
      <status>unmodified</status>
      <modifiedWord/>
      <trackRevisions>false</trackRevisions>
    </reviewItem>
    <reviewItem>
      <errorID>bd79bf9c-8eda-470f-8b8b-f29c12d10ce6</errorID>
      <errorWord>/）</errorWord>
      <group>L1_Punc</group>
      <groupName>标点问题</groupName>
      <ability>L2_Punc</ability>
      <abilityName>标点符号检查</abilityName>
      <candidateList>
        <item>）</item>
      </candidateList>
      <explain/>
      <paraID>62C6E6B9</paraID>
      <start>85</start>
      <end>87</end>
      <status>unmodified</status>
      <modifiedWord/>
      <trackRevisions>false</trackRevisions>
    </reviewItem>
    <reviewItem>
      <errorID>2eee5611-136f-4392-b7ff-a47c80e8d934</errorID>
      <errorWord>(</errorWord>
      <group>L1_Format</group>
      <groupName>格式问题</groupName>
      <ability>L2_HalfPunc</ability>
      <abilityName>全半角检查</abilityName>
      <candidateList>
        <item>（</item>
      </candidateList>
      <explain>文本全半角错误。</explain>
      <paraID>62C6E6B9</paraID>
      <start>106</start>
      <end>107</end>
      <status>unmodified</status>
      <modifiedWord/>
      <trackRevisions>false</trackRevisions>
    </reviewItem>
    <reviewItem>
      <errorID>579677e5-1781-4c71-8c2c-24a9d51303b5</errorID>
      <errorWord>/）</errorWord>
      <group>L1_Punc</group>
      <groupName>标点问题</groupName>
      <ability>L2_Punc</ability>
      <abilityName>标点符号检查</abilityName>
      <candidateList>
        <item>）</item>
      </candidateList>
      <explain/>
      <paraID>62C6E6B9</paraID>
      <start>198</start>
      <end>200</end>
      <status>unmodified</status>
      <modifiedWord/>
      <trackRevisions>false</trackRevisions>
    </reviewItem>
    <reviewItem>
      <errorID>cc7d2a81-83bb-493b-8fe5-865a479e657c</errorID>
      <errorWord>/）</errorWord>
      <group>L1_Punc</group>
      <groupName>标点问题</groupName>
      <ability>L2_Punc</ability>
      <abilityName>标点符号检查</abilityName>
      <candidateList>
        <item>）</item>
      </candidateList>
      <explain/>
      <paraID>59EF104F</paraID>
      <start>62</start>
      <end>64</end>
      <status>unmodified</status>
      <modifiedWord/>
      <trackRevisions>false</trackRevisions>
    </reviewItem>
    <reviewItem>
      <errorID>9a49ca97-e5d9-4e48-9355-60e6aed907a2</errorID>
      <errorWord>-</errorWord>
      <group>L1_Format</group>
      <groupName>格式问题</groupName>
      <ability>L2_HalfPunc</ability>
      <abilityName>全半角检查</abilityName>
      <candidateList>
        <item>－</item>
      </candidateList>
      <explain>文本全半角错误。</explain>
      <paraID>59EF104F</paraID>
      <start>263</start>
      <end>264</end>
      <status>unmodified</status>
      <modifiedWord/>
      <trackRevisions>false</trackRevisions>
    </reviewItem>
    <reviewItem>
      <errorID>bd23f330-deba-467d-8770-6d4d4fc46e52</errorID>
      <errorWord>-</errorWord>
      <group>L1_Format</group>
      <groupName>格式问题</groupName>
      <ability>L2_HalfPunc</ability>
      <abilityName>全半角检查</abilityName>
      <candidateList>
        <item>－</item>
      </candidateList>
      <explain>文本全半角错误。</explain>
      <paraID>59EF104F</paraID>
      <start>268</start>
      <end>269</end>
      <status>unmodified</status>
      <modifiedWord/>
      <trackRevisions>false</trackRevisions>
    </reviewItem>
    <reviewItem>
      <errorID>d9a97333-fa34-4ea2-a2b0-a3271be0cb97</errorID>
      <errorWord>-</errorWord>
      <group>L1_Format</group>
      <groupName>格式问题</groupName>
      <ability>L2_HalfPunc</ability>
      <abilityName>全半角检查</abilityName>
      <candidateList>
        <item>－</item>
      </candidateList>
      <explain>文本全半角错误。</explain>
      <paraID>59EF104F</paraID>
      <start>273</start>
      <end>274</end>
      <status>unmodified</status>
      <modifiedWord/>
      <trackRevisions>false</trackRevisions>
    </reviewItem>
    <reviewItem>
      <errorID>036c8dbb-da0d-4688-a84f-6170dc9b6f3b</errorID>
      <errorWord>-</errorWord>
      <group>L1_Format</group>
      <groupName>格式问题</groupName>
      <ability>L2_HalfPunc</ability>
      <abilityName>全半角检查</abilityName>
      <candidateList>
        <item>－</item>
      </candidateList>
      <explain>文本全半角错误。</explain>
      <paraID>59EF104F</paraID>
      <start>279</start>
      <end>280</end>
      <status>unmodified</status>
      <modifiedWord/>
      <trackRevisions>false</trackRevisions>
    </reviewItem>
    <reviewItem>
      <errorID>919e4721-a1c0-4335-9c9b-48421c48f5fa</errorID>
      <errorWord>-</errorWord>
      <group>L1_Format</group>
      <groupName>格式问题</groupName>
      <ability>L2_HalfPunc</ability>
      <abilityName>全半角检查</abilityName>
      <candidateList>
        <item>－</item>
      </candidateList>
      <explain>文本全半角错误。</explain>
      <paraID>59EF104F</paraID>
      <start>296</start>
      <end>297</end>
      <status>unmodified</status>
      <modifiedWord/>
      <trackRevisions>false</trackRevisions>
    </reviewItem>
    <reviewItem>
      <errorID>bf27a6ed-951d-4da7-8fcf-eaaf157a1cff</errorID>
      <errorWord>-</errorWord>
      <group>L1_Format</group>
      <groupName>格式问题</groupName>
      <ability>L2_HalfPunc</ability>
      <abilityName>全半角检查</abilityName>
      <candidateList>
        <item>－</item>
      </candidateList>
      <explain>文本全半角错误。</explain>
      <paraID>66A0342F</paraID>
      <start>108</start>
      <end>109</end>
      <status>unmodified</status>
      <modifiedWord/>
      <trackRevisions>false</trackRevisions>
    </reviewItem>
    <reviewItem>
      <errorID>62f9760b-d1df-413d-91ba-e03205ff0767</errorID>
      <errorWord>-</errorWord>
      <group>L1_Format</group>
      <groupName>格式问题</groupName>
      <ability>L2_HalfPunc</ability>
      <abilityName>全半角检查</abilityName>
      <candidateList>
        <item>－</item>
      </candidateList>
      <explain>文本全半角错误。</explain>
      <paraID>66A0342F</paraID>
      <start>137</start>
      <end>138</end>
      <status>unmodified</status>
      <modifiedWord/>
      <trackRevisions>false</trackRevisions>
    </reviewItem>
    <reviewItem>
      <errorID>3d413f63-cd87-4c21-9822-5c95fd8dce84</errorID>
      <errorWord>操作合</errorWord>
      <group>L1_Word</group>
      <groupName>字词问题</groupName>
      <ability>L2_Typo</ability>
      <abilityName>字词错误</abilityName>
      <candidateList>
        <item>操作台</item>
      </candidateList>
      <explain/>
      <paraID>1D208E49</paraID>
      <start>9</start>
      <end>12</end>
      <status>unmodified</status>
      <modifiedWord/>
      <trackRevisions>false</trackRevisions>
    </reviewItem>
    <reviewItem>
      <errorID>d98e8906-17a7-449b-9b44-0d4409599e70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39726195</paraID>
      <start>29</start>
      <end>30</end>
      <status>unmodified</status>
      <modifiedWord/>
      <trackRevisions>false</trackRevisions>
    </reviewItem>
    <reviewItem>
      <errorID>b903984f-99aa-4909-9d12-e28aceb07b11</errorID>
      <errorWord>乘以服</errorWord>
      <group>L1_Word</group>
      <groupName>字词问题</groupName>
      <ability>L2_Typo</ability>
      <abilityName>字词错误</abilityName>
      <candidateList>
        <item>乘以</item>
      </candidateList>
      <explain/>
      <paraID>7887E73B</paraID>
      <start>68</start>
      <end>71</end>
      <status>unmodified</status>
      <modifiedWord/>
      <trackRevisions>false</trackRevisions>
    </reviewItem>
    <reviewItem>
      <errorID>ead22602-aaaf-4749-a876-984a72e341d6</errorID>
      <errorWord>(</errorWord>
      <group>L1_Format</group>
      <groupName>格式问题</groupName>
      <ability>L2_HalfPunc</ability>
      <abilityName>全半角检查</abilityName>
      <candidateList>
        <item>（</item>
      </candidateList>
      <explain>文本全半角错误。</explain>
      <paraID>11596DA7</paraID>
      <start>101</start>
      <end>102</end>
      <status>unmodified</status>
      <modifiedWord/>
      <trackRevisions>false</trackRevisions>
    </reviewItem>
    <reviewItem>
      <errorID>c01d2f7e-0bee-47e9-801c-4b3bfa57227c</errorID>
      <errorWord>)</errorWord>
      <group>L1_Format</group>
      <groupName>格式问题</groupName>
      <ability>L2_HalfPunc</ability>
      <abilityName>全半角检查</abilityName>
      <candidateList>
        <item>）</item>
      </candidateList>
      <explain>文本全半角错误。</explain>
      <paraID>11596DA7</paraID>
      <start>109</start>
      <end>110</end>
      <status>unmodified</status>
      <modifiedWord/>
      <trackRevisions>false</trackRevisions>
    </reviewItem>
    <reviewItem>
      <errorID>17a262ab-9e79-4830-ac2d-04044aeb86c1</errorID>
      <errorWord>包括了</errorWord>
      <group>L1_Word</group>
      <groupName>字词问题</groupName>
      <ability>L2_Typo</ability>
      <abilityName>字词错误</abilityName>
      <candidateList>
        <item>包括</item>
      </candidateList>
      <explain/>
      <paraID>1788E040</paraID>
      <start>36</start>
      <end>39</end>
      <status>unmodified</status>
      <modifiedWord/>
      <trackRevisions>false</trackRevisions>
    </reviewItem>
    <reviewItem>
      <errorID>f87b22bf-0930-4571-8d3f-c987483633e0</errorID>
      <errorWord>法律、法规</errorWord>
      <group>L1_Word</group>
      <groupName>字词问题</groupName>
      <ability>L2_Typo</ability>
      <abilityName>字词错误</abilityName>
      <candidateList>
        <item>法律法规</item>
      </candidateList>
      <explain/>
      <paraID>609212A1</paraID>
      <start>7</start>
      <end>12</end>
      <status>unmodified</status>
      <modifiedWord/>
      <trackRevisions>false</trackRevisions>
    </reviewItem>
    <reviewItem>
      <errorID>51bc6250-18c3-4d41-a8c0-ce2627c868cb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3B4A8081</paraID>
      <start>0</start>
      <end>2</end>
      <status>unmodified</status>
      <modifiedWord/>
      <trackRevisions>false</trackRevisions>
    </reviewItem>
    <reviewItem>
      <errorID>ab7d5a57-7d13-4864-926a-42101e2781da</errorID>
      <errorWord>(</errorWord>
      <group>L1_Format</group>
      <groupName>格式问题</groupName>
      <ability>L2_HalfPunc</ability>
      <abilityName>全半角检查</abilityName>
      <candidateList>
        <item>（</item>
      </candidateList>
      <explain>文本全半角错误。</explain>
      <paraID>3B4A8081</paraID>
      <start>26</start>
      <end>27</end>
      <status>unmodified</status>
      <modifiedWord/>
      <trackRevisions>false</trackRevisions>
    </reviewItem>
    <reviewItem>
      <errorID>9f58a90d-9f47-447a-9e60-b573cb6c8b2e</errorID>
      <errorWord>)</errorWord>
      <group>L1_Format</group>
      <groupName>格式问题</groupName>
      <ability>L2_HalfPunc</ability>
      <abilityName>全半角检查</abilityName>
      <candidateList>
        <item>）</item>
      </candidateList>
      <explain>文本全半角错误。</explain>
      <paraID>3B4A8081</paraID>
      <start>46</start>
      <end>47</end>
      <status>unmodified</status>
      <modifiedWord/>
      <trackRevisions>false</trackRevisions>
    </reviewItem>
    <reviewItem>
      <errorID>a19ddc7d-087d-4c60-8811-2b9f6d238861</errorID>
      <errorWord>(</errorWord>
      <group>L1_Format</group>
      <groupName>格式问题</groupName>
      <ability>L2_HalfPunc</ability>
      <abilityName>全半角检查</abilityName>
      <candidateList>
        <item>（</item>
      </candidateList>
      <explain>文本全半角错误。</explain>
      <paraID>3B4A8081</paraID>
      <start>52</start>
      <end>53</end>
      <status>unmodified</status>
      <modifiedWord/>
      <trackRevisions>false</trackRevisions>
    </reviewItem>
    <reviewItem>
      <errorID>5a1ab6ba-0989-41e5-943f-73c1c415cdbf</errorID>
      <errorWord>)</errorWord>
      <group>L1_Format</group>
      <groupName>格式问题</groupName>
      <ability>L2_HalfPunc</ability>
      <abilityName>全半角检查</abilityName>
      <candidateList>
        <item>）</item>
      </candidateList>
      <explain>文本全半角错误。</explain>
      <paraID>3B4A8081</paraID>
      <start>76</start>
      <end>77</end>
      <status>unmodified</status>
      <modifiedWord/>
      <trackRevisions>false</trackRevisions>
    </reviewItem>
    <reviewItem>
      <errorID>ace96f9b-c2b1-4f1a-9fc3-ea2a5b0a5877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25690F88</paraID>
      <start>0</start>
      <end>2</end>
      <status>unmodified</status>
      <modifiedWord/>
      <trackRevisions>false</trackRevisions>
    </reviewItem>
    <reviewItem>
      <errorID>425797f9-484e-4e9a-b0b6-a5c614117b3b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25690F88</paraID>
      <start>22</start>
      <end>25</end>
      <status>unmodified</status>
      <modifiedWord/>
      <trackRevisions>false</trackRevisions>
    </reviewItem>
    <reviewItem>
      <errorID>428df18c-0cc6-4a1d-8a37-bbf351dd3c87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25690F88</paraID>
      <start>40</start>
      <end>43</end>
      <status>unmodified</status>
      <modifiedWord/>
      <trackRevisions>false</trackRevisions>
    </reviewItem>
    <reviewItem>
      <errorID>cdebd976-39fe-47f1-ab31-71c5a86e7dca</errorID>
      <errorWord>(</errorWord>
      <group>L1_Format</group>
      <groupName>格式问题</groupName>
      <ability>L2_HalfPunc</ability>
      <abilityName>全半角检查</abilityName>
      <candidateList>
        <item>（</item>
      </candidateList>
      <explain>文本全半角错误。</explain>
      <paraID>30970FD7</paraID>
      <start>14</start>
      <end>15</end>
      <status>unmodified</status>
      <modifiedWord/>
      <trackRevisions>false</trackRevisions>
    </reviewItem>
    <reviewItem>
      <errorID>ca8c63cb-9dfa-4603-8431-7e66f7aa8eaf</errorID>
      <errorWord>)</errorWord>
      <group>L1_Format</group>
      <groupName>格式问题</groupName>
      <ability>L2_HalfPunc</ability>
      <abilityName>全半角检查</abilityName>
      <candidateList>
        <item>）</item>
      </candidateList>
      <explain>文本全半角错误。</explain>
      <paraID>30970FD7</paraID>
      <start>19</start>
      <end>20</end>
      <status>unmodified</status>
      <modifiedWord/>
      <trackRevisions>false</trackRevisions>
    </reviewItem>
    <reviewItem>
      <errorID>b0894c9b-8fb3-407f-b989-963de586ef30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12C875F6</paraID>
      <start>0</start>
      <end>2</end>
      <status>unmodified</status>
      <modifiedWord/>
      <trackRevisions>false</trackRevisions>
    </reviewItem>
    <reviewItem>
      <errorID>5cf84bc0-3f98-4a55-a02a-65da9ca4ec7c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1657714E</paraID>
      <start>0</start>
      <end>2</end>
      <status>unmodified</status>
      <modifiedWord/>
      <trackRevisions>false</trackRevisions>
    </reviewItem>
    <reviewItem>
      <errorID>8077a942-fd5f-44f4-82c0-0e66c1377ab9</errorID>
      <errorWord>(</errorWord>
      <group>L1_Format</group>
      <groupName>格式问题</groupName>
      <ability>L2_HalfPunc</ability>
      <abilityName>全半角检查</abilityName>
      <candidateList>
        <item>（</item>
      </candidateList>
      <explain>文本全半角错误。</explain>
      <paraID>49ADA49D</paraID>
      <start>2</start>
      <end>3</end>
      <status>unmodified</status>
      <modifiedWord/>
      <trackRevisions>false</trackRevisions>
    </reviewItem>
    <reviewItem>
      <errorID>3d7057b4-947b-4fd5-b9b0-0e327abb2e42</errorID>
      <errorWord>)</errorWord>
      <group>L1_Format</group>
      <groupName>格式问题</groupName>
      <ability>L2_HalfPunc</ability>
      <abilityName>全半角检查</abilityName>
      <candidateList>
        <item>）</item>
      </candidateList>
      <explain>文本全半角错误。</explain>
      <paraID>49ADA49D</paraID>
      <start>4</start>
      <end>5</end>
      <status>unmodified</status>
      <modifiedWord/>
      <trackRevisions>false</trackRevisions>
    </reviewItem>
    <reviewItem>
      <errorID>de7508f1-43c3-45f8-88eb-3724c228e3f4</errorID>
      <errorWord>(</errorWord>
      <group>L1_Format</group>
      <groupName>格式问题</groupName>
      <ability>L2_HalfPunc</ability>
      <abilityName>全半角检查</abilityName>
      <candidateList>
        <item>（</item>
      </candidateList>
      <explain>文本全半角错误。</explain>
      <paraID>1D38DA41</paraID>
      <start>2</start>
      <end>3</end>
      <status>unmodified</status>
      <modifiedWord/>
      <trackRevisions>false</trackRevisions>
    </reviewItem>
    <reviewItem>
      <errorID>258abb3a-88e0-402e-8d4a-8708732cccd6</errorID>
      <errorWord>)</errorWord>
      <group>L1_Format</group>
      <groupName>格式问题</groupName>
      <ability>L2_HalfPunc</ability>
      <abilityName>全半角检查</abilityName>
      <candidateList>
        <item>）</item>
      </candidateList>
      <explain>文本全半角错误。</explain>
      <paraID>1D38DA41</paraID>
      <start>4</start>
      <end>5</end>
      <status>unmodified</status>
      <modifiedWord/>
      <trackRevisions>false</trackRevisions>
    </reviewItem>
    <reviewItem>
      <errorID>a327efc0-91c7-4966-aec5-7ccd4aeb0399</errorID>
      <errorWord>(</errorWord>
      <group>L1_Format</group>
      <groupName>格式问题</groupName>
      <ability>L2_HalfPunc</ability>
      <abilityName>全半角检查</abilityName>
      <candidateList>
        <item>（</item>
      </candidateList>
      <explain>文本全半角错误。</explain>
      <paraID>6D7C9885</paraID>
      <start>2</start>
      <end>3</end>
      <status>unmodified</status>
      <modifiedWord/>
      <trackRevisions>false</trackRevisions>
    </reviewItem>
    <reviewItem>
      <errorID>10b83870-c5df-48c2-8a8f-5c1c8093f37b</errorID>
      <errorWord>)</errorWord>
      <group>L1_Format</group>
      <groupName>格式问题</groupName>
      <ability>L2_HalfPunc</ability>
      <abilityName>全半角检查</abilityName>
      <candidateList>
        <item>）</item>
      </candidateList>
      <explain>文本全半角错误。</explain>
      <paraID>6D7C9885</paraID>
      <start>4</start>
      <end>5</end>
      <status>unmodified</status>
      <modifiedWord/>
      <trackRevisions>false</trackRevisions>
    </reviewItem>
    <reviewItem>
      <errorID>0dbd1d37-a3db-4060-afbc-69c0a33f4be9</errorID>
      <errorWord>(</errorWord>
      <group>L1_Format</group>
      <groupName>格式问题</groupName>
      <ability>L2_HalfPunc</ability>
      <abilityName>全半角检查</abilityName>
      <candidateList>
        <item>（</item>
      </candidateList>
      <explain>文本全半角错误。</explain>
      <paraID>4B52FC89</paraID>
      <start>2</start>
      <end>3</end>
      <status>unmodified</status>
      <modifiedWord/>
      <trackRevisions>false</trackRevisions>
    </reviewItem>
    <reviewItem>
      <errorID>e71f165b-911a-41ea-8372-d03884efea74</errorID>
      <errorWord>)</errorWord>
      <group>L1_Format</group>
      <groupName>格式问题</groupName>
      <ability>L2_HalfPunc</ability>
      <abilityName>全半角检查</abilityName>
      <candidateList>
        <item>）</item>
      </candidateList>
      <explain>文本全半角错误。</explain>
      <paraID>4B52FC89</paraID>
      <start>4</start>
      <end>5</end>
      <status>unmodified</status>
      <modifiedWord/>
      <trackRevisions>false</trackRevisions>
    </reviewItem>
    <reviewItem>
      <errorID>a3e0ff6e-bff4-4f4c-b02b-030f9299542e</errorID>
      <errorWord>(</errorWord>
      <group>L1_Format</group>
      <groupName>格式问题</groupName>
      <ability>L2_HalfPunc</ability>
      <abilityName>全半角检查</abilityName>
      <candidateList>
        <item>（</item>
      </candidateList>
      <explain>文本全半角错误。</explain>
      <paraID>5B6960B1</paraID>
      <start>2</start>
      <end>3</end>
      <status>unmodified</status>
      <modifiedWord/>
      <trackRevisions>false</trackRevisions>
    </reviewItem>
    <reviewItem>
      <errorID>55988430-f068-43ea-85b5-bccb67a90351</errorID>
      <errorWord>)</errorWord>
      <group>L1_Format</group>
      <groupName>格式问题</groupName>
      <ability>L2_HalfPunc</ability>
      <abilityName>全半角检查</abilityName>
      <candidateList>
        <item>）</item>
      </candidateList>
      <explain>文本全半角错误。</explain>
      <paraID>5B6960B1</paraID>
      <start>4</start>
      <end>5</end>
      <status>unmodified</status>
      <modifiedWord/>
      <trackRevisions>false</trackRevisions>
    </reviewItem>
    <reviewItem>
      <errorID>efd4966a-78b5-48fa-9517-a51a0b212316</errorID>
      <errorWord>(</errorWord>
      <group>L1_Format</group>
      <groupName>格式问题</groupName>
      <ability>L2_HalfPunc</ability>
      <abilityName>全半角检查</abilityName>
      <candidateList>
        <item>（</item>
      </candidateList>
      <explain>文本全半角错误。</explain>
      <paraID>5F97C924</paraID>
      <start>2</start>
      <end>3</end>
      <status>unmodified</status>
      <modifiedWord/>
      <trackRevisions>false</trackRevisions>
    </reviewItem>
    <reviewItem>
      <errorID>92e2881b-f82a-4f00-80fd-26cc9ebee7d7</errorID>
      <errorWord>)</errorWord>
      <group>L1_Format</group>
      <groupName>格式问题</groupName>
      <ability>L2_HalfPunc</ability>
      <abilityName>全半角检查</abilityName>
      <candidateList>
        <item>）</item>
      </candidateList>
      <explain>文本全半角错误。</explain>
      <paraID>5F97C924</paraID>
      <start>4</start>
      <end>5</end>
      <status>unmodified</status>
      <modifiedWord/>
      <trackRevisions>false</trackRevisions>
    </reviewItem>
    <reviewItem>
      <errorID>63876df5-3aa3-40d4-b764-037c21447821</errorID>
      <errorWord>~</errorWord>
      <group>L1_Format</group>
      <groupName>格式问题</groupName>
      <ability>L2_HalfPunc</ability>
      <abilityName>全半角检查</abilityName>
      <candidateList>
        <item>～</item>
      </candidateList>
      <explain>文本全半角错误。</explain>
      <paraID>31F93578</paraID>
      <start>27</start>
      <end>28</end>
      <status>unmodified</status>
      <modifiedWord/>
      <trackRevisions>false</trackRevisions>
    </reviewItem>
    <reviewItem>
      <errorID>795d5876-6a34-4992-b635-6758cb5490e0</errorID>
      <errorWord>~</errorWord>
      <group>L1_Format</group>
      <groupName>格式问题</groupName>
      <ability>L2_HalfPunc</ability>
      <abilityName>全半角检查</abilityName>
      <candidateList>
        <item>～</item>
      </candidateList>
      <explain>文本全半角错误。</explain>
      <paraID>31F93578</paraID>
      <start>41</start>
      <end>42</end>
      <status>unmodified</status>
      <modifiedWord/>
      <trackRevisions>false</trackRevisions>
    </reviewItem>
    <reviewItem>
      <errorID>ca3d0185-d315-42a7-88a4-3ba16840aa04</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7319F78A</paraID>
      <start>11</start>
      <end>14</end>
      <status>unmodified</status>
      <modifiedWord/>
      <trackRevisions>false</trackRevisions>
    </reviewItem>
    <reviewItem>
      <errorID>14977aad-906a-42cf-a4e0-2c184d862660</errorID>
      <errorWord>投拆</errorWord>
      <group>L1_Word</group>
      <groupName>字词问题</groupName>
      <ability>L2_Typo</ability>
      <abilityName>字词错误</abilityName>
      <candidateList>
        <item>投诉</item>
      </candidateList>
      <explain>〈动〉公民或单位认为其合法权益遭受侵犯，向有关部门请求依法处理。</explain>
      <paraID>5989C55F</paraID>
      <start>42</start>
      <end>44</end>
      <status>unmodified</status>
      <modifiedWord/>
      <trackRevisions>false</trackRevisions>
    </reviewItem>
    <reviewItem>
      <errorID>104ae79e-c05b-4685-bdbe-b95292000d9b</errorID>
      <errorWord>(</errorWord>
      <group>L1_Format</group>
      <groupName>格式问题</groupName>
      <ability>L2_HalfPunc</ability>
      <abilityName>全半角检查</abilityName>
      <candidateList>
        <item>（</item>
      </candidateList>
      <explain>文本全半角错误。</explain>
      <paraID>3D95D420</paraID>
      <start>77</start>
      <end>78</end>
      <status>unmodified</status>
      <modifiedWord/>
      <trackRevisions>false</trackRevisions>
    </reviewItem>
    <reviewItem>
      <errorID>3dd066b7-b18a-4982-989d-dabdcccf1a11</errorID>
      <errorWord>)</errorWord>
      <group>L1_Format</group>
      <groupName>格式问题</groupName>
      <ability>L2_HalfPunc</ability>
      <abilityName>全半角检查</abilityName>
      <candidateList>
        <item>）</item>
      </candidateList>
      <explain>文本全半角错误。</explain>
      <paraID>3D95D420</paraID>
      <start>79</start>
      <end>80</end>
      <status>unmodified</status>
      <modifiedWord/>
      <trackRevisions>false</trackRevisions>
    </reviewItem>
    <reviewItem>
      <errorID>2fe7476e-4812-4de5-b0f5-9909a2d30851</errorID>
      <errorWord>(</errorWord>
      <group>L1_Format</group>
      <groupName>格式问题</groupName>
      <ability>L2_HalfPunc</ability>
      <abilityName>全半角检查</abilityName>
      <candidateList>
        <item>（</item>
      </candidateList>
      <explain>文本全半角错误。</explain>
      <paraID>547A550D</paraID>
      <start>68</start>
      <end>69</end>
      <status>unmodified</status>
      <modifiedWord/>
      <trackRevisions>false</trackRevisions>
    </reviewItem>
    <reviewItem>
      <errorID>42c2eeee-8836-4102-a01b-5d779ea25e38</errorID>
      <errorWord>)</errorWord>
      <group>L1_Format</group>
      <groupName>格式问题</groupName>
      <ability>L2_HalfPunc</ability>
      <abilityName>全半角检查</abilityName>
      <candidateList>
        <item>）</item>
      </candidateList>
      <explain>文本全半角错误。</explain>
      <paraID>547A550D</paraID>
      <start>72</start>
      <end>73</end>
      <status>unmodified</status>
      <modifiedWord/>
      <trackRevisions>false</trackRevisions>
    </reviewItem>
    <reviewItem>
      <errorID>e54ea951-270f-4903-8fa4-9314f12cd67b</errorID>
      <errorWord>法律、法规</errorWord>
      <group>L1_Word</group>
      <groupName>字词问题</groupName>
      <ability>L2_Typo</ability>
      <abilityName>字词错误</abilityName>
      <candidateList>
        <item>法律法规</item>
      </candidateList>
      <explain/>
      <paraID> 43A1787</paraID>
      <start>18</start>
      <end>23</end>
      <status>unmodified</status>
      <modifiedWord/>
      <trackRevisions>false</trackRevisions>
    </reviewItem>
    <reviewItem>
      <errorID>7a2e8248-60e0-4603-9aac-b86f596d46c4</errorID>
      <errorWord>应</errorWord>
      <group>L1_Word</group>
      <groupName>字词问题</groupName>
      <ability>L2_Typo</ability>
      <abilityName>字词错误</abilityName>
      <candidateList>
        <item>应当</item>
      </candidateList>
      <explain/>
      <paraID> 43A1787</paraID>
      <start>88</start>
      <end>89</end>
      <status>unmodified</status>
      <modifiedWord/>
      <trackRevisions>false</trackRevisions>
    </reviewItem>
    <reviewItem>
      <errorID>a8f0c25f-8ef6-4829-a2fc-32e09187b4ab</errorID>
      <errorWord>,</errorWord>
      <group>L1_Format</group>
      <groupName>格式问题</groupName>
      <ability>L2_HalfPunc</ability>
      <abilityName>全半角检查</abilityName>
      <candidateList>
        <item>，</item>
      </candidateList>
      <explain>文本全半角错误。</explain>
      <paraID>6BF12F7F</paraID>
      <start>41</start>
      <end>42</end>
      <status>unmodified</status>
      <modifiedWord/>
      <trackRevisions>false</trackRevisions>
    </reviewItem>
    <reviewItem>
      <errorID>e0672bd0-b658-4fd5-99d5-d35d8684e59d</errorID>
      <errorWord>,</errorWord>
      <group>L1_Format</group>
      <groupName>格式问题</groupName>
      <ability>L2_HalfPunc</ability>
      <abilityName>全半角检查</abilityName>
      <candidateList>
        <item>，</item>
      </candidateList>
      <explain>文本全半角错误。</explain>
      <paraID>6BF12F7F</paraID>
      <start>61</start>
      <end>62</end>
      <status>unmodified</status>
      <modifiedWord/>
      <trackRevisions>false</trackRevisions>
    </reviewItem>
    <reviewItem>
      <errorID>ce6a5c4e-739c-4092-85ad-6df085b95ff7</errorID>
      <errorWord>,</errorWord>
      <group>L1_Format</group>
      <groupName>格式问题</groupName>
      <ability>L2_HalfPunc</ability>
      <abilityName>全半角检查</abilityName>
      <candidateList>
        <item>，</item>
      </candidateList>
      <explain>文本全半角错误。</explain>
      <paraID>6BF12F7F</paraID>
      <start>84</start>
      <end>85</end>
      <status>unmodified</status>
      <modifiedWord/>
      <trackRevisions>false</trackRevisions>
    </reviewItem>
    <reviewItem>
      <errorID>6deb5066-7a34-480d-bf4a-11f5d0776537</errorID>
      <errorWord>,</errorWord>
      <group>L1_Format</group>
      <groupName>格式问题</groupName>
      <ability>L2_HalfPunc</ability>
      <abilityName>全半角检查</abilityName>
      <candidateList>
        <item>，</item>
      </candidateList>
      <explain>文本全半角错误。</explain>
      <paraID>619EA1DD</paraID>
      <start>16</start>
      <end>17</end>
      <status>unmodified</status>
      <modifiedWord/>
      <trackRevisions>false</trackRevisions>
    </reviewItem>
    <reviewItem>
      <errorID>284e6f43-ed09-49f1-91d5-75612717610c</errorID>
      <errorWord>,</errorWord>
      <group>L1_Format</group>
      <groupName>格式问题</groupName>
      <ability>L2_HalfPunc</ability>
      <abilityName>全半角检查</abilityName>
      <candidateList>
        <item>，</item>
      </candidateList>
      <explain>文本全半角错误。</explain>
      <paraID>619EA1DD</paraID>
      <start>25</start>
      <end>26</end>
      <status>unmodified</status>
      <modifiedWord/>
      <trackRevisions>false</trackRevisions>
    </reviewItem>
    <reviewItem>
      <errorID>a87ffcc7-b2fe-4029-90ef-af574be36a85</errorID>
      <errorWord>;</errorWord>
      <group>L1_Format</group>
      <groupName>格式问题</groupName>
      <ability>L2_HalfPunc</ability>
      <abilityName>全半角检查</abilityName>
      <candidateList>
        <item>；</item>
      </candidateList>
      <explain>文本全半角错误。</explain>
      <paraID>619EA1DD</paraID>
      <start>34</start>
      <end>35</end>
      <status>unmodified</status>
      <modifiedWord/>
      <trackRevisions>false</trackRevisions>
    </reviewItem>
    <reviewItem>
      <errorID>c6ec2d91-c0f8-4a54-9f7f-5ecc3b69cf28</errorID>
      <errorWord>,</errorWord>
      <group>L1_Format</group>
      <groupName>格式问题</groupName>
      <ability>L2_HalfPunc</ability>
      <abilityName>全半角检查</abilityName>
      <candidateList>
        <item>，</item>
      </candidateList>
      <explain>文本全半角错误。</explain>
      <paraID>619EA1DD</paraID>
      <start>37</start>
      <end>38</end>
      <status>unmodified</status>
      <modifiedWord/>
      <trackRevisions>false</trackRevisions>
    </reviewItem>
    <reviewItem>
      <errorID>227aadb3-bbce-492f-94d5-0d8d0540eb2f</errorID>
      <errorWord>标</errorWord>
      <group>L1_Word</group>
      <groupName>字词问题</groupName>
      <ability>L2_Typo</ability>
      <abilityName>字词错误</abilityName>
      <candidateList>
        <item>标志</item>
      </candidateList>
      <explain>（标识）biāozhì❶〈名〉表明特征的记号：地图上有各种形式的～◇这篇作品是作者在创作上日趋成熟的～。❷〈动〉表明某种特征：这条生产线的建成投产，～着工厂的生产能力提高到了一个新的水平。</explain>
      <paraID>619EA1DD</paraID>
      <start>45</start>
      <end>46</end>
      <status>unmodified</status>
      <modifiedWord/>
      <trackRevisions>false</trackRevisions>
    </reviewItem>
    <reviewItem>
      <errorID>db29fe44-5a27-492a-bd59-838251912036</errorID>
      <errorWord>,</errorWord>
      <group>L1_Format</group>
      <groupName>格式问题</groupName>
      <ability>L2_HalfPunc</ability>
      <abilityName>全半角检查</abilityName>
      <candidateList>
        <item>，</item>
      </candidateList>
      <explain>文本全半角错误。</explain>
      <paraID>619EA1DD</paraID>
      <start>61</start>
      <end>62</end>
      <status>unmodified</status>
      <modifiedWord/>
      <trackRevisions>false</trackRevisions>
    </reviewItem>
    <reviewItem>
      <errorID>462d38f1-cb55-446e-9957-5c579e513919</errorID>
      <errorWord>,</errorWord>
      <group>L1_Format</group>
      <groupName>格式问题</groupName>
      <ability>L2_HalfPunc</ability>
      <abilityName>全半角检查</abilityName>
      <candidateList>
        <item>，</item>
      </candidateList>
      <explain>文本全半角错误。</explain>
      <paraID>  53F8DE</paraID>
      <start>15</start>
      <end>16</end>
      <status>unmodified</status>
      <modifiedWord/>
      <trackRevisions>false</trackRevisions>
    </reviewItem>
    <reviewItem>
      <errorID>1dc6ce90-167a-48c2-9039-69148e561336</errorID>
      <errorWord>,</errorWord>
      <group>L1_Format</group>
      <groupName>格式问题</groupName>
      <ability>L2_HalfPunc</ability>
      <abilityName>全半角检查</abilityName>
      <candidateList>
        <item>，</item>
      </candidateList>
      <explain>文本全半角错误。</explain>
      <paraID>  53F8DE</paraID>
      <start>43</start>
      <end>44</end>
      <status>unmodified</status>
      <modifiedWord/>
      <trackRevisions>false</trackRevisions>
    </reviewItem>
    <reviewItem>
      <errorID>82ae3eba-5f50-40cf-b62d-c2f11d821f4e</errorID>
      <errorWord>,</errorWord>
      <group>L1_Format</group>
      <groupName>格式问题</groupName>
      <ability>L2_HalfPunc</ability>
      <abilityName>全半角检查</abilityName>
      <candidateList>
        <item>，</item>
      </candidateList>
      <explain>文本全半角错误。</explain>
      <paraID>75E2EBFF</paraID>
      <start>33</start>
      <end>34</end>
      <status>unmodified</status>
      <modifiedWord/>
      <trackRevisions>false</trackRevisions>
    </reviewItem>
    <reviewItem>
      <errorID>8811879a-80a8-4fb2-af26-5210a8c1d2ee</errorID>
      <errorWord>三角架</errorWord>
      <group>L1_Word</group>
      <groupName>字词问题</groupName>
      <ability>L2_Typo</ability>
      <abilityName>字词错误</abilityName>
      <candidateList>
        <item>三脚架</item>
      </candidateList>
      <explain>〈名〉安放照相机、测量仪器等用的有三个支柱的架子。</explain>
      <paraID>75E2EBFF</paraID>
      <start>48</start>
      <end>51</end>
      <status>unmodified</status>
      <modifiedWord/>
      <trackRevisions>false</trackRevisions>
    </reviewItem>
    <reviewItem>
      <errorID>b8ff0ac7-112d-408b-aeba-402f4f225e2b</errorID>
      <errorWord>,</errorWord>
      <group>L1_Format</group>
      <groupName>格式问题</groupName>
      <ability>L2_HalfPunc</ability>
      <abilityName>全半角检查</abilityName>
      <candidateList>
        <item>，</item>
      </candidateList>
      <explain>文本全半角错误。</explain>
      <paraID>75E2EBFF</paraID>
      <start>77</start>
      <end>78</end>
      <status>unmodified</status>
      <modifiedWord/>
      <trackRevisions>false</trackRevisions>
    </reviewItem>
    <reviewItem>
      <errorID>f773dd50-abdf-4eda-9f17-28599dca45fc</errorID>
      <errorWord>,</errorWord>
      <group>L1_Format</group>
      <groupName>格式问题</groupName>
      <ability>L2_HalfPunc</ability>
      <abilityName>全半角检查</abilityName>
      <candidateList>
        <item>，</item>
      </candidateList>
      <explain>文本全半角错误。</explain>
      <paraID> 7A49A47</paraID>
      <start>18</start>
      <end>19</end>
      <status>unmodified</status>
      <modifiedWord/>
      <trackRevisions>false</trackRevisions>
    </reviewItem>
    <reviewItem>
      <errorID>d2251bd8-c123-4417-9b1c-fccc381003df</errorID>
      <errorWord>,</errorWord>
      <group>L1_Format</group>
      <groupName>格式问题</groupName>
      <ability>L2_HalfPunc</ability>
      <abilityName>全半角检查</abilityName>
      <candidateList>
        <item>，</item>
      </candidateList>
      <explain>文本全半角错误。</explain>
      <paraID> 7A49A47</paraID>
      <start>36</start>
      <end>37</end>
      <status>unmodified</status>
      <modifiedWord/>
      <trackRevisions>false</trackRevisions>
    </reviewItem>
    <reviewItem>
      <errorID>247e18d1-f880-440f-b7e2-6d1414bb4669</errorID>
      <errorWord>,</errorWord>
      <group>L1_Format</group>
      <groupName>格式问题</groupName>
      <ability>L2_HalfPunc</ability>
      <abilityName>全半角检查</abilityName>
      <candidateList>
        <item>，</item>
      </candidateList>
      <explain>文本全半角错误。</explain>
      <paraID> 7A49A47</paraID>
      <start>50</start>
      <end>51</end>
      <status>unmodified</status>
      <modifiedWord/>
      <trackRevisions>false</trackRevisions>
    </reviewItem>
    <reviewItem>
      <errorID>c54a6666-3500-4949-88a5-fed1a169aa17</errorID>
      <errorWord>,</errorWord>
      <group>L1_Format</group>
      <groupName>格式问题</groupName>
      <ability>L2_HalfPunc</ability>
      <abilityName>全半角检查</abilityName>
      <candidateList>
        <item>，</item>
      </candidateList>
      <explain>文本全半角错误。</explain>
      <paraID> 7A49A47</paraID>
      <start>58</start>
      <end>59</end>
      <status>unmodified</status>
      <modifiedWord/>
      <trackRevisions>false</trackRevisions>
    </reviewItem>
    <reviewItem>
      <errorID>53778f92-337f-4d60-9ff8-08806ceb908e</errorID>
      <errorWord>,</errorWord>
      <group>L1_Format</group>
      <groupName>格式问题</groupName>
      <ability>L2_HalfPunc</ability>
      <abilityName>全半角检查</abilityName>
      <candidateList>
        <item>，</item>
      </candidateList>
      <explain>文本全半角错误。</explain>
      <paraID>6CDB5B2D</paraID>
      <start>20</start>
      <end>21</end>
      <status>unmodified</status>
      <modifiedWord/>
      <trackRevisions>false</trackRevisions>
    </reviewItem>
    <reviewItem>
      <errorID>026144ce-f811-4b3c-ac61-82fb4ebaa910</errorID>
      <errorWord>;</errorWord>
      <group>L1_Format</group>
      <groupName>格式问题</groupName>
      <ability>L2_HalfPunc</ability>
      <abilityName>全半角检查</abilityName>
      <candidateList>
        <item>；</item>
      </candidateList>
      <explain>文本全半角错误。</explain>
      <paraID>6CDB5B2D</paraID>
      <start>31</start>
      <end>32</end>
      <status>unmodified</status>
      <modifiedWord/>
      <trackRevisions>false</trackRevisions>
    </reviewItem>
    <reviewItem>
      <errorID>ae3052a2-a49e-4cae-a30a-121437984501</errorID>
      <errorWord>;</errorWord>
      <group>L1_Format</group>
      <groupName>格式问题</groupName>
      <ability>L2_HalfPunc</ability>
      <abilityName>全半角检查</abilityName>
      <candidateList>
        <item>；</item>
      </candidateList>
      <explain>文本全半角错误。</explain>
      <paraID>6CDB5B2D</paraID>
      <start>45</start>
      <end>46</end>
      <status>unmodified</status>
      <modifiedWord/>
      <trackRevisions>false</trackRevisions>
    </reviewItem>
    <reviewItem>
      <errorID>735a4e62-fa47-4033-9239-41b35e60a72a</errorID>
      <errorWord>,</errorWord>
      <group>L1_Format</group>
      <groupName>格式问题</groupName>
      <ability>L2_HalfPunc</ability>
      <abilityName>全半角检查</abilityName>
      <candidateList>
        <item>，</item>
      </candidateList>
      <explain>文本全半角错误。</explain>
      <paraID>397BE202</paraID>
      <start>32</start>
      <end>33</end>
      <status>unmodified</status>
      <modifiedWord/>
      <trackRevisions>false</trackRevisions>
    </reviewItem>
    <reviewItem>
      <errorID>2e89069d-e4f8-4c5e-9da9-e683744eed75</errorID>
      <errorWord>,</errorWord>
      <group>L1_Format</group>
      <groupName>格式问题</groupName>
      <ability>L2_HalfPunc</ability>
      <abilityName>全半角检查</abilityName>
      <candidateList>
        <item>，</item>
      </candidateList>
      <explain>文本全半角错误。</explain>
      <paraID>25EB8F3C</paraID>
      <start>14</start>
      <end>15</end>
      <status>unmodified</status>
      <modifiedWord/>
      <trackRevisions>false</trackRevisions>
    </reviewItem>
    <reviewItem>
      <errorID>3811b51b-d147-49ab-9d01-f480a69ea806</errorID>
      <errorWord>;</errorWord>
      <group>L1_Format</group>
      <groupName>格式问题</groupName>
      <ability>L2_HalfPunc</ability>
      <abilityName>全半角检查</abilityName>
      <candidateList>
        <item>；</item>
      </candidateList>
      <explain>文本全半角错误。</explain>
      <paraID>25EB8F3C</paraID>
      <start>27</start>
      <end>28</end>
      <status>unmodified</status>
      <modifiedWord/>
      <trackRevisions>false</trackRevisions>
    </reviewItem>
    <reviewItem>
      <errorID>f52c7a55-717d-4ad1-89d4-64b52f4746cb</errorID>
      <errorWord>,</errorWord>
      <group>L1_Format</group>
      <groupName>格式问题</groupName>
      <ability>L2_HalfPunc</ability>
      <abilityName>全半角检查</abilityName>
      <candidateList>
        <item>，</item>
      </candidateList>
      <explain>文本全半角错误。</explain>
      <paraID>25EB8F3C</paraID>
      <start>46</start>
      <end>47</end>
      <status>unmodified</status>
      <modifiedWord/>
      <trackRevisions>false</trackRevisions>
    </reviewItem>
    <reviewItem>
      <errorID>1658fbb1-f3b7-4fd5-9b35-0063b42786fb</errorID>
      <errorWord>,</errorWord>
      <group>L1_Format</group>
      <groupName>格式问题</groupName>
      <ability>L2_HalfPunc</ability>
      <abilityName>全半角检查</abilityName>
      <candidateList>
        <item>，</item>
      </candidateList>
      <explain>文本全半角错误。</explain>
      <paraID>25EB8F3C</paraID>
      <start>65</start>
      <end>66</end>
      <status>unmodified</status>
      <modifiedWord/>
      <trackRevisions>false</trackRevisions>
    </reviewItem>
    <reviewItem>
      <errorID>b4d56d9e-7125-4677-9204-b6d4bdefdaf2</errorID>
      <errorWord>,</errorWord>
      <group>L1_Format</group>
      <groupName>格式问题</groupName>
      <ability>L2_HalfPunc</ability>
      <abilityName>全半角检查</abilityName>
      <candidateList>
        <item>，</item>
      </candidateList>
      <explain>文本全半角错误。</explain>
      <paraID>2664B83E</paraID>
      <start>14</start>
      <end>15</end>
      <status>unmodified</status>
      <modifiedWord/>
      <trackRevisions>false</trackRevisions>
    </reviewItem>
    <reviewItem>
      <errorID>025b4e94-abae-4a88-846f-27a74e917d66</errorID>
      <errorWord>,</errorWord>
      <group>L1_Format</group>
      <groupName>格式问题</groupName>
      <ability>L2_HalfPunc</ability>
      <abilityName>全半角检查</abilityName>
      <candidateList>
        <item>，</item>
      </candidateList>
      <explain>文本全半角错误。</explain>
      <paraID>2664B83E</paraID>
      <start>74</start>
      <end>75</end>
      <status>unmodified</status>
      <modifiedWord/>
      <trackRevisions>false</trackRevisions>
    </reviewItem>
    <reviewItem>
      <errorID>9ed90578-d214-425c-a809-b51a1843a96b</errorID>
      <errorWord>,</errorWord>
      <group>L1_Format</group>
      <groupName>格式问题</groupName>
      <ability>L2_HalfPunc</ability>
      <abilityName>全半角检查</abilityName>
      <candidateList>
        <item>，</item>
      </candidateList>
      <explain>文本全半角错误。</explain>
      <paraID>2664B83E</paraID>
      <start>81</start>
      <end>82</end>
      <status>unmodified</status>
      <modifiedWord/>
      <trackRevisions>false</trackRevisions>
    </reviewItem>
    <reviewItem>
      <errorID>d935258d-3fa4-4fc4-98cc-d99fa8a6c086</errorID>
      <errorWord>(</errorWord>
      <group>L1_Format</group>
      <groupName>格式问题</groupName>
      <ability>L2_HalfPunc</ability>
      <abilityName>全半角检查</abilityName>
      <candidateList>
        <item>（</item>
      </candidateList>
      <explain>文本全半角错误。</explain>
      <paraID>2664B83E</paraID>
      <start>88</start>
      <end>89</end>
      <status>unmodified</status>
      <modifiedWord/>
      <trackRevisions>false</trackRevisions>
    </reviewItem>
    <reviewItem>
      <errorID>823e4025-bed2-4dde-aca3-d315b7858ef7</errorID>
      <errorWord>,</errorWord>
      <group>L1_Format</group>
      <groupName>格式问题</groupName>
      <ability>L2_HalfPunc</ability>
      <abilityName>全半角检查</abilityName>
      <candidateList>
        <item>，</item>
      </candidateList>
      <explain>文本全半角错误。</explain>
      <paraID>2664B83E</paraID>
      <start>112</start>
      <end>113</end>
      <status>unmodified</status>
      <modifiedWord/>
      <trackRevisions>false</trackRevisions>
    </reviewItem>
    <reviewItem>
      <errorID>26a7f06a-c7ed-4d7b-9522-c551fd0c0765</errorID>
      <errorWord>)</errorWord>
      <group>L1_Format</group>
      <groupName>格式问题</groupName>
      <ability>L2_HalfPunc</ability>
      <abilityName>全半角检查</abilityName>
      <candidateList>
        <item>）</item>
      </candidateList>
      <explain>文本全半角错误。</explain>
      <paraID>2664B83E</paraID>
      <start>121</start>
      <end>122</end>
      <status>unmodified</status>
      <modifiedWord/>
      <trackRevisions>false</trackRevisions>
    </reviewItem>
    <reviewItem>
      <errorID>510dc00e-1f32-487d-a6a6-13bfe505cefa</errorID>
      <errorWord>其它为</errorWord>
      <group>L1_Word</group>
      <groupName>字词问题</groupName>
      <ability>L2_Alias</ability>
      <abilityName>也作/曾用词</abilityName>
      <candidateList>
        <item>其他为</item>
      </candidateList>
      <explain>词汇[其它为]为不规范表述或旧称，其规范书面表述为[其他为]。</explain>
      <paraID>2664B83E</paraID>
      <start>130</start>
      <end>133</end>
      <status>unmodified</status>
      <modifiedWord/>
      <trackRevisions>false</trackRevisions>
    </reviewItem>
    <reviewItem>
      <errorID>48af5cda-26d8-4607-b4f4-17799668355f</errorID>
      <errorWord>,</errorWord>
      <group>L1_Format</group>
      <groupName>格式问题</groupName>
      <ability>L2_HalfPunc</ability>
      <abilityName>全半角检查</abilityName>
      <candidateList>
        <item>，</item>
      </candidateList>
      <explain>文本全半角错误。</explain>
      <paraID>3213E3EB</paraID>
      <start>28</start>
      <end>29</end>
      <status>unmodified</status>
      <modifiedWord/>
      <trackRevisions>false</trackRevisions>
    </reviewItem>
    <reviewItem>
      <errorID>3f8df025-4af4-4005-8839-d99aeacb738c</errorID>
      <errorWord>,</errorWord>
      <group>L1_Format</group>
      <groupName>格式问题</groupName>
      <ability>L2_HalfPunc</ability>
      <abilityName>全半角检查</abilityName>
      <candidateList>
        <item>，</item>
      </candidateList>
      <explain>文本全半角错误。</explain>
      <paraID>3213E3EB</paraID>
      <start>178</start>
      <end>179</end>
      <status>unmodified</status>
      <modifiedWord/>
      <trackRevisions>false</trackRevisions>
    </reviewItem>
    <reviewItem>
      <errorID>592adf9c-94e2-45a4-a505-c18ff0471d53</errorID>
      <errorWord>,</errorWord>
      <group>L1_Format</group>
      <groupName>格式问题</groupName>
      <ability>L2_HalfPunc</ability>
      <abilityName>全半角检查</abilityName>
      <candidateList>
        <item>，</item>
      </candidateList>
      <explain>文本全半角错误。</explain>
      <paraID>63911008</paraID>
      <start>9</start>
      <end>10</end>
      <status>unmodified</status>
      <modifiedWord/>
      <trackRevisions>false</trackRevisions>
    </reviewItem>
    <reviewItem>
      <errorID>7ff48773-3d63-488e-af93-1a7eab2a9e7d</errorID>
      <errorWord>设</errorWord>
      <group>L1_Word</group>
      <groupName>字词问题</groupName>
      <ability>L2_Typo</ability>
      <abilityName>字词错误</abilityName>
      <candidateList>
        <item>设立</item>
      </candidateList>
      <explain/>
      <paraID>63911008</paraID>
      <start>12</start>
      <end>13</end>
      <status>unmodified</status>
      <modifiedWord/>
      <trackRevisions>false</trackRevisions>
    </reviewItem>
    <reviewItem>
      <errorID>1928a688-514f-42b5-8cec-b8bacfc92beb</errorID>
      <errorWord>,</errorWord>
      <group>L1_Format</group>
      <groupName>格式问题</groupName>
      <ability>L2_HalfPunc</ability>
      <abilityName>全半角检查</abilityName>
      <candidateList>
        <item>，</item>
      </candidateList>
      <explain>文本全半角错误。</explain>
      <paraID>63911008</paraID>
      <start>32</start>
      <end>33</end>
      <status>unmodified</status>
      <modifiedWord/>
      <trackRevisions>false</trackRevisions>
    </reviewItem>
    <reviewItem>
      <errorID>486b60ae-e6cb-43a1-b21a-553386800b12</errorID>
      <errorWord>三角架</errorWord>
      <group>L1_Word</group>
      <groupName>字词问题</groupName>
      <ability>L2_Typo</ability>
      <abilityName>字词错误</abilityName>
      <candidateList>
        <item>三脚架</item>
      </candidateList>
      <explain>〈名〉安放照相机、测量仪器等用的有三个支柱的架子。</explain>
      <paraID>7D86EFA3</paraID>
      <start>18</start>
      <end>21</end>
      <status>unmodified</status>
      <modifiedWord/>
      <trackRevisions>false</trackRevisions>
    </reviewItem>
    <reviewItem>
      <errorID>5a4f7003-d3dd-4602-9f6e-98d304abca5a</errorID>
      <errorWord>,</errorWord>
      <group>L1_Format</group>
      <groupName>格式问题</groupName>
      <ability>L2_HalfPunc</ability>
      <abilityName>全半角检查</abilityName>
      <candidateList>
        <item>，</item>
      </candidateList>
      <explain>文本全半角错误。</explain>
      <paraID>78903084</paraID>
      <start>60</start>
      <end>61</end>
      <status>unmodified</status>
      <modifiedWord/>
      <trackRevisions>false</trackRevisions>
    </reviewItem>
    <reviewItem>
      <errorID>7e08e8dc-5880-48b5-930f-c43243e6eecb</errorID>
      <errorWord>其它</errorWord>
      <group>L1_Word</group>
      <groupName>字词问题</groupName>
      <ability>L2_Alias</ability>
      <abilityName>也作/曾用词</abilityName>
      <candidateList>
        <item>其他</item>
      </candidateList>
      <explain>词汇[其它]为不规范表述或旧称，其规范书面表述为[其他]。</explain>
      <paraID>78903084</paraID>
      <start>77</start>
      <end>79</end>
      <status>unmodified</status>
      <modifiedWord/>
      <trackRevisions>false</trackRevisions>
    </reviewItem>
    <reviewItem>
      <errorID>054faa54-0eee-4b7b-9720-b407881ea104</errorID>
      <errorWord>,</errorWord>
      <group>L1_Format</group>
      <groupName>格式问题</groupName>
      <ability>L2_HalfPunc</ability>
      <abilityName>全半角检查</abilityName>
      <candidateList>
        <item>，</item>
      </candidateList>
      <explain>文本全半角错误。</explain>
      <paraID>78903084</paraID>
      <start>90</start>
      <end>91</end>
      <status>unmodified</status>
      <modifiedWord/>
      <trackRevisions>false</trackRevisions>
    </reviewItem>
    <reviewItem>
      <errorID>f723ba4d-277d-41ef-aacf-4d7851e74b27</errorID>
      <errorWord>,</errorWord>
      <group>L1_Format</group>
      <groupName>格式问题</groupName>
      <ability>L2_HalfPunc</ability>
      <abilityName>全半角检查</abilityName>
      <candidateList>
        <item>，</item>
      </candidateList>
      <explain>文本全半角错误。</explain>
      <paraID>4E993407</paraID>
      <start>21</start>
      <end>22</end>
      <status>unmodified</status>
      <modifiedWord/>
      <trackRevisions>false</trackRevisions>
    </reviewItem>
    <reviewItem>
      <errorID>430310f6-2007-4e71-a08b-9ab61e706b06</errorID>
      <errorWord>,</errorWord>
      <group>L1_Format</group>
      <groupName>格式问题</groupName>
      <ability>L2_HalfPunc</ability>
      <abilityName>全半角检查</abilityName>
      <candidateList>
        <item>，</item>
      </candidateList>
      <explain>文本全半角错误。</explain>
      <paraID>4E993407</paraID>
      <start>55</start>
      <end>56</end>
      <status>unmodified</status>
      <modifiedWord/>
      <trackRevisions>false</trackRevisions>
    </reviewItem>
    <reviewItem>
      <errorID>d75805d3-6da5-4747-bbdb-8e46da8d577e</errorID>
      <errorWord>,</errorWord>
      <group>L1_Format</group>
      <groupName>格式问题</groupName>
      <ability>L2_HalfPunc</ability>
      <abilityName>全半角检查</abilityName>
      <candidateList>
        <item>，</item>
      </candidateList>
      <explain>文本全半角错误。</explain>
      <paraID>4E993407</paraID>
      <start>70</start>
      <end>71</end>
      <status>unmodified</status>
      <modifiedWord/>
      <trackRevisions>false</trackRevisions>
    </reviewItem>
    <reviewItem>
      <errorID>0fdc9b57-b03e-4083-b086-549e3a2e1fa9</errorID>
      <errorWord>,</errorWord>
      <group>L1_Format</group>
      <groupName>格式问题</groupName>
      <ability>L2_HalfPunc</ability>
      <abilityName>全半角检查</abilityName>
      <candidateList>
        <item>，</item>
      </candidateList>
      <explain>文本全半角错误。</explain>
      <paraID>4E993407</paraID>
      <start>90</start>
      <end>91</end>
      <status>unmodified</status>
      <modifiedWord/>
      <trackRevisions>false</trackRevisions>
    </reviewItem>
    <reviewItem>
      <errorID>541b318e-ec2d-4d5a-8cd6-26143c0566c7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17E14CB8</paraID>
      <start>37</start>
      <end>39</end>
      <status>unmodified</status>
      <modifiedWord/>
      <trackRevisions>false</trackRevisions>
    </reviewItem>
    <reviewItem>
      <errorID>5f6c3aca-e7d7-48c1-b732-208c70682b9d</errorID>
      <errorWord>,</errorWord>
      <group>L1_Format</group>
      <groupName>格式问题</groupName>
      <ability>L2_HalfPunc</ability>
      <abilityName>全半角检查</abilityName>
      <candidateList>
        <item>，</item>
      </candidateList>
      <explain>文本全半角错误。</explain>
      <paraID>17E14CB8</paraID>
      <start>53</start>
      <end>54</end>
      <status>unmodified</status>
      <modifiedWord/>
      <trackRevisions>false</trackRevisions>
    </reviewItem>
    <reviewItem>
      <errorID>9de5736f-9109-4cd5-8dca-8b726edbcfa7</errorID>
      <errorWord>(</errorWord>
      <group>L1_Format</group>
      <groupName>格式问题</groupName>
      <ability>L2_HalfPunc</ability>
      <abilityName>全半角检查</abilityName>
      <candidateList>
        <item>（</item>
      </candidateList>
      <explain>文本全半角错误。</explain>
      <paraID>17E14CB8</paraID>
      <start>61</start>
      <end>62</end>
      <status>unmodified</status>
      <modifiedWord/>
      <trackRevisions>false</trackRevisions>
    </reviewItem>
    <reviewItem>
      <errorID>cf52736b-c567-4412-8c0a-ccd1b0a11a57</errorID>
      <errorWord>)</errorWord>
      <group>L1_Format</group>
      <groupName>格式问题</groupName>
      <ability>L2_HalfPunc</ability>
      <abilityName>全半角检查</abilityName>
      <candidateList>
        <item>）</item>
      </candidateList>
      <explain>文本全半角错误。</explain>
      <paraID>17E14CB8</paraID>
      <start>71</start>
      <end>72</end>
      <status>unmodified</status>
      <modifiedWord/>
      <trackRevisions>false</trackRevisions>
    </reviewItem>
    <reviewItem>
      <errorID>85d8e364-d77a-4162-a8f4-acc867f25087</errorID>
      <errorWord>,</errorWord>
      <group>L1_Format</group>
      <groupName>格式问题</groupName>
      <ability>L2_HalfPunc</ability>
      <abilityName>全半角检查</abilityName>
      <candidateList>
        <item>，</item>
      </candidateList>
      <explain>文本全半角错误。</explain>
      <paraID>17E14CB8</paraID>
      <start>83</start>
      <end>84</end>
      <status>unmodified</status>
      <modifiedWord/>
      <trackRevisions>false</trackRevisions>
    </reviewItem>
    <reviewItem>
      <errorID>2a2cd07e-995e-452a-9d23-b68cf54c125c</errorID>
      <errorWord>,</errorWord>
      <group>L1_Format</group>
      <groupName>格式问题</groupName>
      <ability>L2_HalfPunc</ability>
      <abilityName>全半角检查</abilityName>
      <candidateList>
        <item>，</item>
      </candidateList>
      <explain>文本全半角错误。</explain>
      <paraID>2A33D68C</paraID>
      <start>27</start>
      <end>28</end>
      <status>unmodified</status>
      <modifiedWord/>
      <trackRevisions>false</trackRevisions>
    </reviewItem>
    <reviewItem>
      <errorID>cd70a369-cba0-4e59-bdf4-1ce75520ae70</errorID>
      <errorWord>,</errorWord>
      <group>L1_Format</group>
      <groupName>格式问题</groupName>
      <ability>L2_HalfPunc</ability>
      <abilityName>全半角检查</abilityName>
      <candidateList>
        <item>，</item>
      </candidateList>
      <explain>文本全半角错误。</explain>
      <paraID>2A33D68C</paraID>
      <start>37</start>
      <end>38</end>
      <status>unmodified</status>
      <modifiedWord/>
      <trackRevisions>false</trackRevisions>
    </reviewItem>
    <reviewItem>
      <errorID>b5249295-bb8b-49cb-b0db-61d175200a4f</errorID>
      <errorWord>,</errorWord>
      <group>L1_Format</group>
      <groupName>格式问题</groupName>
      <ability>L2_HalfPunc</ability>
      <abilityName>全半角检查</abilityName>
      <candidateList>
        <item>，</item>
      </candidateList>
      <explain>文本全半角错误。</explain>
      <paraID>2A33D68C</paraID>
      <start>68</start>
      <end>69</end>
      <status>unmodified</status>
      <modifiedWord/>
      <trackRevisions>false</trackRevisions>
    </reviewItem>
    <reviewItem>
      <errorID>7d28fae9-65ee-4dfd-ba56-0788e0553951</errorID>
      <errorWord>,</errorWord>
      <group>L1_Format</group>
      <groupName>格式问题</groupName>
      <ability>L2_HalfPunc</ability>
      <abilityName>全半角检查</abilityName>
      <candidateList>
        <item>，</item>
      </candidateList>
      <explain>文本全半角错误。</explain>
      <paraID>7424C92A</paraID>
      <start>7</start>
      <end>8</end>
      <status>unmodified</status>
      <modifiedWord/>
      <trackRevisions>false</trackRevisions>
    </reviewItem>
    <reviewItem>
      <errorID>ea492e77-a691-46e4-88ec-1ea0cdea9262</errorID>
      <errorWord>其它</errorWord>
      <group>L1_Word</group>
      <groupName>字词问题</groupName>
      <ability>L2_Alias</ability>
      <abilityName>也作/曾用词</abilityName>
      <candidateList>
        <item>其他</item>
      </candidateList>
      <explain>词汇[其它]为不规范表述或旧称，其规范书面表述为[其他]。</explain>
      <paraID>7424C92A</paraID>
      <start>23</start>
      <end>25</end>
      <status>unmodified</status>
      <modifiedWord/>
      <trackRevisions>false</trackRevisions>
    </reviewItem>
    <reviewItem>
      <errorID>a4f809a9-1bdf-4ca6-97b4-652345eb607b</errorID>
      <errorWord>,</errorWord>
      <group>L1_Format</group>
      <groupName>格式问题</groupName>
      <ability>L2_HalfPunc</ability>
      <abilityName>全半角检查</abilityName>
      <candidateList>
        <item>，</item>
      </candidateList>
      <explain>文本全半角错误。</explain>
      <paraID>7424C92A</paraID>
      <start>39</start>
      <end>40</end>
      <status>unmodified</status>
      <modifiedWord/>
      <trackRevisions>false</trackRevisions>
    </reviewItem>
    <reviewItem>
      <errorID>04981e16-b14a-4296-bcec-71e3f6b0fae6</errorID>
      <errorWord>,</errorWord>
      <group>L1_Format</group>
      <groupName>格式问题</groupName>
      <ability>L2_HalfPunc</ability>
      <abilityName>全半角检查</abilityName>
      <candidateList>
        <item>，</item>
      </candidateList>
      <explain>文本全半角错误。</explain>
      <paraID>7424C92A</paraID>
      <start>61</start>
      <end>62</end>
      <status>unmodified</status>
      <modifiedWord/>
      <trackRevisions>false</trackRevisions>
    </reviewItem>
    <reviewItem>
      <errorID>174f91cd-f5a7-4e53-afaa-106b8754b865</errorID>
      <errorWord>,</errorWord>
      <group>L1_Format</group>
      <groupName>格式问题</groupName>
      <ability>L2_HalfPunc</ability>
      <abilityName>全半角检查</abilityName>
      <candidateList>
        <item>，</item>
      </candidateList>
      <explain>文本全半角错误。</explain>
      <paraID>2F3A1F93</paraID>
      <start>10</start>
      <end>11</end>
      <status>unmodified</status>
      <modifiedWord/>
      <trackRevisions>false</trackRevisions>
    </reviewItem>
    <reviewItem>
      <errorID>d2f82598-d167-428b-b28f-e1d3b8212ce4</errorID>
      <errorWord>,</errorWord>
      <group>L1_Format</group>
      <groupName>格式问题</groupName>
      <ability>L2_HalfPunc</ability>
      <abilityName>全半角检查</abilityName>
      <candidateList>
        <item>，</item>
      </candidateList>
      <explain>文本全半角错误。</explain>
      <paraID>2F3A1F93</paraID>
      <start>20</start>
      <end>21</end>
      <status>unmodified</status>
      <modifiedWord/>
      <trackRevisions>false</trackRevisions>
    </reviewItem>
    <reviewItem>
      <errorID>1b6fe0e3-e4d2-4fe4-864c-9d91cb64691e</errorID>
      <errorWord>,</errorWord>
      <group>L1_Format</group>
      <groupName>格式问题</groupName>
      <ability>L2_HalfPunc</ability>
      <abilityName>全半角检查</abilityName>
      <candidateList>
        <item>，</item>
      </candidateList>
      <explain>文本全半角错误。</explain>
      <paraID>2F3A1F93</paraID>
      <start>39</start>
      <end>40</end>
      <status>unmodified</status>
      <modifiedWord/>
      <trackRevisions>false</trackRevisions>
    </reviewItem>
    <reviewItem>
      <errorID>e87b578d-978f-4fce-8b59-c0f41a32326c</errorID>
      <errorWord>,</errorWord>
      <group>L1_Format</group>
      <groupName>格式问题</groupName>
      <ability>L2_HalfPunc</ability>
      <abilityName>全半角检查</abilityName>
      <candidateList>
        <item>，</item>
      </candidateList>
      <explain>文本全半角错误。</explain>
      <paraID>2F3A1F93</paraID>
      <start>44</start>
      <end>45</end>
      <status>unmodified</status>
      <modifiedWord/>
      <trackRevisions>false</trackRevisions>
    </reviewItem>
    <reviewItem>
      <errorID>875e69c6-d3cd-4acc-835f-cd040089c520</errorID>
      <errorWord>,</errorWord>
      <group>L1_Format</group>
      <groupName>格式问题</groupName>
      <ability>L2_HalfPunc</ability>
      <abilityName>全半角检查</abilityName>
      <candidateList>
        <item>，</item>
      </candidateList>
      <explain>文本全半角错误。</explain>
      <paraID>7BC0C53D</paraID>
      <start>13</start>
      <end>14</end>
      <status>unmodified</status>
      <modifiedWord/>
      <trackRevisions>false</trackRevisions>
    </reviewItem>
    <reviewItem>
      <errorID>09fbf8d8-a7d7-473a-8ee1-a6da391497a8</errorID>
      <errorWord>,</errorWord>
      <group>L1_Format</group>
      <groupName>格式问题</groupName>
      <ability>L2_HalfPunc</ability>
      <abilityName>全半角检查</abilityName>
      <candidateList>
        <item>，</item>
      </candidateList>
      <explain>文本全半角错误。</explain>
      <paraID>7BC0C53D</paraID>
      <start>18</start>
      <end>19</end>
      <status>unmodified</status>
      <modifiedWord/>
      <trackRevisions>false</trackRevisions>
    </reviewItem>
    <reviewItem>
      <errorID>86bf45f7-2ef9-455a-a9c7-c542a8b6d000</errorID>
      <errorWord>,</errorWord>
      <group>L1_Format</group>
      <groupName>格式问题</groupName>
      <ability>L2_HalfPunc</ability>
      <abilityName>全半角检查</abilityName>
      <candidateList>
        <item>，</item>
      </candidateList>
      <explain>文本全半角错误。</explain>
      <paraID>7BC0C53D</paraID>
      <start>52</start>
      <end>53</end>
      <status>unmodified</status>
      <modifiedWord/>
      <trackRevisions>false</trackRevisions>
    </reviewItem>
    <reviewItem>
      <errorID>3facc13c-333f-4361-9a82-9d490f4d9d3e</errorID>
      <errorWord>,</errorWord>
      <group>L1_Format</group>
      <groupName>格式问题</groupName>
      <ability>L2_HalfPunc</ability>
      <abilityName>全半角检查</abilityName>
      <candidateList>
        <item>，</item>
      </candidateList>
      <explain>文本全半角错误。</explain>
      <paraID>199A9BCB</paraID>
      <start>31</start>
      <end>32</end>
      <status>unmodified</status>
      <modifiedWord/>
      <trackRevisions>false</trackRevisions>
    </reviewItem>
    <reviewItem>
      <errorID>a05d258f-0de5-4e38-9685-64d323a890ce</errorID>
      <errorWord>,</errorWord>
      <group>L1_Format</group>
      <groupName>格式问题</groupName>
      <ability>L2_HalfPunc</ability>
      <abilityName>全半角检查</abilityName>
      <candidateList>
        <item>，</item>
      </candidateList>
      <explain>文本全半角错误。</explain>
      <paraID>199A9BCB</paraID>
      <start>45</start>
      <end>46</end>
      <status>unmodified</status>
      <modifiedWord/>
      <trackRevisions>false</trackRevisions>
    </reviewItem>
    <reviewItem>
      <errorID>b5859ea2-ea72-4943-adf3-b1fd4137fad3</errorID>
      <errorWord>,</errorWord>
      <group>L1_Format</group>
      <groupName>格式问题</groupName>
      <ability>L2_HalfPunc</ability>
      <abilityName>全半角检查</abilityName>
      <candidateList>
        <item>，</item>
      </candidateList>
      <explain>文本全半角错误。</explain>
      <paraID>199A9BCB</paraID>
      <start>83</start>
      <end>84</end>
      <status>unmodified</status>
      <modifiedWord/>
      <trackRevisions>false</trackRevisions>
    </reviewItem>
    <reviewItem>
      <errorID>7f1a8c27-e17e-4a81-9e82-a5e4650af0fa</errorID>
      <errorWord>,</errorWord>
      <group>L1_Format</group>
      <groupName>格式问题</groupName>
      <ability>L2_HalfPunc</ability>
      <abilityName>全半角检查</abilityName>
      <candidateList>
        <item>，</item>
      </candidateList>
      <explain>文本全半角错误。</explain>
      <paraID>40285343</paraID>
      <start>25</start>
      <end>26</end>
      <status>unmodified</status>
      <modifiedWord/>
      <trackRevisions>false</trackRevisions>
    </reviewItem>
    <reviewItem>
      <errorID>087c71aa-ed74-4c02-9904-16a9f3d35cd8</errorID>
      <errorWord>,</errorWord>
      <group>L1_Format</group>
      <groupName>格式问题</groupName>
      <ability>L2_HalfPunc</ability>
      <abilityName>全半角检查</abilityName>
      <candidateList>
        <item>，</item>
      </candidateList>
      <explain>文本全半角错误。</explain>
      <paraID>40285343</paraID>
      <start>37</start>
      <end>38</end>
      <status>unmodified</status>
      <modifiedWord/>
      <trackRevisions>false</trackRevisions>
    </reviewItem>
    <reviewItem>
      <errorID>10cbe68a-dfde-4864-9508-1309ded07a80</errorID>
      <errorWord>,</errorWord>
      <group>L1_Format</group>
      <groupName>格式问题</groupName>
      <ability>L2_HalfPunc</ability>
      <abilityName>全半角检查</abilityName>
      <candidateList>
        <item>，</item>
      </candidateList>
      <explain>文本全半角错误。</explain>
      <paraID>40285343</paraID>
      <start>59</start>
      <end>60</end>
      <status>unmodified</status>
      <modifiedWord/>
      <trackRevisions>false</trackRevisions>
    </reviewItem>
    <reviewItem>
      <errorID>1e02639b-c019-4e70-ba1e-f258b590c254</errorID>
      <errorWord>,</errorWord>
      <group>L1_Format</group>
      <groupName>格式问题</groupName>
      <ability>L2_HalfPunc</ability>
      <abilityName>全半角检查</abilityName>
      <candidateList>
        <item>，</item>
      </candidateList>
      <explain>文本全半角错误。</explain>
      <paraID>40285343</paraID>
      <start>66</start>
      <end>67</end>
      <status>unmodified</status>
      <modifiedWord/>
      <trackRevisions>false</trackRevisions>
    </reviewItem>
    <reviewItem>
      <errorID>07c954dd-b20e-44c4-ad51-aada0b251d24</errorID>
      <errorWord>,</errorWord>
      <group>L1_Format</group>
      <groupName>格式问题</groupName>
      <ability>L2_HalfPunc</ability>
      <abilityName>全半角检查</abilityName>
      <candidateList>
        <item>，</item>
      </candidateList>
      <explain>文本全半角错误。</explain>
      <paraID>339DCA3E</paraID>
      <start>34</start>
      <end>35</end>
      <status>unmodified</status>
      <modifiedWord/>
      <trackRevisions>false</trackRevisions>
    </reviewItem>
    <reviewItem>
      <errorID>25be06fa-ef8d-4640-9f0a-a1c0369a7db1</errorID>
      <errorWord>,</errorWord>
      <group>L1_Word</group>
      <groupName>字词问题</groupName>
      <ability>L2_Typo</ability>
      <abilityName>字词错误</abilityName>
      <candidateList>
        <item>,必</item>
      </candidateList>
      <explain/>
      <paraID>339DCA3E</paraID>
      <start>45</start>
      <end>46</end>
      <status>unmodified</status>
      <modifiedWord/>
      <trackRevisions>false</trackRevisions>
    </reviewItem>
    <reviewItem>
      <errorID>81eaf365-1522-4b4a-ba74-5bc46c224631</errorID>
      <errorWord>其它</errorWord>
      <group>L1_Word</group>
      <groupName>字词问题</groupName>
      <ability>L2_Alias</ability>
      <abilityName>也作/曾用词</abilityName>
      <candidateList>
        <item>其他</item>
      </candidateList>
      <explain>词汇[其它]为不规范表述或旧称，其规范书面表述为[其他]。</explain>
      <paraID>339DCA3E</paraID>
      <start>52</start>
      <end>54</end>
      <status>unmodified</status>
      <modifiedWord/>
      <trackRevisions>false</trackRevisions>
    </reviewItem>
    <reviewItem>
      <errorID>d7ccb0a0-5134-4d96-bb35-3bc17cc5a05c</errorID>
      <errorWord>,</errorWord>
      <group>L1_Format</group>
      <groupName>格式问题</groupName>
      <ability>L2_HalfPunc</ability>
      <abilityName>全半角检查</abilityName>
      <candidateList>
        <item>，</item>
      </candidateList>
      <explain>文本全半角错误。</explain>
      <paraID>339DCA3E</paraID>
      <start>58</start>
      <end>59</end>
      <status>unmodified</status>
      <modifiedWord/>
      <trackRevisions>false</trackRevisions>
    </reviewItem>
    <reviewItem>
      <errorID>8cefcb51-9e80-4ef8-a2fa-35609f35538a</errorID>
      <errorWord>拌合</errorWord>
      <group>L1_Word</group>
      <groupName>字词问题</groupName>
      <ability>L2_Typo</ability>
      <abilityName>字词错误</abilityName>
      <candidateList>
        <item>拌和</item>
      </candidateList>
      <explain/>
      <paraID>339DCA3E</paraID>
      <start>59</start>
      <end>61</end>
      <status>unmodified</status>
      <modifiedWord/>
      <trackRevisions>false</trackRevisions>
    </reviewItem>
    <reviewItem>
      <errorID>89bb2173-bcc0-4099-b603-5553bb323cd1</errorID>
      <errorWord>,</errorWord>
      <group>L1_Format</group>
      <groupName>格式问题</groupName>
      <ability>L2_HalfPunc</ability>
      <abilityName>全半角检查</abilityName>
      <candidateList>
        <item>，</item>
      </candidateList>
      <explain>文本全半角错误。</explain>
      <paraID>339DCA3E</paraID>
      <start>68</start>
      <end>69</end>
      <status>unmodified</status>
      <modifiedWord/>
      <trackRevisions>false</trackRevisions>
    </reviewItem>
    <reviewItem>
      <errorID>3c346209-08cd-4d41-92a0-671323afd4c6</errorID>
      <errorWord>,</errorWord>
      <group>L1_Format</group>
      <groupName>格式问题</groupName>
      <ability>L2_HalfPunc</ability>
      <abilityName>全半角检查</abilityName>
      <candidateList>
        <item>，</item>
      </candidateList>
      <explain>文本全半角错误。</explain>
      <paraID>72A43450</paraID>
      <start>16</start>
      <end>17</end>
      <status>unmodified</status>
      <modifiedWord/>
      <trackRevisions>false</trackRevisions>
    </reviewItem>
    <reviewItem>
      <errorID>80bed275-ad1b-4ce0-a98f-ef102ce06d04</errorID>
      <errorWord>,</errorWord>
      <group>L1_Format</group>
      <groupName>格式问题</groupName>
      <ability>L2_HalfPunc</ability>
      <abilityName>全半角检查</abilityName>
      <candidateList>
        <item>，</item>
      </candidateList>
      <explain>文本全半角错误。</explain>
      <paraID>72A43450</paraID>
      <start>33</start>
      <end>34</end>
      <status>unmodified</status>
      <modifiedWord/>
      <trackRevisions>false</trackRevisions>
    </reviewItem>
    <reviewItem>
      <errorID>9eba2d9b-34d3-479f-9d40-89c4fae66164</errorID>
      <errorWord>,</errorWord>
      <group>L1_Format</group>
      <groupName>格式问题</groupName>
      <ability>L2_HalfPunc</ability>
      <abilityName>全半角检查</abilityName>
      <candidateList>
        <item>，</item>
      </candidateList>
      <explain>文本全半角错误。</explain>
      <paraID>72A43450</paraID>
      <start>48</start>
      <end>49</end>
      <status>unmodified</status>
      <modifiedWord/>
      <trackRevisions>false</trackRevisions>
    </reviewItem>
    <reviewItem>
      <errorID>912848c4-c344-48be-a297-5e8d9013bc28</errorID>
      <errorWord>,</errorWord>
      <group>L1_Format</group>
      <groupName>格式问题</groupName>
      <ability>L2_HalfPunc</ability>
      <abilityName>全半角检查</abilityName>
      <candidateList>
        <item>，</item>
      </candidateList>
      <explain>文本全半角错误。</explain>
      <paraID>72A43450</paraID>
      <start>61</start>
      <end>62</end>
      <status>unmodified</status>
      <modifiedWord/>
      <trackRevisions>false</trackRevisions>
    </reviewItem>
    <reviewItem>
      <errorID>6e38694f-100a-48ba-ad36-e1245037c111</errorID>
      <errorWord>,</errorWord>
      <group>L1_Format</group>
      <groupName>格式问题</groupName>
      <ability>L2_HalfPunc</ability>
      <abilityName>全半角检查</abilityName>
      <candidateList>
        <item>，</item>
      </candidateList>
      <explain>文本全半角错误。</explain>
      <paraID>72A43450</paraID>
      <start>110</start>
      <end>111</end>
      <status>unmodified</status>
      <modifiedWord/>
      <trackRevisions>false</trackRevisions>
    </reviewItem>
    <reviewItem>
      <errorID>d8fed82a-3a2e-446c-a927-0eb3e0a9a886</errorID>
      <errorWord>,</errorWord>
      <group>L1_Format</group>
      <groupName>格式问题</groupName>
      <ability>L2_HalfPunc</ability>
      <abilityName>全半角检查</abilityName>
      <candidateList>
        <item>，</item>
      </candidateList>
      <explain>文本全半角错误。</explain>
      <paraID>2BACB778</paraID>
      <start>12</start>
      <end>13</end>
      <status>unmodified</status>
      <modifiedWord/>
      <trackRevisions>false</trackRevisions>
    </reviewItem>
    <reviewItem>
      <errorID>1846d4f8-b438-42d5-a110-8f8be6e147e5</errorID>
      <errorWord>,</errorWord>
      <group>L1_Format</group>
      <groupName>格式问题</groupName>
      <ability>L2_HalfPunc</ability>
      <abilityName>全半角检查</abilityName>
      <candidateList>
        <item>，</item>
      </candidateList>
      <explain>文本全半角错误。</explain>
      <paraID>21745D3D</paraID>
      <start>16</start>
      <end>17</end>
      <status>unmodified</status>
      <modifiedWord/>
      <trackRevisions>false</trackRevisions>
    </reviewItem>
    <reviewItem>
      <errorID>8ba0fe74-8e70-41be-8082-c6defef6bd06</errorID>
      <errorWord>,</errorWord>
      <group>L1_Format</group>
      <groupName>格式问题</groupName>
      <ability>L2_HalfPunc</ability>
      <abilityName>全半角检查</abilityName>
      <candidateList>
        <item>，</item>
      </candidateList>
      <explain>文本全半角错误。</explain>
      <paraID>21745D3D</paraID>
      <start>30</start>
      <end>31</end>
      <status>unmodified</status>
      <modifiedWord/>
      <trackRevisions>false</trackRevisions>
    </reviewItem>
    <reviewItem>
      <errorID>00090ba2-7267-4d75-9132-87f737b20037</errorID>
      <errorWord>告示</errorWord>
      <group>L1_Word</group>
      <groupName>字词问题</groupName>
      <ability>L2_Typo</ability>
      <abilityName>字词错误</abilityName>
      <candidateList>
        <item>告知</item>
      </candidateList>
      <explain>存在发音相近字词的误用。</explain>
      <paraID>21745D3D</paraID>
      <start>37</start>
      <end>39</end>
      <status>unmodified</status>
      <modifiedWord/>
      <trackRevisions>false</trackRevisions>
    </reviewItem>
    <reviewItem>
      <errorID>dc0b14f4-5d0c-4793-a004-ab4a1b6cdfb6</errorID>
      <errorWord>;</errorWord>
      <group>L1_Format</group>
      <groupName>格式问题</groupName>
      <ability>L2_HalfPunc</ability>
      <abilityName>全半角检查</abilityName>
      <candidateList>
        <item>；</item>
      </candidateList>
      <explain>文本全半角错误。</explain>
      <paraID>21745D3D</paraID>
      <start>39</start>
      <end>40</end>
      <status>unmodified</status>
      <modifiedWord/>
      <trackRevisions>false</trackRevisions>
    </reviewItem>
    <reviewItem>
      <errorID>bb0813f7-a2f4-4f23-8808-4e4391064eda</errorID>
      <errorWord>,</errorWord>
      <group>L1_Format</group>
      <groupName>格式问题</groupName>
      <ability>L2_HalfPunc</ability>
      <abilityName>全半角检查</abilityName>
      <candidateList>
        <item>，</item>
      </candidateList>
      <explain>文本全半角错误。</explain>
      <paraID>21745D3D</paraID>
      <start>42</start>
      <end>43</end>
      <status>unmodified</status>
      <modifiedWord/>
      <trackRevisions>false</trackRevisions>
    </reviewItem>
    <reviewItem>
      <errorID>8f9526f9-1f93-4edb-8efb-58e1e97cf553</errorID>
      <errorWord>,</errorWord>
      <group>L1_Format</group>
      <groupName>格式问题</groupName>
      <ability>L2_HalfPunc</ability>
      <abilityName>全半角检查</abilityName>
      <candidateList>
        <item>，</item>
      </candidateList>
      <explain>文本全半角错误。</explain>
      <paraID>21745D3D</paraID>
      <start>54</start>
      <end>55</end>
      <status>unmodified</status>
      <modifiedWord/>
      <trackRevisions>false</trackRevisions>
    </reviewItem>
    <reviewItem>
      <errorID>6dd58292-5777-49fc-a504-db081defa240</errorID>
      <errorWord>,</errorWord>
      <group>L1_Format</group>
      <groupName>格式问题</groupName>
      <ability>L2_HalfPunc</ability>
      <abilityName>全半角检查</abilityName>
      <candidateList>
        <item>，</item>
      </candidateList>
      <explain>文本全半角错误。</explain>
      <paraID>21745D3D</paraID>
      <start>82</start>
      <end>83</end>
      <status>unmodified</status>
      <modifiedWord/>
      <trackRevisions>false</trackRevisions>
    </reviewItem>
    <reviewItem>
      <errorID>4452c4be-8b63-4ce5-826c-8175eb62cb93</errorID>
      <errorWord>,</errorWord>
      <group>L1_Format</group>
      <groupName>格式问题</groupName>
      <ability>L2_HalfPunc</ability>
      <abilityName>全半角检查</abilityName>
      <candidateList>
        <item>，</item>
      </candidateList>
      <explain>文本全半角错误。</explain>
      <paraID>21745D3D</paraID>
      <start>112</start>
      <end>113</end>
      <status>unmodified</status>
      <modifiedWord/>
      <trackRevisions>false</trackRevisions>
    </reviewItem>
    <reviewItem>
      <errorID>d8d6fe9e-233b-4ad8-b25c-341ceb3b5b67</errorID>
      <errorWord>,</errorWord>
      <group>L1_Format</group>
      <groupName>格式问题</groupName>
      <ability>L2_HalfPunc</ability>
      <abilityName>全半角检查</abilityName>
      <candidateList>
        <item>，</item>
      </candidateList>
      <explain>文本全半角错误。</explain>
      <paraID> FD1CB46</paraID>
      <start>16</start>
      <end>17</end>
      <status>unmodified</status>
      <modifiedWord/>
      <trackRevisions>false</trackRevisions>
    </reviewItem>
    <reviewItem>
      <errorID>4e30fab1-cf21-40f0-9f1b-210984898ae5</errorID>
      <errorWord>,</errorWord>
      <group>L1_Format</group>
      <groupName>格式问题</groupName>
      <ability>L2_HalfPunc</ability>
      <abilityName>全半角检查</abilityName>
      <candidateList>
        <item>，</item>
      </candidateList>
      <explain>文本全半角错误。</explain>
      <paraID> FD1CB46</paraID>
      <start>43</start>
      <end>44</end>
      <status>unmodified</status>
      <modifiedWord/>
      <trackRevisions>false</trackRevisions>
    </reviewItem>
    <reviewItem>
      <errorID>0748936e-00af-4f59-ab81-bdd2d23be504</errorID>
      <errorWord>,</errorWord>
      <group>L1_Format</group>
      <groupName>格式问题</groupName>
      <ability>L2_HalfPunc</ability>
      <abilityName>全半角检查</abilityName>
      <candidateList>
        <item>，</item>
      </candidateList>
      <explain>文本全半角错误。</explain>
      <paraID> FD1CB46</paraID>
      <start>55</start>
      <end>56</end>
      <status>unmodified</status>
      <modifiedWord/>
      <trackRevisions>false</trackRevisions>
    </reviewItem>
    <reviewItem>
      <errorID>4a06546d-5ea9-4b52-b637-18112ee573e7</errorID>
      <errorWord>,</errorWord>
      <group>L1_Format</group>
      <groupName>格式问题</groupName>
      <ability>L2_HalfPunc</ability>
      <abilityName>全半角检查</abilityName>
      <candidateList>
        <item>，</item>
      </candidateList>
      <explain>文本全半角错误。</explain>
      <paraID> FD1CB46</paraID>
      <start>66</start>
      <end>67</end>
      <status>unmodified</status>
      <modifiedWord/>
      <trackRevisions>false</trackRevisions>
    </reviewItem>
    <reviewItem>
      <errorID>840f49b9-3432-4075-b418-29cddf878ec1</errorID>
      <errorWord>,</errorWord>
      <group>L1_Format</group>
      <groupName>格式问题</groupName>
      <ability>L2_HalfPunc</ability>
      <abilityName>全半角检查</abilityName>
      <candidateList>
        <item>，</item>
      </candidateList>
      <explain>文本全半角错误。</explain>
      <paraID> 2987BBC</paraID>
      <start>18</start>
      <end>19</end>
      <status>unmodified</status>
      <modifiedWord/>
      <trackRevisions>false</trackRevisions>
    </reviewItem>
    <reviewItem>
      <errorID>26f5db68-d7aa-4bde-b3f1-441e5a74ccd7</errorID>
      <errorWord>,</errorWord>
      <group>L1_Format</group>
      <groupName>格式问题</groupName>
      <ability>L2_HalfPunc</ability>
      <abilityName>全半角检查</abilityName>
      <candidateList>
        <item>，</item>
      </candidateList>
      <explain>文本全半角错误。</explain>
      <paraID> 2987BBC</paraID>
      <start>33</start>
      <end>34</end>
      <status>unmodified</status>
      <modifiedWord/>
      <trackRevisions>false</trackRevisions>
    </reviewItem>
    <reviewItem>
      <errorID>13419d05-4967-48e3-93cc-c841f37994fe</errorID>
      <errorWord>(</errorWord>
      <group>L1_Format</group>
      <groupName>格式问题</groupName>
      <ability>L2_HalfPunc</ability>
      <abilityName>全半角检查</abilityName>
      <candidateList>
        <item>（</item>
      </candidateList>
      <explain>文本全半角错误。</explain>
      <paraID> 2987BBC</paraID>
      <start>68</start>
      <end>69</end>
      <status>unmodified</status>
      <modifiedWord/>
      <trackRevisions>false</trackRevisions>
    </reviewItem>
    <reviewItem>
      <errorID>2637a6e2-7201-43c3-adea-6470c3cc3619</errorID>
      <errorWord>),</errorWord>
      <group>L1_Format</group>
      <groupName>格式问题</groupName>
      <ability>L2_HalfPunc</ability>
      <abilityName>全半角检查</abilityName>
      <candidateList>
        <item>），</item>
      </candidateList>
      <explain>文本全半角错误。</explain>
      <paraID> 2987BBC</paraID>
      <start>77</start>
      <end>79</end>
      <status>unmodified</status>
      <modifiedWord/>
      <trackRevisions>false</trackRevisions>
    </reviewItem>
    <reviewItem>
      <errorID>90469a66-9353-471c-9892-17b5e01ed35e</errorID>
      <errorWord>,</errorWord>
      <group>L1_Format</group>
      <groupName>格式问题</groupName>
      <ability>L2_HalfPunc</ability>
      <abilityName>全半角检查</abilityName>
      <candidateList>
        <item>，</item>
      </candidateList>
      <explain>文本全半角错误。</explain>
      <paraID>5007BCAB</paraID>
      <start>26</start>
      <end>27</end>
      <status>unmodified</status>
      <modifiedWord/>
      <trackRevisions>false</trackRevisions>
    </reviewItem>
    <reviewItem>
      <errorID>bc682694-68db-49d4-a628-0e1e8c179f03</errorID>
      <errorWord>,</errorWord>
      <group>L1_Format</group>
      <groupName>格式问题</groupName>
      <ability>L2_HalfPunc</ability>
      <abilityName>全半角检查</abilityName>
      <candidateList>
        <item>，</item>
      </candidateList>
      <explain>文本全半角错误。</explain>
      <paraID>5007BCAB</paraID>
      <start>61</start>
      <end>62</end>
      <status>unmodified</status>
      <modifiedWord/>
      <trackRevisions>false</trackRevisions>
    </reviewItem>
    <reviewItem>
      <errorID>c6c489a8-8e19-4a08-94d7-9c5cfb8d9880</errorID>
      <errorWord>作</errorWord>
      <group>L1_Word</group>
      <groupName>字词问题</groupName>
      <ability>L2_Typo</ability>
      <abilityName>字词错误</abilityName>
      <candidateList>
        <item>做</item>
      </candidateList>
      <explain>存在发音相同字词的误用。</explain>
      <paraID>5007BCAB</paraID>
      <start>86</start>
      <end>87</end>
      <status>unmodified</status>
      <modifiedWord/>
      <trackRevisions>false</trackRevisions>
    </reviewItem>
    <reviewItem>
      <errorID>6ca7126a-733b-4904-a772-e4e9cd51fab3</errorID>
      <errorWord>,</errorWord>
      <group>L1_Format</group>
      <groupName>格式问题</groupName>
      <ability>L2_HalfPunc</ability>
      <abilityName>全半角检查</abilityName>
      <candidateList>
        <item>，</item>
      </candidateList>
      <explain>文本全半角错误。</explain>
      <paraID>5007BCAB</paraID>
      <start>93</start>
      <end>94</end>
      <status>unmodified</status>
      <modifiedWord/>
      <trackRevisions>false</trackRevisions>
    </reviewItem>
    <reviewItem>
      <errorID>de92bd34-4c05-4cbb-9cfa-1e10d0cf1c27</errorID>
      <errorWord>,</errorWord>
      <group>L1_Format</group>
      <groupName>格式问题</groupName>
      <ability>L2_HalfPunc</ability>
      <abilityName>全半角检查</abilityName>
      <candidateList>
        <item>，</item>
      </candidateList>
      <explain>文本全半角错误。</explain>
      <paraID>7A3054D0</paraID>
      <start>58</start>
      <end>59</end>
      <status>unmodified</status>
      <modifiedWord/>
      <trackRevisions>false</trackRevisions>
    </reviewItem>
    <reviewItem>
      <errorID>9d4faede-05c9-420c-801e-11027e150148</errorID>
      <errorWord>,</errorWord>
      <group>L1_Format</group>
      <groupName>格式问题</groupName>
      <ability>L2_HalfPunc</ability>
      <abilityName>全半角检查</abilityName>
      <candidateList>
        <item>，</item>
      </candidateList>
      <explain>文本全半角错误。</explain>
      <paraID>7A3054D0</paraID>
      <start>103</start>
      <end>104</end>
      <status>unmodified</status>
      <modifiedWord/>
      <trackRevisions>false</trackRevisions>
    </reviewItem>
    <reviewItem>
      <errorID>d9ea6943-1d7d-4feb-b293-fba325b2c09f</errorID>
      <errorWord>佩带</errorWord>
      <group>L1_Word</group>
      <groupName>字词问题</groupName>
      <ability>L2_Typo</ability>
      <abilityName>字词错误</abilityName>
      <candidateList>
        <item>佩戴</item>
      </candidateList>
      <explain>〈动〉（把徽章、符号等）挂在胸前、臂上、肩上等部位：～校徽｜～肩章。也作佩带。</explain>
      <paraID>7A3054D0</paraID>
      <start>105</start>
      <end>107</end>
      <status>unmodified</status>
      <modifiedWord/>
      <trackRevisions>false</trackRevisions>
    </reviewItem>
    <reviewItem>
      <errorID>09186185-4f56-4500-8ceb-294646dc054c</errorID>
      <errorWord>,</errorWord>
      <group>L1_Format</group>
      <groupName>格式问题</groupName>
      <ability>L2_HalfPunc</ability>
      <abilityName>全半角检查</abilityName>
      <candidateList>
        <item>，</item>
      </candidateList>
      <explain>文本全半角错误。</explain>
      <paraID>194959B5</paraID>
      <start>13</start>
      <end>14</end>
      <status>unmodified</status>
      <modifiedWord/>
      <trackRevisions>false</trackRevisions>
    </reviewItem>
    <reviewItem>
      <errorID>68323d75-f698-498f-a5b8-0be9e49f6eea</errorID>
      <errorWord>,</errorWord>
      <group>L1_Format</group>
      <groupName>格式问题</groupName>
      <ability>L2_HalfPunc</ability>
      <abilityName>全半角检查</abilityName>
      <candidateList>
        <item>，</item>
      </candidateList>
      <explain>文本全半角错误。</explain>
      <paraID>194959B5</paraID>
      <start>25</start>
      <end>26</end>
      <status>unmodified</status>
      <modifiedWord/>
      <trackRevisions>false</trackRevisions>
    </reviewItem>
    <reviewItem>
      <errorID>670fa338-38e6-4ba1-8426-1bcd55c18e24</errorID>
      <errorWord>,</errorWord>
      <group>L1_Format</group>
      <groupName>格式问题</groupName>
      <ability>L2_HalfPunc</ability>
      <abilityName>全半角检查</abilityName>
      <candidateList>
        <item>，</item>
      </candidateList>
      <explain>文本全半角错误。</explain>
      <paraID>194959B5</paraID>
      <start>52</start>
      <end>53</end>
      <status>unmodified</status>
      <modifiedWord/>
      <trackRevisions>false</trackRevisions>
    </reviewItem>
    <reviewItem>
      <errorID>3d968f4b-44a9-4db4-8f50-2a04e149b4ee</errorID>
      <errorWord>,</errorWord>
      <group>L1_Format</group>
      <groupName>格式问题</groupName>
      <ability>L2_HalfPunc</ability>
      <abilityName>全半角检查</abilityName>
      <candidateList>
        <item>，</item>
      </candidateList>
      <explain>文本全半角错误。</explain>
      <paraID>5C3E142E</paraID>
      <start>21</start>
      <end>22</end>
      <status>unmodified</status>
      <modifiedWord/>
      <trackRevisions>false</trackRevisions>
    </reviewItem>
    <reviewItem>
      <errorID>cd92bdbd-3d97-45fa-9e26-f75defc6b4ad</errorID>
      <errorWord>,</errorWord>
      <group>L1_Format</group>
      <groupName>格式问题</groupName>
      <ability>L2_HalfPunc</ability>
      <abilityName>全半角检查</abilityName>
      <candidateList>
        <item>，</item>
      </candidateList>
      <explain>文本全半角错误。</explain>
      <paraID>6F2CFB58</paraID>
      <start>13</start>
      <end>14</end>
      <status>unmodified</status>
      <modifiedWord/>
      <trackRevisions>false</trackRevisions>
    </reviewItem>
    <reviewItem>
      <errorID>4b4fa647-2923-4876-8b53-05ea7b838c82</errorID>
      <errorWord>,</errorWord>
      <group>L1_Format</group>
      <groupName>格式问题</groupName>
      <ability>L2_HalfPunc</ability>
      <abilityName>全半角检查</abilityName>
      <candidateList>
        <item>，</item>
      </candidateList>
      <explain>文本全半角错误。</explain>
      <paraID>6F2CFB58</paraID>
      <start>29</start>
      <end>30</end>
      <status>unmodified</status>
      <modifiedWord/>
      <trackRevisions>false</trackRevisions>
    </reviewItem>
    <reviewItem>
      <errorID>aad31346-a066-4b20-9d71-d4c2aa6f1809</errorID>
      <errorWord>,</errorWord>
      <group>L1_Format</group>
      <groupName>格式问题</groupName>
      <ability>L2_HalfPunc</ability>
      <abilityName>全半角检查</abilityName>
      <candidateList>
        <item>，</item>
      </candidateList>
      <explain>文本全半角错误。</explain>
      <paraID>20DC1C0C</paraID>
      <start>7</start>
      <end>8</end>
      <status>unmodified</status>
      <modifiedWord/>
      <trackRevisions>false</trackRevisions>
    </reviewItem>
    <reviewItem>
      <errorID>7a102f15-8192-41a6-a3c3-348fd7a52fe9</errorID>
      <errorWord>,</errorWord>
      <group>L1_Format</group>
      <groupName>格式问题</groupName>
      <ability>L2_HalfPunc</ability>
      <abilityName>全半角检查</abilityName>
      <candidateList>
        <item>，</item>
      </candidateList>
      <explain>文本全半角错误。</explain>
      <paraID>20DC1C0C</paraID>
      <start>16</start>
      <end>17</end>
      <status>unmodified</status>
      <modifiedWord/>
      <trackRevisions>false</trackRevisions>
    </reviewItem>
    <reviewItem>
      <errorID>2bfc3e07-cefe-4c21-a700-8f860bf8dc42</errorID>
      <errorWord>,</errorWord>
      <group>L1_Format</group>
      <groupName>格式问题</groupName>
      <ability>L2_HalfPunc</ability>
      <abilityName>全半角检查</abilityName>
      <candidateList>
        <item>，</item>
      </candidateList>
      <explain>文本全半角错误。</explain>
      <paraID>20DC1C0C</paraID>
      <start>26</start>
      <end>27</end>
      <status>unmodified</status>
      <modifiedWord/>
      <trackRevisions>false</trackRevisions>
    </reviewItem>
    <reviewItem>
      <errorID>f5fe2adc-6bc1-45fc-9e41-694405e4757b</errorID>
      <errorWord>,</errorWord>
      <group>L1_Format</group>
      <groupName>格式问题</groupName>
      <ability>L2_HalfPunc</ability>
      <abilityName>全半角检查</abilityName>
      <candidateList>
        <item>，</item>
      </candidateList>
      <explain>文本全半角错误。</explain>
      <paraID>19B1083B</paraID>
      <start>15</start>
      <end>16</end>
      <status>unmodified</status>
      <modifiedWord/>
      <trackRevisions>false</trackRevisions>
    </reviewItem>
    <reviewItem>
      <errorID>31de3e86-cf81-42b3-8314-8b82d2b18fea</errorID>
      <errorWord>,</errorWord>
      <group>L1_Format</group>
      <groupName>格式问题</groupName>
      <ability>L2_HalfPunc</ability>
      <abilityName>全半角检查</abilityName>
      <candidateList>
        <item>，</item>
      </candidateList>
      <explain>文本全半角错误。</explain>
      <paraID>61DDC76E</paraID>
      <start>6</start>
      <end>7</end>
      <status>unmodified</status>
      <modifiedWord/>
      <trackRevisions>false</trackRevisions>
    </reviewItem>
    <reviewItem>
      <errorID>0c8e98f1-11fa-4951-aad6-f11a1090a86e</errorID>
      <errorWord>,</errorWord>
      <group>L1_Format</group>
      <groupName>格式问题</groupName>
      <ability>L2_HalfPunc</ability>
      <abilityName>全半角检查</abilityName>
      <candidateList>
        <item>，</item>
      </candidateList>
      <explain>文本全半角错误。</explain>
      <paraID>4C440FBB</paraID>
      <start>8</start>
      <end>9</end>
      <status>unmodified</status>
      <modifiedWord/>
      <trackRevisions>false</trackRevisions>
    </reviewItem>
    <reviewItem>
      <errorID>7ff0bdf3-aae7-4fb7-ab0d-5c9fdeb989c4</errorID>
      <errorWord>,</errorWord>
      <group>L1_Format</group>
      <groupName>格式问题</groupName>
      <ability>L2_HalfPunc</ability>
      <abilityName>全半角检查</abilityName>
      <candidateList>
        <item>，</item>
      </candidateList>
      <explain>文本全半角错误。</explain>
      <paraID>635C1C74</paraID>
      <start>7</start>
      <end>8</end>
      <status>unmodified</status>
      <modifiedWord/>
      <trackRevisions>false</trackRevisions>
    </reviewItem>
    <reviewItem>
      <errorID>327bac39-5e37-429c-999b-36b8740dd3bd</errorID>
      <errorWord>,</errorWord>
      <group>L1_Format</group>
      <groupName>格式问题</groupName>
      <ability>L2_HalfPunc</ability>
      <abilityName>全半角检查</abilityName>
      <candidateList>
        <item>，</item>
      </candidateList>
      <explain>文本全半角错误。</explain>
      <paraID> 46A21E1</paraID>
      <start>8</start>
      <end>9</end>
      <status>unmodified</status>
      <modifiedWord/>
      <trackRevisions>false</trackRevisions>
    </reviewItem>
    <reviewItem>
      <errorID>1b703707-24ee-4971-a169-3d308bb43019</errorID>
      <errorWord>,</errorWord>
      <group>L1_Format</group>
      <groupName>格式问题</groupName>
      <ability>L2_HalfPunc</ability>
      <abilityName>全半角检查</abilityName>
      <candidateList>
        <item>，</item>
      </candidateList>
      <explain>文本全半角错误。</explain>
      <paraID> 3BA67EF</paraID>
      <start>9</start>
      <end>10</end>
      <status>unmodified</status>
      <modifiedWord/>
      <trackRevisions>false</trackRevisions>
    </reviewItem>
    <reviewItem>
      <errorID>538f1624-0585-4bce-a677-76334c8bde7b</errorID>
      <errorWord>,</errorWord>
      <group>L1_Format</group>
      <groupName>格式问题</groupName>
      <ability>L2_HalfPunc</ability>
      <abilityName>全半角检查</abilityName>
      <candidateList>
        <item>，</item>
      </candidateList>
      <explain>文本全半角错误。</explain>
      <paraID> 3BA67EF</paraID>
      <start>16</start>
      <end>17</end>
      <status>unmodified</status>
      <modifiedWord/>
      <trackRevisions>false</trackRevisions>
    </reviewItem>
    <reviewItem>
      <errorID>eeaafbfc-c46b-451f-b418-8c526f5116ca</errorID>
      <errorWord>,</errorWord>
      <group>L1_Format</group>
      <groupName>格式问题</groupName>
      <ability>L2_HalfPunc</ability>
      <abilityName>全半角检查</abilityName>
      <candidateList>
        <item>，</item>
      </candidateList>
      <explain>文本全半角错误。</explain>
      <paraID>75153F4D</paraID>
      <start>17</start>
      <end>18</end>
      <status>unmodified</status>
      <modifiedWord/>
      <trackRevisions>false</trackRevisions>
    </reviewItem>
    <reviewItem>
      <errorID>b27368ce-1d71-4c7a-942c-525cc068b6cf</errorID>
      <errorWord>,</errorWord>
      <group>L1_Format</group>
      <groupName>格式问题</groupName>
      <ability>L2_HalfPunc</ability>
      <abilityName>全半角检查</abilityName>
      <candidateList>
        <item>，</item>
      </candidateList>
      <explain>文本全半角错误。</explain>
      <paraID>65B7B0D4</paraID>
      <start>7</start>
      <end>8</end>
      <status>unmodified</status>
      <modifiedWord/>
      <trackRevisions>false</trackRevisions>
    </reviewItem>
    <reviewItem>
      <errorID>20b9698f-7bc2-4f1b-b792-85fc8996331b</errorID>
      <errorWord>,</errorWord>
      <group>L1_Format</group>
      <groupName>格式问题</groupName>
      <ability>L2_HalfPunc</ability>
      <abilityName>全半角检查</abilityName>
      <candidateList>
        <item>，</item>
      </candidateList>
      <explain>文本全半角错误。</explain>
      <paraID>65B7B0D4</paraID>
      <start>17</start>
      <end>18</end>
      <status>unmodified</status>
      <modifiedWord/>
      <trackRevisions>false</trackRevisions>
    </reviewItem>
    <reviewItem>
      <errorID>215bf43f-ceca-4455-b48b-40f80d3b8646</errorID>
      <errorWord>超</errorWord>
      <group>L1_Word</group>
      <groupName>字词问题</groupName>
      <ability>L2_Typo</ability>
      <abilityName>字词错误</abilityName>
      <candidateList>
        <item>超过</item>
      </candidateList>
      <explain/>
      <paraID>65B7B0D4</paraID>
      <start>20</start>
      <end>21</end>
      <status>unmodified</status>
      <modifiedWord/>
      <trackRevisions>false</trackRevisions>
    </reviewItem>
    <reviewItem>
      <errorID>8ac0115e-160d-4d8d-94c3-66511e03867f</errorID>
      <errorWord>,</errorWord>
      <group>L1_Format</group>
      <groupName>格式问题</groupName>
      <ability>L2_HalfPunc</ability>
      <abilityName>全半角检查</abilityName>
      <candidateList>
        <item>，</item>
      </candidateList>
      <explain>文本全半角错误。</explain>
      <paraID>6C4824E7</paraID>
      <start>17</start>
      <end>18</end>
      <status>unmodified</status>
      <modifiedWord/>
      <trackRevisions>false</trackRevisions>
    </reviewItem>
    <reviewItem>
      <errorID>33f8faab-b454-4259-846f-1dc5a2d543e6</errorID>
      <errorWord>超</errorWord>
      <group>L1_Word</group>
      <groupName>字词问题</groupName>
      <ability>L2_Typo</ability>
      <abilityName>字词错误</abilityName>
      <candidateList>
        <item>超过</item>
      </candidateList>
      <explain/>
      <paraID>6C4824E7</paraID>
      <start>20</start>
      <end>21</end>
      <status>unmodified</status>
      <modifiedWord/>
      <trackRevisions>false</trackRevisions>
    </reviewItem>
    <reviewItem>
      <errorID>a9264f2c-d4fb-4496-8779-86ca7e6c29cb</errorID>
      <errorWord>,</errorWord>
      <group>L1_Format</group>
      <groupName>格式问题</groupName>
      <ability>L2_HalfPunc</ability>
      <abilityName>全半角检查</abilityName>
      <candidateList>
        <item>，</item>
      </candidateList>
      <explain>文本全半角错误。</explain>
      <paraID>2399DC75</paraID>
      <start>10</start>
      <end>11</end>
      <status>unmodified</status>
      <modifiedWord/>
      <trackRevisions>false</trackRevisions>
    </reviewItem>
    <reviewItem>
      <errorID>d6adc5bf-a311-49c3-93b7-0718e5447274</errorID>
      <errorWord>,</errorWord>
      <group>L1_Format</group>
      <groupName>格式问题</groupName>
      <ability>L2_HalfPunc</ability>
      <abilityName>全半角检查</abilityName>
      <candidateList>
        <item>，</item>
      </candidateList>
      <explain>文本全半角错误。</explain>
      <paraID> C7F2BDA</paraID>
      <start>13</start>
      <end>14</end>
      <status>unmodified</status>
      <modifiedWord/>
      <trackRevisions>false</trackRevisions>
    </reviewItem>
    <reviewItem>
      <errorID>a4baec6d-4ee1-43e2-83d8-655c812ce341</errorID>
      <errorWord>,</errorWord>
      <group>L1_Format</group>
      <groupName>格式问题</groupName>
      <ability>L2_HalfPunc</ability>
      <abilityName>全半角检查</abilityName>
      <candidateList>
        <item>，</item>
      </candidateList>
      <explain>文本全半角错误。</explain>
      <paraID>67573618</paraID>
      <start>9</start>
      <end>10</end>
      <status>unmodified</status>
      <modifiedWord/>
      <trackRevisions>false</trackRevisions>
    </reviewItem>
    <reviewItem>
      <errorID>84696a48-dea4-4fbf-bc61-88bfea07f42d</errorID>
      <errorWord>,</errorWord>
      <group>L1_Format</group>
      <groupName>格式问题</groupName>
      <ability>L2_HalfPunc</ability>
      <abilityName>全半角检查</abilityName>
      <candidateList>
        <item>，</item>
      </candidateList>
      <explain>文本全半角错误。</explain>
      <paraID>1CA99C32</paraID>
      <start>9</start>
      <end>10</end>
      <status>unmodified</status>
      <modifiedWord/>
      <trackRevisions>false</trackRevisions>
    </reviewItem>
    <reviewItem>
      <errorID>64440e82-bbc3-43bb-ae23-a1311e275135</errorID>
      <errorWord>,</errorWord>
      <group>L1_Format</group>
      <groupName>格式问题</groupName>
      <ability>L2_HalfPunc</ability>
      <abilityName>全半角检查</abilityName>
      <candidateList>
        <item>，</item>
      </candidateList>
      <explain>文本全半角错误。</explain>
      <paraID>7D0BBF58</paraID>
      <start>14</start>
      <end>15</end>
      <status>unmodified</status>
      <modifiedWord/>
      <trackRevisions>false</trackRevisions>
    </reviewItem>
    <reviewItem>
      <errorID>2c9563e3-c543-43b7-90e9-3b73b744eb78</errorID>
      <errorWord>,</errorWord>
      <group>L1_Format</group>
      <groupName>格式问题</groupName>
      <ability>L2_HalfPunc</ability>
      <abilityName>全半角检查</abilityName>
      <candidateList>
        <item>，</item>
      </candidateList>
      <explain>文本全半角错误。</explain>
      <paraID>7BBBDEF8</paraID>
      <start>16</start>
      <end>17</end>
      <status>unmodified</status>
      <modifiedWord/>
      <trackRevisions>false</trackRevisions>
    </reviewItem>
    <reviewItem>
      <errorID>65079450-2e78-46e8-8040-86a15beae6b2</errorID>
      <errorWord>板</errorWord>
      <group>L1_Word</group>
      <groupName>字词问题</groupName>
      <ability>L2_Typo</ability>
      <abilityName>字词错误</abilityName>
      <candidateList>
        <item>板块</item>
      </candidateList>
      <explain>〈名〉❶大地构造理论指地球上岩石圈的构造单元，由海岭、海沟等构造带分割而成。全球共分为六大板块，即欧亚板块、太平洋板块、美洲板块、非洲板块、印澳板块和南极洲板块。大板块又可划分成小板块。❷比喻具有某些共同点或联系的各个部分的组合：晚会节目分为歌舞、戏曲、相声、小品几个～。</explain>
      <paraID> 8A64CE4</paraID>
      <start>8</start>
      <end>9</end>
      <status>unmodified</status>
      <modifiedWord/>
      <trackRevisions>false</trackRevisions>
    </reviewItem>
    <reviewItem>
      <errorID>fb6d9091-8833-4cc3-9dfa-68051f639beb</errorID>
      <errorWord>,</errorWord>
      <group>L1_Format</group>
      <groupName>格式问题</groupName>
      <ability>L2_HalfPunc</ability>
      <abilityName>全半角检查</abilityName>
      <candidateList>
        <item>，</item>
      </candidateList>
      <explain>文本全半角错误。</explain>
      <paraID>12034292</paraID>
      <start>13</start>
      <end>14</end>
      <status>unmodified</status>
      <modifiedWord/>
      <trackRevisions>false</trackRevisions>
    </reviewItem>
    <reviewItem>
      <errorID>9d63584d-4c08-488e-8a2a-58fa46419807</errorID>
      <errorWord>,</errorWord>
      <group>L1_Format</group>
      <groupName>格式问题</groupName>
      <ability>L2_HalfPunc</ability>
      <abilityName>全半角检查</abilityName>
      <candidateList>
        <item>，</item>
      </candidateList>
      <explain>文本全半角错误。</explain>
      <paraID>4BDF553D</paraID>
      <start>7</start>
      <end>8</end>
      <status>unmodified</status>
      <modifiedWord/>
      <trackRevisions>false</trackRevisions>
    </reviewItem>
    <reviewItem>
      <errorID>3faa3267-f3c6-47bb-89ef-000a8e0c2550</errorID>
      <errorWord>(</errorWord>
      <group>L1_Format</group>
      <groupName>格式问题</groupName>
      <ability>L2_HalfPunc</ability>
      <abilityName>全半角检查</abilityName>
      <candidateList>
        <item>（</item>
      </candidateList>
      <explain>文本全半角错误。</explain>
      <paraID>3A8B607B</paraID>
      <start>10</start>
      <end>11</end>
      <status>unmodified</status>
      <modifiedWord/>
      <trackRevisions>false</trackRevisions>
    </reviewItem>
    <reviewItem>
      <errorID>2b20d586-d37f-4374-a749-8ac0808721f8</errorID>
      <errorWord>)</errorWord>
      <group>L1_Format</group>
      <groupName>格式问题</groupName>
      <ability>L2_HalfPunc</ability>
      <abilityName>全半角检查</abilityName>
      <candidateList>
        <item>）</item>
      </candidateList>
      <explain>文本全半角错误。</explain>
      <paraID>3A8B607B</paraID>
      <start>14</start>
      <end>15</end>
      <status>unmodified</status>
      <modifiedWord/>
      <trackRevisions>false</trackRevisions>
    </reviewItem>
    <reviewItem>
      <errorID>39996fbd-8c3e-4147-85f9-6054662f042d</errorID>
      <errorWord>,</errorWord>
      <group>L1_Format</group>
      <groupName>格式问题</groupName>
      <ability>L2_HalfPunc</ability>
      <abilityName>全半角检查</abilityName>
      <candidateList>
        <item>，</item>
      </candidateList>
      <explain>文本全半角错误。</explain>
      <paraID> B6B9411</paraID>
      <start>15</start>
      <end>16</end>
      <status>unmodified</status>
      <modifiedWord/>
      <trackRevisions>false</trackRevisions>
    </reviewItem>
    <reviewItem>
      <errorID>d5081d21-a45c-4277-b819-cf6a5d7d7a53</errorID>
      <errorWord>(</errorWord>
      <group>L1_Format</group>
      <groupName>格式问题</groupName>
      <ability>L2_HalfPunc</ability>
      <abilityName>全半角检查</abilityName>
      <candidateList>
        <item>（</item>
      </candidateList>
      <explain>文本全半角错误。</explain>
      <paraID>2750A648</paraID>
      <start>2</start>
      <end>3</end>
      <status>unmodified</status>
      <modifiedWord/>
      <trackRevisions>false</trackRevisions>
    </reviewItem>
    <reviewItem>
      <errorID>5407b515-8203-4b41-8337-40d6d9f0c0be</errorID>
      <errorWord>)</errorWord>
      <group>L1_Format</group>
      <groupName>格式问题</groupName>
      <ability>L2_HalfPunc</ability>
      <abilityName>全半角检查</abilityName>
      <candidateList>
        <item>）</item>
      </candidateList>
      <explain>文本全半角错误。</explain>
      <paraID>2750A648</paraID>
      <start>4</start>
      <end>5</end>
      <status>unmodified</status>
      <modifiedWord/>
      <trackRevisions>false</trackRevisions>
    </reviewItem>
    <reviewItem>
      <errorID>d5713ec5-bc66-442b-a1c8-ed24f5db6bde</errorID>
      <errorWord>,</errorWord>
      <group>L1_Format</group>
      <groupName>格式问题</groupName>
      <ability>L2_HalfPunc</ability>
      <abilityName>全半角检查</abilityName>
      <candidateList>
        <item>，</item>
      </candidateList>
      <explain>文本全半角错误。</explain>
      <paraID>5ABE2E28</paraID>
      <start>11</start>
      <end>12</end>
      <status>unmodified</status>
      <modifiedWord/>
      <trackRevisions>false</trackRevisions>
    </reviewItem>
    <reviewItem>
      <errorID>8b1f196e-5ab0-4af7-b313-c3a22a88566b</errorID>
      <errorWord>,</errorWord>
      <group>L1_Format</group>
      <groupName>格式问题</groupName>
      <ability>L2_HalfPunc</ability>
      <abilityName>全半角检查</abilityName>
      <candidateList>
        <item>，</item>
      </candidateList>
      <explain>文本全半角错误。</explain>
      <paraID>34A7F15A</paraID>
      <start>10</start>
      <end>11</end>
      <status>unmodified</status>
      <modifiedWord/>
      <trackRevisions>false</trackRevisions>
    </reviewItem>
    <reviewItem>
      <errorID>0418dd01-d5f4-4847-892c-1573673979d8</errorID>
      <errorWord>(</errorWord>
      <group>L1_Format</group>
      <groupName>格式问题</groupName>
      <ability>L2_HalfPunc</ability>
      <abilityName>全半角检查</abilityName>
      <candidateList>
        <item>（</item>
      </candidateList>
      <explain>文本全半角错误。</explain>
      <paraID>34A7F15A</paraID>
      <start>21</start>
      <end>22</end>
      <status>unmodified</status>
      <modifiedWord/>
      <trackRevisions>false</trackRevisions>
    </reviewItem>
    <reviewItem>
      <errorID>4b355d22-a431-430e-9c0f-128386645956</errorID>
      <errorWord>)</errorWord>
      <group>L1_Format</group>
      <groupName>格式问题</groupName>
      <ability>L2_HalfPunc</ability>
      <abilityName>全半角检查</abilityName>
      <candidateList>
        <item>）</item>
      </candidateList>
      <explain>文本全半角错误。</explain>
      <paraID>34A7F15A</paraID>
      <start>34</start>
      <end>35</end>
      <status>unmodified</status>
      <modifiedWord/>
      <trackRevisions>false</trackRevisions>
    </reviewItem>
    <reviewItem>
      <errorID>937c202d-a33a-4cb5-8a53-95821f8ec718</errorID>
      <errorWord>,</errorWord>
      <group>L1_Format</group>
      <groupName>格式问题</groupName>
      <ability>L2_HalfPunc</ability>
      <abilityName>全半角检查</abilityName>
      <candidateList>
        <item>，</item>
      </candidateList>
      <explain>文本全半角错误。</explain>
      <paraID>34A7F15A</paraID>
      <start>40</start>
      <end>41</end>
      <status>unmodified</status>
      <modifiedWord/>
      <trackRevisions>false</trackRevisions>
    </reviewItem>
    <reviewItem>
      <errorID>2bf3e945-ffaa-41aa-9f81-5cbfed7a633e</errorID>
      <errorWord>,</errorWord>
      <group>L1_Format</group>
      <groupName>格式问题</groupName>
      <ability>L2_HalfPunc</ability>
      <abilityName>全半角检查</abilityName>
      <candidateList>
        <item>，</item>
      </candidateList>
      <explain>文本全半角错误。</explain>
      <paraID>34A7F15A</paraID>
      <start>49</start>
      <end>50</end>
      <status>unmodified</status>
      <modifiedWord/>
      <trackRevisions>false</trackRevisions>
    </reviewItem>
    <reviewItem>
      <errorID>31c3249a-5e9e-4886-be05-09f3184d9ff0</errorID>
      <errorWord>,</errorWord>
      <group>L1_Format</group>
      <groupName>格式问题</groupName>
      <ability>L2_HalfPunc</ability>
      <abilityName>全半角检查</abilityName>
      <candidateList>
        <item>，</item>
      </candidateList>
      <explain>文本全半角错误。</explain>
      <paraID>34A7F15A</paraID>
      <start>63</start>
      <end>64</end>
      <status>unmodified</status>
      <modifiedWord/>
      <trackRevisions>false</trackRevisions>
    </reviewItem>
    <reviewItem>
      <errorID>9f8a3ef4-17c8-4bc4-8aa1-06022ec78f84</errorID>
      <errorWord>,</errorWord>
      <group>L1_Format</group>
      <groupName>格式问题</groupName>
      <ability>L2_HalfPunc</ability>
      <abilityName>全半角检查</abilityName>
      <candidateList>
        <item>，</item>
      </candidateList>
      <explain>文本全半角错误。</explain>
      <paraID>34A7F15A</paraID>
      <start>71</start>
      <end>72</end>
      <status>unmodified</status>
      <modifiedWord/>
      <trackRevisions>false</trackRevisions>
    </reviewItem>
    <reviewItem>
      <errorID>e5337476-fdb4-4088-8c03-a304927f415d</errorID>
      <errorWord>方</errorWord>
      <group>L1_Word</group>
      <groupName>字词问题</groupName>
      <ability>L2_Typo</ability>
      <abilityName>字词错误</abilityName>
      <candidateList>
        <item>方米</item>
      </candidateList>
      <explain/>
      <paraID>60AC7351</paraID>
      <start>6</start>
      <end>7</end>
      <status>unmodified</status>
      <modifiedWord/>
      <trackRevisions>false</trackRevisions>
    </reviewItem>
    <reviewItem>
      <errorID>243c9ba7-38ed-47fa-8c06-6ef66e162c6f</errorID>
      <errorWord>,</errorWord>
      <group>L1_Format</group>
      <groupName>格式问题</groupName>
      <ability>L2_HalfPunc</ability>
      <abilityName>全半角检查</abilityName>
      <candidateList>
        <item>，</item>
      </candidateList>
      <explain>文本全半角错误。</explain>
      <paraID>60AC7351</paraID>
      <start>10</start>
      <end>11</end>
      <status>unmodified</status>
      <modifiedWord/>
      <trackRevisions>false</trackRevisions>
    </reviewItem>
    <reviewItem>
      <errorID>b170db06-eda3-4f24-a8c3-c6b3c2ac0fbf</errorID>
      <errorWord>,</errorWord>
      <group>L1_Format</group>
      <groupName>格式问题</groupName>
      <ability>L2_HalfPunc</ability>
      <abilityName>全半角检查</abilityName>
      <candidateList>
        <item>，</item>
      </candidateList>
      <explain>文本全半角错误。</explain>
      <paraID>60AC7351</paraID>
      <start>20</start>
      <end>21</end>
      <status>unmodified</status>
      <modifiedWord/>
      <trackRevisions>false</trackRevisions>
    </reviewItem>
    <reviewItem>
      <errorID>e64bb749-d086-4947-9c0e-81f6cc681f07</errorID>
      <errorWord>,</errorWord>
      <group>L1_Format</group>
      <groupName>格式问题</groupName>
      <ability>L2_HalfPunc</ability>
      <abilityName>全半角检查</abilityName>
      <candidateList>
        <item>，</item>
      </candidateList>
      <explain>文本全半角错误。</explain>
      <paraID>2AE9C1E2</paraID>
      <start>19</start>
      <end>20</end>
      <status>unmodified</status>
      <modifiedWord/>
      <trackRevisions>false</trackRevisions>
    </reviewItem>
    <reviewItem>
      <errorID>dc93ac42-6acb-4ac0-a526-c7ff677c50d2</errorID>
      <errorWord>,</errorWord>
      <group>L1_Format</group>
      <groupName>格式问题</groupName>
      <ability>L2_HalfPunc</ability>
      <abilityName>全半角检查</abilityName>
      <candidateList>
        <item>，</item>
      </candidateList>
      <explain>文本全半角错误。</explain>
      <paraID>2912BC09</paraID>
      <start>18</start>
      <end>19</end>
      <status>unmodified</status>
      <modifiedWord/>
      <trackRevisions>false</trackRevisions>
    </reviewItem>
    <reviewItem>
      <errorID>7a81cccb-7a78-4f75-b286-497a60643bd1</errorID>
      <errorWord>积泥积泥</errorWord>
      <group>L1_Word</group>
      <groupName>字词问题</groupName>
      <ability>L2_Typo</ability>
      <abilityName>字词错误</abilityName>
      <candidateList>
        <item>积泥</item>
      </candidateList>
      <explain/>
      <paraID>736B4D0A</paraID>
      <start>41</start>
      <end>45</end>
      <status>unmodified</status>
      <modifiedWord/>
      <trackRevisions>false</trackRevisions>
    </reviewItem>
    <reviewItem>
      <errorID>1bda1008-c133-44ba-8269-d1d839aa7529</errorID>
      <errorWord>超过管底以上</errorWord>
      <group>L1_Grammar</group>
      <groupName>语法问题</groupName>
      <ability>L2_Grammar</ability>
      <abilityName>语法错误</abilityName>
      <candidateList>
        <item>超过管底</item>
      </candidateList>
      <explain/>
      <paraID>736B4D0A</paraID>
      <start>84</start>
      <end>90</end>
      <status>unmodified</status>
      <modifiedWord/>
      <trackRevisions>false</trackRevisions>
    </reviewItem>
    <reviewItem>
      <errorID>94be5684-7b55-489f-a733-9c262ec4beab</errorID>
      <errorWord>）</errorWord>
      <group>L1_Word</group>
      <groupName>字词问题</groupName>
      <ability>L2_Typo</ability>
      <abilityName>字词错误</abilityName>
      <candidateList>
        <item>）和</item>
      </candidateList>
      <explain/>
      <paraID>255F68CC</paraID>
      <start>34</start>
      <end>35</end>
      <status>unmodified</status>
      <modifiedWord/>
      <trackRevisions>false</trackRevisions>
    </reviewItem>
    <reviewItem>
      <errorID>db53265f-ff4b-4c39-9f09-199f0bd8cb25</errorID>
      <errorWord>,</errorWord>
      <group>L1_Format</group>
      <groupName>格式问题</groupName>
      <ability>L2_HalfPunc</ability>
      <abilityName>全半角检查</abilityName>
      <candidateList>
        <item>，</item>
      </candidateList>
      <explain>文本全半角错误。</explain>
      <paraID>255F68CC</paraID>
      <start>110</start>
      <end>111</end>
      <status>unmodified</status>
      <modifiedWord/>
      <trackRevisions>false</trackRevisions>
    </reviewItem>
    <reviewItem>
      <errorID>35e28523-83e8-4acd-b54d-5f973e57b4a9</errorID>
      <errorWord>:</errorWord>
      <group>L1_Format</group>
      <groupName>格式问题</groupName>
      <ability>L2_HalfPunc</ability>
      <abilityName>全半角检查</abilityName>
      <candidateList>
        <item>：</item>
      </candidateList>
      <explain>文本全半角错误。</explain>
      <paraID>255F68CC</paraID>
      <start>118</start>
      <end>119</end>
      <status>unmodified</status>
      <modifiedWord/>
      <trackRevisions>false</trackRevisions>
    </reviewItem>
    <reviewItem>
      <errorID>0622e2ed-84c2-4239-a9d6-f13365700cc0</errorID>
      <errorWord>,</errorWord>
      <group>L1_Format</group>
      <groupName>格式问题</groupName>
      <ability>L2_HalfPunc</ability>
      <abilityName>全半角检查</abilityName>
      <candidateList>
        <item>，</item>
      </candidateList>
      <explain>文本全半角错误。</explain>
      <paraID> 2F50AA6</paraID>
      <start>8</start>
      <end>9</end>
      <status>unmodified</status>
      <modifiedWord/>
      <trackRevisions>false</trackRevisions>
    </reviewItem>
    <reviewItem>
      <errorID>2df217b0-b291-413b-9498-946f63d7bbd7</errorID>
      <errorWord>;</errorWord>
      <group>L1_Format</group>
      <groupName>格式问题</groupName>
      <ability>L2_HalfPunc</ability>
      <abilityName>全半角检查</abilityName>
      <candidateList>
        <item>；</item>
      </candidateList>
      <explain>文本全半角错误。</explain>
      <paraID> 2F50AA6</paraID>
      <start>13</start>
      <end>14</end>
      <status>unmodified</status>
      <modifiedWord/>
      <trackRevisions>false</trackRevisions>
    </reviewItem>
    <reviewItem>
      <errorID>e1c97d1d-43e8-4491-ab2f-2c3e602aa544</errorID>
      <errorWord>采</errorWord>
      <group>L1_Word</group>
      <groupName>字词问题</groupName>
      <ability>L2_Typo</ability>
      <abilityName>字词错误</abilityName>
      <candidateList>
        <item>采用</item>
      </candidateList>
      <explain>〈动〉认为合适而使用：～新工艺｜～举手表决方式｜那篇稿子已被编辑部～。</explain>
      <paraID> 2F50AA6</paraID>
      <start>15</start>
      <end>16</end>
      <status>unmodified</status>
      <modifiedWord/>
      <trackRevisions>false</trackRevisions>
    </reviewItem>
    <reviewItem>
      <errorID>fa395752-c1a4-4454-bdf7-59b8d3b01d18</errorID>
      <errorWord>,</errorWord>
      <group>L1_Format</group>
      <groupName>格式问题</groupName>
      <ability>L2_HalfPunc</ability>
      <abilityName>全半角检查</abilityName>
      <candidateList>
        <item>，</item>
      </candidateList>
      <explain>文本全半角错误。</explain>
      <paraID> 2F50AA6</paraID>
      <start>26</start>
      <end>27</end>
      <status>unmodified</status>
      <modifiedWord/>
      <trackRevisions>false</trackRevisions>
    </reviewItem>
    <reviewItem>
      <errorID>63f01b2c-68ac-45b1-a96c-c7e985129766</errorID>
      <errorWord>;</errorWord>
      <group>L1_Format</group>
      <groupName>格式问题</groupName>
      <ability>L2_HalfPunc</ability>
      <abilityName>全半角检查</abilityName>
      <candidateList>
        <item>；</item>
      </candidateList>
      <explain>文本全半角错误。</explain>
      <paraID> 2F50AA6</paraID>
      <start>34</start>
      <end>35</end>
      <status>unmodified</status>
      <modifiedWord/>
      <trackRevisions>false</trackRevisions>
    </reviewItem>
    <reviewItem>
      <errorID>4bfb4ed3-ea85-42eb-91f8-dbf0a81ca5cd</errorID>
      <errorWord>,</errorWord>
      <group>L1_Format</group>
      <groupName>格式问题</groupName>
      <ability>L2_HalfPunc</ability>
      <abilityName>全半角检查</abilityName>
      <candidateList>
        <item>，</item>
      </candidateList>
      <explain>文本全半角错误。</explain>
      <paraID> 2F50AA6</paraID>
      <start>42</start>
      <end>43</end>
      <status>unmodified</status>
      <modifiedWord/>
      <trackRevisions>false</trackRevisions>
    </reviewItem>
    <reviewItem>
      <errorID>21ec1a83-42c9-4c9c-9db8-80bc144cb1a9</errorID>
      <errorWord>,</errorWord>
      <group>L1_Format</group>
      <groupName>格式问题</groupName>
      <ability>L2_HalfPunc</ability>
      <abilityName>全半角检查</abilityName>
      <candidateList>
        <item>，</item>
      </candidateList>
      <explain>文本全半角错误。</explain>
      <paraID>2800FC12</paraID>
      <start>6</start>
      <end>7</end>
      <status>unmodified</status>
      <modifiedWord/>
      <trackRevisions>false</trackRevisions>
    </reviewItem>
    <reviewItem>
      <errorID>ffb46a98-d526-44bf-8b61-f7e0337daa7d</errorID>
      <errorWord>,</errorWord>
      <group>L1_Format</group>
      <groupName>格式问题</groupName>
      <ability>L2_HalfPunc</ability>
      <abilityName>全半角检查</abilityName>
      <candidateList>
        <item>，</item>
      </candidateList>
      <explain>文本全半角错误。</explain>
      <paraID>2800FC12</paraID>
      <start>78</start>
      <end>79</end>
      <status>unmodified</status>
      <modifiedWord/>
      <trackRevisions>false</trackRevisions>
    </reviewItem>
    <reviewItem>
      <errorID>c008f5e2-d27c-47c3-b3dc-88b06ce27853</errorID>
      <errorWord>,</errorWord>
      <group>L1_Format</group>
      <groupName>格式问题</groupName>
      <ability>L2_HalfPunc</ability>
      <abilityName>全半角检查</abilityName>
      <candidateList>
        <item>，</item>
      </candidateList>
      <explain>文本全半角错误。</explain>
      <paraID>2800FC12</paraID>
      <start>84</start>
      <end>85</end>
      <status>unmodified</status>
      <modifiedWord/>
      <trackRevisions>false</trackRevisions>
    </reviewItem>
    <reviewItem>
      <errorID>cd062844-7ff1-402f-af42-8ba875d8651b</errorID>
      <errorWord>,</errorWord>
      <group>L1_Format</group>
      <groupName>格式问题</groupName>
      <ability>L2_HalfPunc</ability>
      <abilityName>全半角检查</abilityName>
      <candidateList>
        <item>，</item>
      </candidateList>
      <explain>文本全半角错误。</explain>
      <paraID>2800FC12</paraID>
      <start>89</start>
      <end>90</end>
      <status>unmodified</status>
      <modifiedWord/>
      <trackRevisions>false</trackRevisions>
    </reviewItem>
    <reviewItem>
      <errorID>cd080a48-e3eb-4c5d-8a65-606200b7fcbe</errorID>
      <errorWord>,</errorWord>
      <group>L1_Format</group>
      <groupName>格式问题</groupName>
      <ability>L2_HalfPunc</ability>
      <abilityName>全半角检查</abilityName>
      <candidateList>
        <item>，</item>
      </candidateList>
      <explain>文本全半角错误。</explain>
      <paraID>5BD843BA</paraID>
      <start>4</start>
      <end>5</end>
      <status>unmodified</status>
      <modifiedWord/>
      <trackRevisions>false</trackRevisions>
    </reviewItem>
    <reviewItem>
      <errorID>5187e376-8ebf-4c3c-97f3-91dee288ed09</errorID>
      <errorWord>,</errorWord>
      <group>L1_Format</group>
      <groupName>格式问题</groupName>
      <ability>L2_HalfPunc</ability>
      <abilityName>全半角检查</abilityName>
      <candidateList>
        <item>，</item>
      </candidateList>
      <explain>文本全半角错误。</explain>
      <paraID>5BD843BA</paraID>
      <start>15</start>
      <end>16</end>
      <status>unmodified</status>
      <modifiedWord/>
      <trackRevisions>false</trackRevisions>
    </reviewItem>
    <reviewItem>
      <errorID>f2267039-bb29-4c0c-bc6e-75f259f8e5a6</errorID>
      <errorWord>)</errorWord>
      <group>L1_Format</group>
      <groupName>格式问题</groupName>
      <ability>L2_HalfPunc</ability>
      <abilityName>全半角检查</abilityName>
      <candidateList>
        <item>）</item>
      </candidateList>
      <explain>文本全半角错误。</explain>
      <paraID>5BD843BA</paraID>
      <start>30</start>
      <end>31</end>
      <status>unmodified</status>
      <modifiedWord/>
      <trackRevisions>false</trackRevisions>
    </reviewItem>
    <reviewItem>
      <errorID>ff46156a-a3eb-49bd-8dd9-051a00435725</errorID>
      <errorWord>,</errorWord>
      <group>L1_Format</group>
      <groupName>格式问题</groupName>
      <ability>L2_HalfPunc</ability>
      <abilityName>全半角检查</abilityName>
      <candidateList>
        <item>，</item>
      </candidateList>
      <explain>文本全半角错误。</explain>
      <paraID>6321C971</paraID>
      <start>4</start>
      <end>5</end>
      <status>unmodified</status>
      <modifiedWord/>
      <trackRevisions>false</trackRevisions>
    </reviewItem>
    <reviewItem>
      <errorID>3bb55438-a1ac-4203-a9db-85fa6245b9dc</errorID>
      <errorWord>,</errorWord>
      <group>L1_Format</group>
      <groupName>格式问题</groupName>
      <ability>L2_HalfPunc</ability>
      <abilityName>全半角检查</abilityName>
      <candidateList>
        <item>，</item>
      </candidateList>
      <explain>文本全半角错误。</explain>
      <paraID>6321C971</paraID>
      <start>22</start>
      <end>23</end>
      <status>unmodified</status>
      <modifiedWord/>
      <trackRevisions>false</trackRevisions>
    </reviewItem>
    <reviewItem>
      <errorID>006b88be-5398-437d-b519-7057d2c7a80c</errorID>
      <errorWord>,</errorWord>
      <group>L1_Format</group>
      <groupName>格式问题</groupName>
      <ability>L2_HalfPunc</ability>
      <abilityName>全半角检查</abilityName>
      <candidateList>
        <item>，</item>
      </candidateList>
      <explain>文本全半角错误。</explain>
      <paraID>6321C971</paraID>
      <start>39</start>
      <end>40</end>
      <status>unmodified</status>
      <modifiedWord/>
      <trackRevisions>false</trackRevisions>
    </reviewItem>
    <reviewItem>
      <errorID>fa791f92-dc31-4380-9f55-675267f8b27a</errorID>
      <errorWord>,</errorWord>
      <group>L1_Format</group>
      <groupName>格式问题</groupName>
      <ability>L2_HalfPunc</ability>
      <abilityName>全半角检查</abilityName>
      <candidateList>
        <item>，</item>
      </candidateList>
      <explain>文本全半角错误。</explain>
      <paraID>6321C971</paraID>
      <start>44</start>
      <end>45</end>
      <status>unmodified</status>
      <modifiedWord/>
      <trackRevisions>false</trackRevisions>
    </reviewItem>
    <reviewItem>
      <errorID>1186cdb7-9c9f-4c70-afa5-4bf6cb2b7bf0</errorID>
      <errorWord>,</errorWord>
      <group>L1_Format</group>
      <groupName>格式问题</groupName>
      <ability>L2_HalfPunc</ability>
      <abilityName>全半角检查</abilityName>
      <candidateList>
        <item>，</item>
      </candidateList>
      <explain>文本全半角错误。</explain>
      <paraID>6321C971</paraID>
      <start>52</start>
      <end>53</end>
      <status>unmodified</status>
      <modifiedWord/>
      <trackRevisions>false</trackRevisions>
    </reviewItem>
    <reviewItem>
      <errorID>d62040ac-5a74-4677-bb43-0ecca15a46bb</errorID>
      <errorWord>)</errorWord>
      <group>L1_Format</group>
      <groupName>格式问题</groupName>
      <ability>L2_HalfPunc</ability>
      <abilityName>全半角检查</abilityName>
      <candidateList>
        <item>）</item>
      </candidateList>
      <explain>文本全半角错误。</explain>
      <paraID>6321C971</paraID>
      <start>65</start>
      <end>66</end>
      <status>unmodified</status>
      <modifiedWord/>
      <trackRevisions>false</trackRevisions>
    </reviewItem>
    <reviewItem>
      <errorID>1e65e47c-43ef-4456-9a6e-aec7d873ce5a</errorID>
      <errorWord>路框</errorWord>
      <group>L1_Word</group>
      <groupName>字词问题</groupName>
      <ability>L2_Typo</ability>
      <abilityName>字词错误</abilityName>
      <candidateList>
        <item>路况</item>
      </candidateList>
      <explain/>
      <paraID>6F6EEE60</paraID>
      <start>0</start>
      <end>2</end>
      <status>unmodified</status>
      <modifiedWord/>
      <trackRevisions>false</trackRevisions>
    </reviewItem>
    <reviewItem>
      <errorID>ef9a715a-4ba1-4eb9-919c-70ff1a63040b</errorID>
      <errorWord>,</errorWord>
      <group>L1_Format</group>
      <groupName>格式问题</groupName>
      <ability>L2_HalfPunc</ability>
      <abilityName>全半角检查</abilityName>
      <candidateList>
        <item>，</item>
      </candidateList>
      <explain>文本全半角错误。</explain>
      <paraID>17E695FC</paraID>
      <start>11</start>
      <end>12</end>
      <status>unmodified</status>
      <modifiedWord/>
      <trackRevisions>false</trackRevisions>
    </reviewItem>
    <reviewItem>
      <errorID>622c8e48-082a-4026-a182-efd37e2c2c26</errorID>
      <errorWord>)</errorWord>
      <group>L1_Format</group>
      <groupName>格式问题</groupName>
      <ability>L2_HalfPunc</ability>
      <abilityName>全半角检查</abilityName>
      <candidateList>
        <item>）</item>
      </candidateList>
      <explain>文本全半角错误。</explain>
      <paraID>17E695FC</paraID>
      <start>28</start>
      <end>29</end>
      <status>unmodified</status>
      <modifiedWord/>
      <trackRevisions>false</trackRevisions>
    </reviewItem>
    <reviewItem>
      <errorID>7809e384-08e2-41f5-803e-c1835b3fd552</errorID>
      <errorWord>,</errorWord>
      <group>L1_Format</group>
      <groupName>格式问题</groupName>
      <ability>L2_HalfPunc</ability>
      <abilityName>全半角检查</abilityName>
      <candidateList>
        <item>，</item>
      </candidateList>
      <explain>文本全半角错误。</explain>
      <paraID> 2324409</paraID>
      <start>9</start>
      <end>10</end>
      <status>unmodified</status>
      <modifiedWord/>
      <trackRevisions>false</trackRevisions>
    </reviewItem>
    <reviewItem>
      <errorID>b3be9c6f-90d5-4392-a124-a33498f4a7fe</errorID>
      <errorWord>,</errorWord>
      <group>L1_Format</group>
      <groupName>格式问题</groupName>
      <ability>L2_HalfPunc</ability>
      <abilityName>全半角检查</abilityName>
      <candidateList>
        <item>，</item>
      </candidateList>
      <explain>文本全半角错误。</explain>
      <paraID> 4C39C46</paraID>
      <start>8</start>
      <end>9</end>
      <status>unmodified</status>
      <modifiedWord/>
      <trackRevisions>false</trackRevisions>
    </reviewItem>
    <reviewItem>
      <errorID>223f3959-b1b4-423f-a4d3-030f4d20d206</errorID>
      <errorWord>,</errorWord>
      <group>L1_Format</group>
      <groupName>格式问题</groupName>
      <ability>L2_HalfPunc</ability>
      <abilityName>全半角检查</abilityName>
      <candidateList>
        <item>，</item>
      </candidateList>
      <explain>文本全半角错误。</explain>
      <paraID> 4C39C46</paraID>
      <start>17</start>
      <end>18</end>
      <status>unmodified</status>
      <modifiedWord/>
      <trackRevisions>false</trackRevisions>
    </reviewItem>
    <reviewItem>
      <errorID>0cde1b5b-3d9e-488f-a0e0-0266ac65b1a4</errorID>
      <errorWord>,</errorWord>
      <group>L1_Format</group>
      <groupName>格式问题</groupName>
      <ability>L2_HalfPunc</ability>
      <abilityName>全半角检查</abilityName>
      <candidateList>
        <item>，</item>
      </candidateList>
      <explain>文本全半角错误。</explain>
      <paraID>302D2E14</paraID>
      <start>16</start>
      <end>17</end>
      <status>unmodified</status>
      <modifiedWord/>
      <trackRevisions>false</trackRevisions>
    </reviewItem>
    <reviewItem>
      <errorID>209c1e7b-303d-44c5-bf86-12b32708baee</errorID>
      <errorWord>,</errorWord>
      <group>L1_Format</group>
      <groupName>格式问题</groupName>
      <ability>L2_HalfPunc</ability>
      <abilityName>全半角检查</abilityName>
      <candidateList>
        <item>，</item>
      </candidateList>
      <explain>文本全半角错误。</explain>
      <paraID>302D2E14</paraID>
      <start>43</start>
      <end>44</end>
      <status>unmodified</status>
      <modifiedWord/>
      <trackRevisions>false</trackRevisions>
    </reviewItem>
    <reviewItem>
      <errorID>2bbd8fbf-b8f6-4164-b601-8d5f98dac418</errorID>
      <errorWord>,</errorWord>
      <group>L1_Format</group>
      <groupName>格式问题</groupName>
      <ability>L2_HalfPunc</ability>
      <abilityName>全半角检查</abilityName>
      <candidateList>
        <item>，</item>
      </candidateList>
      <explain>文本全半角错误。</explain>
      <paraID>302D2E14</paraID>
      <start>56</start>
      <end>57</end>
      <status>unmodified</status>
      <modifiedWord/>
      <trackRevisions>false</trackRevisions>
    </reviewItem>
    <reviewItem>
      <errorID>81fca5de-cb6d-4004-bcfb-316a9b81b29c</errorID>
      <errorWord>)</errorWord>
      <group>L1_Format</group>
      <groupName>格式问题</groupName>
      <ability>L2_HalfPunc</ability>
      <abilityName>全半角检查</abilityName>
      <candidateList>
        <item>）</item>
      </candidateList>
      <explain>文本全半角错误。</explain>
      <paraID>4D5B0F97</paraID>
      <start>18</start>
      <end>19</end>
      <status>unmodified</status>
      <modifiedWord/>
      <trackRevisions>false</trackRevisions>
    </reviewItem>
    <reviewItem>
      <errorID>a4313bac-81b7-46eb-9cd1-236a23b3d8c2</errorID>
      <errorWord>,</errorWord>
      <group>L1_Format</group>
      <groupName>格式问题</groupName>
      <ability>L2_HalfPunc</ability>
      <abilityName>全半角检查</abilityName>
      <candidateList>
        <item>，</item>
      </candidateList>
      <explain>文本全半角错误。</explain>
      <paraID>2931DA04</paraID>
      <start>9</start>
      <end>10</end>
      <status>unmodified</status>
      <modifiedWord/>
      <trackRevisions>false</trackRevisions>
    </reviewItem>
    <reviewItem>
      <errorID>81b03efd-d86d-43d5-9bd5-80f277a2c21c</errorID>
      <errorWord>,</errorWord>
      <group>L1_Format</group>
      <groupName>格式问题</groupName>
      <ability>L2_HalfPunc</ability>
      <abilityName>全半角检查</abilityName>
      <candidateList>
        <item>，</item>
      </candidateList>
      <explain>文本全半角错误。</explain>
      <paraID>75BE03D7</paraID>
      <start>5</start>
      <end>6</end>
      <status>unmodified</status>
      <modifiedWord/>
      <trackRevisions>false</trackRevisions>
    </reviewItem>
    <reviewItem>
      <errorID>3a65c714-3e81-49e5-8f41-196eee4bf7fe</errorID>
      <errorWord>;</errorWord>
      <group>L1_Format</group>
      <groupName>格式问题</groupName>
      <ability>L2_HalfPunc</ability>
      <abilityName>全半角检查</abilityName>
      <candidateList>
        <item>；</item>
      </candidateList>
      <explain>文本全半角错误。</explain>
      <paraID>31E041C7</paraID>
      <start>15</start>
      <end>16</end>
      <status>unmodified</status>
      <modifiedWord/>
      <trackRevisions>false</trackRevisions>
    </reviewItem>
    <reviewItem>
      <errorID>d95977d3-68e6-41c4-bc5f-0fc2f332d638</errorID>
      <errorWord>,</errorWord>
      <group>L1_Format</group>
      <groupName>格式问题</groupName>
      <ability>L2_HalfPunc</ability>
      <abilityName>全半角检查</abilityName>
      <candidateList>
        <item>，</item>
      </candidateList>
      <explain>文本全半角错误。</explain>
      <paraID>31E041C7</paraID>
      <start>21</start>
      <end>22</end>
      <status>unmodified</status>
      <modifiedWord/>
      <trackRevisions>false</trackRevisions>
    </reviewItem>
    <reviewItem>
      <errorID>1cc7cf69-80a7-4cb2-8b66-195652fbf934</errorID>
      <errorWord>)</errorWord>
      <group>L1_Format</group>
      <groupName>格式问题</groupName>
      <ability>L2_HalfPunc</ability>
      <abilityName>全半角检查</abilityName>
      <candidateList>
        <item>）</item>
      </candidateList>
      <explain>文本全半角错误。</explain>
      <paraID>31E041C7</paraID>
      <start>35</start>
      <end>36</end>
      <status>unmodified</status>
      <modifiedWord/>
      <trackRevisions>false</trackRevisions>
    </reviewItem>
    <reviewItem>
      <errorID>b234071a-4cbf-4d57-8962-dcfb278bf483</errorID>
      <errorWord>路框</errorWord>
      <group>L1_Word</group>
      <groupName>字词问题</groupName>
      <ability>L2_Typo</ability>
      <abilityName>字词错误</abilityName>
      <candidateList>
        <item>路况</item>
      </candidateList>
      <explain/>
      <paraID>235A1C9B</paraID>
      <start>0</start>
      <end>2</end>
      <status>unmodified</status>
      <modifiedWord/>
      <trackRevisions>false</trackRevisions>
    </reviewItem>
    <reviewItem>
      <errorID>a80007a2-dd46-4ac0-9ab3-1c53c3f060bd</errorID>
      <errorWord>,</errorWord>
      <group>L1_Format</group>
      <groupName>格式问题</groupName>
      <ability>L2_HalfPunc</ability>
      <abilityName>全半角检查</abilityName>
      <candidateList>
        <item>，</item>
      </candidateList>
      <explain>文本全半角错误。</explain>
      <paraID>6A4CB9BF</paraID>
      <start>13</start>
      <end>14</end>
      <status>unmodified</status>
      <modifiedWord/>
      <trackRevisions>false</trackRevisions>
    </reviewItem>
    <reviewItem>
      <errorID>ff26ad32-adbb-41f4-b709-e034669ea38c</errorID>
      <errorWord>)</errorWord>
      <group>L1_Format</group>
      <groupName>格式问题</groupName>
      <ability>L2_HalfPunc</ability>
      <abilityName>全半角检查</abilityName>
      <candidateList>
        <item>）</item>
      </candidateList>
      <explain>文本全半角错误。</explain>
      <paraID>6A4CB9BF</paraID>
      <start>30</start>
      <end>31</end>
      <status>unmodified</status>
      <modifiedWord/>
      <trackRevisions>false</trackRevisions>
    </reviewItem>
    <reviewItem>
      <errorID>c1738f04-baf0-4e51-a853-1073554e3f78</errorID>
      <errorWord>,</errorWord>
      <group>L1_Format</group>
      <groupName>格式问题</groupName>
      <ability>L2_HalfPunc</ability>
      <abilityName>全半角检查</abilityName>
      <candidateList>
        <item>，</item>
      </candidateList>
      <explain>文本全半角错误。</explain>
      <paraID>1D557FF4</paraID>
      <start>9</start>
      <end>10</end>
      <status>unmodified</status>
      <modifiedWord/>
      <trackRevisions>false</trackRevisions>
    </reviewItem>
    <reviewItem>
      <errorID>62af6b6e-210b-4c54-9092-acbea4a09eec</errorID>
      <errorWord>,</errorWord>
      <group>L1_Format</group>
      <groupName>格式问题</groupName>
      <ability>L2_HalfPunc</ability>
      <abilityName>全半角检查</abilityName>
      <candidateList>
        <item>，</item>
      </candidateList>
      <explain>文本全半角错误。</explain>
      <paraID>2180F792</paraID>
      <start>13</start>
      <end>14</end>
      <status>unmodified</status>
      <modifiedWord/>
      <trackRevisions>false</trackRevisions>
    </reviewItem>
    <reviewItem>
      <errorID>2e73e8ab-dd1c-4974-83e0-2e99c3e2675a</errorID>
      <errorWord>;</errorWord>
      <group>L1_Format</group>
      <groupName>格式问题</groupName>
      <ability>L2_HalfPunc</ability>
      <abilityName>全半角检查</abilityName>
      <candidateList>
        <item>；</item>
      </candidateList>
      <explain>文本全半角错误。</explain>
      <paraID>2180F792</paraID>
      <start>18</start>
      <end>19</end>
      <status>unmodified</status>
      <modifiedWord/>
      <trackRevisions>false</trackRevisions>
    </reviewItem>
    <reviewItem>
      <errorID>13c9caa3-45b7-4bf7-9893-a43b82ba619e</errorID>
      <errorWord>,</errorWord>
      <group>L1_Format</group>
      <groupName>格式问题</groupName>
      <ability>L2_HalfPunc</ability>
      <abilityName>全半角检查</abilityName>
      <candidateList>
        <item>，</item>
      </candidateList>
      <explain>文本全半角错误。</explain>
      <paraID>2180F792</paraID>
      <start>25</start>
      <end>26</end>
      <status>unmodified</status>
      <modifiedWord/>
      <trackRevisions>false</trackRevisions>
    </reviewItem>
    <reviewItem>
      <errorID>a4e51087-9973-4fc2-9034-8f6051613e92</errorID>
      <errorWord>,</errorWord>
      <group>L1_Format</group>
      <groupName>格式问题</groupName>
      <ability>L2_HalfPunc</ability>
      <abilityName>全半角检查</abilityName>
      <candidateList>
        <item>，</item>
      </candidateList>
      <explain>文本全半角错误。</explain>
      <paraID>2180F792</paraID>
      <start>30</start>
      <end>31</end>
      <status>unmodified</status>
      <modifiedWord/>
      <trackRevisions>false</trackRevisions>
    </reviewItem>
    <reviewItem>
      <errorID>b18777aa-7d0e-48ad-a52e-f67fa07ce69a</errorID>
      <errorWord>)</errorWord>
      <group>L1_Format</group>
      <groupName>格式问题</groupName>
      <ability>L2_HalfPunc</ability>
      <abilityName>全半角检查</abilityName>
      <candidateList>
        <item>）</item>
      </candidateList>
      <explain>文本全半角错误。</explain>
      <paraID>2180F792</paraID>
      <start>50</start>
      <end>51</end>
      <status>unmodified</status>
      <modifiedWord/>
      <trackRevisions>false</trackRevisions>
    </reviewItem>
    <reviewItem>
      <errorID>ef58147c-b818-4247-9c1d-265296d938ae</errorID>
      <errorWord>,</errorWord>
      <group>L1_Format</group>
      <groupName>格式问题</groupName>
      <ability>L2_HalfPunc</ability>
      <abilityName>全半角检查</abilityName>
      <candidateList>
        <item>，</item>
      </candidateList>
      <explain>文本全半角错误。</explain>
      <paraID> 7CDEF9E</paraID>
      <start>18</start>
      <end>19</end>
      <status>unmodified</status>
      <modifiedWord/>
      <trackRevisions>false</trackRevisions>
    </reviewItem>
    <reviewItem>
      <errorID>c1cffefa-1c1d-4af6-a123-4edd9b3f8876</errorID>
      <errorWord>;</errorWord>
      <group>L1_Format</group>
      <groupName>格式问题</groupName>
      <ability>L2_HalfPunc</ability>
      <abilityName>全半角检查</abilityName>
      <candidateList>
        <item>；</item>
      </candidateList>
      <explain>文本全半角错误。</explain>
      <paraID> 7CDEF9E</paraID>
      <start>23</start>
      <end>24</end>
      <status>unmodified</status>
      <modifiedWord/>
      <trackRevisions>false</trackRevisions>
    </reviewItem>
    <reviewItem>
      <errorID>6c64f42d-8e86-4bbf-9332-9de07762c60a</errorID>
      <errorWord>,</errorWord>
      <group>L1_Format</group>
      <groupName>格式问题</groupName>
      <ability>L2_HalfPunc</ability>
      <abilityName>全半角检查</abilityName>
      <candidateList>
        <item>，</item>
      </candidateList>
      <explain>文本全半角错误。</explain>
      <paraID> 7CDEF9E</paraID>
      <start>30</start>
      <end>31</end>
      <status>unmodified</status>
      <modifiedWord/>
      <trackRevisions>false</trackRevisions>
    </reviewItem>
    <reviewItem>
      <errorID>9e6c3cc4-c11b-473e-8c3a-783f7bdeb4a3</errorID>
      <errorWord>,</errorWord>
      <group>L1_Format</group>
      <groupName>格式问题</groupName>
      <ability>L2_HalfPunc</ability>
      <abilityName>全半角检查</abilityName>
      <candidateList>
        <item>，</item>
      </candidateList>
      <explain>文本全半角错误。</explain>
      <paraID> 7CDEF9E</paraID>
      <start>33</start>
      <end>34</end>
      <status>unmodified</status>
      <modifiedWord/>
      <trackRevisions>false</trackRevisions>
    </reviewItem>
    <reviewItem>
      <errorID>dadc5d82-6069-42f3-96ee-81d99fbbf29e</errorID>
      <errorWord>)</errorWord>
      <group>L1_Format</group>
      <groupName>格式问题</groupName>
      <ability>L2_HalfPunc</ability>
      <abilityName>全半角检查</abilityName>
      <candidateList>
        <item>）</item>
      </candidateList>
      <explain>文本全半角错误。</explain>
      <paraID>168FDE12</paraID>
      <start>13</start>
      <end>14</end>
      <status>unmodified</status>
      <modifiedWord/>
      <trackRevisions>false</trackRevisions>
    </reviewItem>
    <reviewItem>
      <errorID>a7336c8b-c702-4413-8ed6-37bdf577bc93</errorID>
      <errorWord>路框</errorWord>
      <group>L1_Word</group>
      <groupName>字词问题</groupName>
      <ability>L2_Typo</ability>
      <abilityName>字词错误</abilityName>
      <candidateList>
        <item>路况</item>
      </candidateList>
      <explain/>
      <paraID> EAE6EE7</paraID>
      <start>0</start>
      <end>2</end>
      <status>unmodified</status>
      <modifiedWord/>
      <trackRevisions>false</trackRevisions>
    </reviewItem>
    <reviewItem>
      <errorID>672edc0d-61b1-4027-989a-50c7d87e93a2</errorID>
      <errorWord>)</errorWord>
      <group>L1_Format</group>
      <groupName>格式问题</groupName>
      <ability>L2_HalfPunc</ability>
      <abilityName>全半角检查</abilityName>
      <candidateList>
        <item>）</item>
      </candidateList>
      <explain>文本全半角错误。</explain>
      <paraID>2D8FB359</paraID>
      <start>41</start>
      <end>42</end>
      <status>unmodified</status>
      <modifiedWord/>
      <trackRevisions>false</trackRevisions>
    </reviewItem>
    <reviewItem>
      <errorID>07c71b61-53f7-4e24-800c-0ac25182841c</errorID>
      <errorWord>,</errorWord>
      <group>L1_Format</group>
      <groupName>格式问题</groupName>
      <ability>L2_HalfPunc</ability>
      <abilityName>全半角检查</abilityName>
      <candidateList>
        <item>，</item>
      </candidateList>
      <explain>文本全半角错误。</explain>
      <paraID>69F7FA92</paraID>
      <start>22</start>
      <end>23</end>
      <status>unmodified</status>
      <modifiedWord/>
      <trackRevisions>false</trackRevisions>
    </reviewItem>
    <reviewItem>
      <errorID>eceaa3c0-7c90-4787-80bd-ada688fb20c1</errorID>
      <errorWord>)</errorWord>
      <group>L1_Format</group>
      <groupName>格式问题</groupName>
      <ability>L2_HalfPunc</ability>
      <abilityName>全半角检查</abilityName>
      <candidateList>
        <item>）</item>
      </candidateList>
      <explain>文本全半角错误。</explain>
      <paraID>69F7FA92</paraID>
      <start>36</start>
      <end>37</end>
      <status>unmodified</status>
      <modifiedWord/>
      <trackRevisions>false</trackRevisions>
    </reviewItem>
    <reviewItem>
      <errorID>af09bc4b-dc6c-4687-aa13-e2c5a0d23405</errorID>
      <errorWord>,</errorWord>
      <group>L1_Format</group>
      <groupName>格式问题</groupName>
      <ability>L2_HalfPunc</ability>
      <abilityName>全半角检查</abilityName>
      <candidateList>
        <item>，</item>
      </candidateList>
      <explain>文本全半角错误。</explain>
      <paraID>2346BAC9</paraID>
      <start>13</start>
      <end>14</end>
      <status>unmodified</status>
      <modifiedWord/>
      <trackRevisions>false</trackRevisions>
    </reviewItem>
    <reviewItem>
      <errorID>8773a9c9-bced-4300-82a5-48ca80c085de</errorID>
      <errorWord>;</errorWord>
      <group>L1_Format</group>
      <groupName>格式问题</groupName>
      <ability>L2_HalfPunc</ability>
      <abilityName>全半角检查</abilityName>
      <candidateList>
        <item>；</item>
      </candidateList>
      <explain>文本全半角错误。</explain>
      <paraID>2346BAC9</paraID>
      <start>23</start>
      <end>24</end>
      <status>unmodified</status>
      <modifiedWord/>
      <trackRevisions>false</trackRevisions>
    </reviewItem>
    <reviewItem>
      <errorID>3f155ad1-6598-4575-b748-42600bb66b7c</errorID>
      <errorWord>,</errorWord>
      <group>L1_Format</group>
      <groupName>格式问题</groupName>
      <ability>L2_HalfPunc</ability>
      <abilityName>全半角检查</abilityName>
      <candidateList>
        <item>，</item>
      </candidateList>
      <explain>文本全半角错误。</explain>
      <paraID>2346BAC9</paraID>
      <start>41</start>
      <end>42</end>
      <status>unmodified</status>
      <modifiedWord/>
      <trackRevisions>false</trackRevisions>
    </reviewItem>
    <reviewItem>
      <errorID>dc7380a5-0f01-4498-8e82-43a48be51790</errorID>
      <errorWord>~</errorWord>
      <group>L1_Format</group>
      <groupName>格式问题</groupName>
      <ability>L2_HalfPunc</ability>
      <abilityName>全半角检查</abilityName>
      <candidateList>
        <item>～</item>
      </candidateList>
      <explain>文本全半角错误。</explain>
      <paraID>1D5B4669</paraID>
      <start>42</start>
      <end>43</end>
      <status>unmodified</status>
      <modifiedWord/>
      <trackRevisions>false</trackRevisions>
    </reviewItem>
    <reviewItem>
      <errorID>bde4726b-eb78-4581-aec8-2f2b8e81deb9</errorID>
      <errorWord>,</errorWord>
      <group>L1_Format</group>
      <groupName>格式问题</groupName>
      <ability>L2_HalfPunc</ability>
      <abilityName>全半角检查</abilityName>
      <candidateList>
        <item>，</item>
      </candidateList>
      <explain>文本全半角错误。</explain>
      <paraID>1D5B4669</paraID>
      <start>58</start>
      <end>59</end>
      <status>unmodified</status>
      <modifiedWord/>
      <trackRevisions>false</trackRevisions>
    </reviewItem>
    <reviewItem>
      <errorID>22635e20-88a3-4d86-9f1b-a3cd077a50bc</errorID>
      <errorWord>,</errorWord>
      <group>L1_Format</group>
      <groupName>格式问题</groupName>
      <ability>L2_HalfPunc</ability>
      <abilityName>全半角检查</abilityName>
      <candidateList>
        <item>，</item>
      </candidateList>
      <explain>文本全半角错误。</explain>
      <paraID>1521A0B8</paraID>
      <start>39</start>
      <end>40</end>
      <status>unmodified</status>
      <modifiedWord/>
      <trackRevisions>false</trackRevisions>
    </reviewItem>
    <reviewItem>
      <errorID>d7825a43-55fc-4dc8-9b0f-23e7f8aff5d7</errorID>
      <errorWord>;</errorWord>
      <group>L1_Format</group>
      <groupName>格式问题</groupName>
      <ability>L2_HalfPunc</ability>
      <abilityName>全半角检查</abilityName>
      <candidateList>
        <item>；</item>
      </candidateList>
      <explain>文本全半角错误。</explain>
      <paraID> A834059</paraID>
      <start>24</start>
      <end>25</end>
      <status>unmodified</status>
      <modifiedWord/>
      <trackRevisions>false</trackRevisions>
    </reviewItem>
    <reviewItem>
      <errorID>da900968-ece0-4059-aee2-36e7c7fee89d</errorID>
      <errorWord>;</errorWord>
      <group>L1_Format</group>
      <groupName>格式问题</groupName>
      <ability>L2_HalfPunc</ability>
      <abilityName>全半角检查</abilityName>
      <candidateList>
        <item>；</item>
      </candidateList>
      <explain>文本全半角错误。</explain>
      <paraID> A834059</paraID>
      <start>47</start>
      <end>48</end>
      <status>unmodified</status>
      <modifiedWord/>
      <trackRevisions>false</trackRevisions>
    </reviewItem>
    <reviewItem>
      <errorID>06e91fd7-2d0a-4741-93bb-8324cd97e41d</errorID>
      <errorWord>;</errorWord>
      <group>L1_Format</group>
      <groupName>格式问题</groupName>
      <ability>L2_HalfPunc</ability>
      <abilityName>全半角检查</abilityName>
      <candidateList>
        <item>；</item>
      </candidateList>
      <explain>文本全半角错误。</explain>
      <paraID> A834059</paraID>
      <start>70</start>
      <end>71</end>
      <status>unmodified</status>
      <modifiedWord/>
      <trackRevisions>false</trackRevisions>
    </reviewItem>
    <reviewItem>
      <errorID>0d600a7a-923f-4ac6-bf32-246d542c93dd</errorID>
      <errorWord>,</errorWord>
      <group>L1_Format</group>
      <groupName>格式问题</groupName>
      <ability>L2_HalfPunc</ability>
      <abilityName>全半角检查</abilityName>
      <candidateList>
        <item>，</item>
      </candidateList>
      <explain>文本全半角错误。</explain>
      <paraID>693E897D</paraID>
      <start>4</start>
      <end>5</end>
      <status>unmodified</status>
      <modifiedWord/>
      <trackRevisions>false</trackRevisions>
    </reviewItem>
    <reviewItem>
      <errorID>43b12d14-fab9-48ec-bd5b-7d5e4c21daf6</errorID>
      <errorWord>)</errorWord>
      <group>L1_Format</group>
      <groupName>格式问题</groupName>
      <ability>L2_HalfPunc</ability>
      <abilityName>全半角检查</abilityName>
      <candidateList>
        <item>）</item>
      </candidateList>
      <explain>文本全半角错误。</explain>
      <paraID>7D367848</paraID>
      <start>35</start>
      <end>36</end>
      <status>unmodified</status>
      <modifiedWord/>
      <trackRevisions>false</trackRevisions>
    </reviewItem>
    <reviewItem>
      <errorID>8c9680f6-5824-477c-97d8-4389a535931d</errorID>
      <errorWord>)</errorWord>
      <group>L1_Format</group>
      <groupName>格式问题</groupName>
      <ability>L2_HalfPunc</ability>
      <abilityName>全半角检查</abilityName>
      <candidateList>
        <item>）</item>
      </candidateList>
      <explain>文本全半角错误。</explain>
      <paraID>33829D20</paraID>
      <start>30</start>
      <end>31</end>
      <status>unmodified</status>
      <modifiedWord/>
      <trackRevisions>false</trackRevisions>
    </reviewItem>
    <reviewItem>
      <errorID>3df4950f-012e-4464-aade-a44ba4a49acb</errorID>
      <errorWord>)</errorWord>
      <group>L1_Format</group>
      <groupName>格式问题</groupName>
      <ability>L2_HalfPunc</ability>
      <abilityName>全半角检查</abilityName>
      <candidateList>
        <item>）</item>
      </candidateList>
      <explain>文本全半角错误。</explain>
      <paraID>186BE1D8</paraID>
      <start>30</start>
      <end>31</end>
      <status>unmodified</status>
      <modifiedWord/>
      <trackRevisions>false</trackRevisions>
    </reviewItem>
    <reviewItem>
      <errorID>737546e5-089a-4a53-adb8-f884703d6313</errorID>
      <errorWord>,</errorWord>
      <group>L1_Format</group>
      <groupName>格式问题</groupName>
      <ability>L2_HalfPunc</ability>
      <abilityName>全半角检查</abilityName>
      <candidateList>
        <item>，</item>
      </candidateList>
      <explain>文本全半角错误。</explain>
      <paraID>34C008DF</paraID>
      <start>21</start>
      <end>22</end>
      <status>unmodified</status>
      <modifiedWord/>
      <trackRevisions>false</trackRevisions>
    </reviewItem>
    <reviewItem>
      <errorID>55fae748-5392-4c2c-bf2f-52bd2a1d9e3c</errorID>
      <errorWord>,</errorWord>
      <group>L1_Format</group>
      <groupName>格式问题</groupName>
      <ability>L2_HalfPunc</ability>
      <abilityName>全半角检查</abilityName>
      <candidateList>
        <item>，</item>
      </candidateList>
      <explain>文本全半角错误。</explain>
      <paraID>52E1E87C</paraID>
      <start>15</start>
      <end>16</end>
      <status>unmodified</status>
      <modifiedWord/>
      <trackRevisions>false</trackRevisions>
    </reviewItem>
    <reviewItem>
      <errorID>b2c8f990-dfdc-45e8-a48c-e1f65104eaf7</errorID>
      <errorWord>,</errorWord>
      <group>L1_Format</group>
      <groupName>格式问题</groupName>
      <ability>L2_HalfPunc</ability>
      <abilityName>全半角检查</abilityName>
      <candidateList>
        <item>，</item>
      </candidateList>
      <explain>文本全半角错误。</explain>
      <paraID>1541B63E</paraID>
      <start>10</start>
      <end>11</end>
      <status>unmodified</status>
      <modifiedWord/>
      <trackRevisions>false</trackRevisions>
    </reviewItem>
    <reviewItem>
      <errorID>3da14e7b-b49b-44d4-b33d-834992a25135</errorID>
      <errorWord>,</errorWord>
      <group>L1_Format</group>
      <groupName>格式问题</groupName>
      <ability>L2_HalfPunc</ability>
      <abilityName>全半角检查</abilityName>
      <candidateList>
        <item>，</item>
      </candidateList>
      <explain>文本全半角错误。</explain>
      <paraID>1EA5A7B0</paraID>
      <start>16</start>
      <end>17</end>
      <status>unmodified</status>
      <modifiedWord/>
      <trackRevisions>false</trackRevisions>
    </reviewItem>
    <reviewItem>
      <errorID>c9ded99f-e843-4745-8084-4235986b32cd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4C428D1A</paraID>
      <start>0</start>
      <end>2</end>
      <status>unmodified</status>
      <modifiedWord/>
      <trackRevisions>false</trackRevisions>
    </reviewItem>
    <reviewItem>
      <errorID>2504e42b-be69-40d2-8a82-9124cc059d84</errorID>
      <errorWord>,</errorWord>
      <group>L1_Format</group>
      <groupName>格式问题</groupName>
      <ability>L2_HalfPunc</ability>
      <abilityName>全半角检查</abilityName>
      <candidateList>
        <item>，</item>
      </candidateList>
      <explain>文本全半角错误。</explain>
      <paraID>4C428D1A</paraID>
      <start>23</start>
      <end>24</end>
      <status>unmodified</status>
      <modifiedWord/>
      <trackRevisions>false</trackRevisions>
    </reviewItem>
    <reviewItem>
      <errorID>cc2d8608-783d-4b6e-8aa7-8dbf0a3c7bfa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45ECDAC4</paraID>
      <start>11</start>
      <end>12</end>
      <status>unmodified</status>
      <modifiedWord/>
      <trackRevisions>false</trackRevisions>
    </reviewItem>
    <reviewItem>
      <errorID>45b6d392-c192-4838-8ca4-9f4b70805a48</errorID>
      <errorWord>,</errorWord>
      <group>L1_Format</group>
      <groupName>格式问题</groupName>
      <ability>L2_HalfPunc</ability>
      <abilityName>全半角检查</abilityName>
      <candidateList>
        <item>，</item>
      </candidateList>
      <explain>文本全半角错误。</explain>
      <paraID>45ECDAC4</paraID>
      <start>47</start>
      <end>48</end>
      <status>unmodified</status>
      <modifiedWord/>
      <trackRevisions>false</trackRevisions>
    </reviewItem>
    <reviewItem>
      <errorID>2f0df75e-3c53-494d-bf1a-3b76122901a2</errorID>
      <errorWord>,</errorWord>
      <group>L1_Format</group>
      <groupName>格式问题</groupName>
      <ability>L2_HalfPunc</ability>
      <abilityName>全半角检查</abilityName>
      <candidateList>
        <item>，</item>
      </candidateList>
      <explain>文本全半角错误。</explain>
      <paraID> 2697C1A</paraID>
      <start>10</start>
      <end>11</end>
      <status>unmodified</status>
      <modifiedWord/>
      <trackRevisions>false</trackRevisions>
    </reviewItem>
    <reviewItem>
      <errorID>28fe524e-9342-4153-9315-270d0659eb10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48DEDF7</paraID>
      <start>0</start>
      <end>2</end>
      <status>unmodified</status>
      <modifiedWord/>
      <trackRevisions>false</trackRevisions>
    </reviewItem>
    <reviewItem>
      <errorID>0970e814-5e08-4f55-9478-c70b756fffec</errorID>
      <errorWord>,</errorWord>
      <group>L1_Format</group>
      <groupName>格式问题</groupName>
      <ability>L2_HalfPunc</ability>
      <abilityName>全半角检查</abilityName>
      <candidateList>
        <item>，</item>
      </candidateList>
      <explain>文本全半角错误。</explain>
      <paraID> 48DEDF7</paraID>
      <start>136</start>
      <end>137</end>
      <status>unmodified</status>
      <modifiedWord/>
      <trackRevisions>false</trackRevisions>
    </reviewItem>
    <reviewItem>
      <errorID>0551d8a9-e44d-41ab-aba8-bde46cba5e70</errorID>
      <errorWord>;</errorWord>
      <group>L1_Format</group>
      <groupName>格式问题</groupName>
      <ability>L2_HalfPunc</ability>
      <abilityName>全半角检查</abilityName>
      <candidateList>
        <item>；</item>
      </candidateList>
      <explain>文本全半角错误。</explain>
      <paraID> 48DEDF7</paraID>
      <start>157</start>
      <end>158</end>
      <status>unmodified</status>
      <modifiedWord/>
      <trackRevisions>false</trackRevisions>
    </reviewItem>
    <reviewItem>
      <errorID>50336d92-66f6-4994-a9b5-bab1978ceab9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5D3D3BCE</paraID>
      <start>0</start>
      <end>2</end>
      <status>unmodified</status>
      <modifiedWord/>
      <trackRevisions>false</trackRevisions>
    </reviewItem>
    <reviewItem>
      <errorID>72580bea-c3b5-4fc4-aeb6-c35fd610a65f</errorID>
      <errorWord>,</errorWord>
      <group>L1_Format</group>
      <groupName>格式问题</groupName>
      <ability>L2_HalfPunc</ability>
      <abilityName>全半角检查</abilityName>
      <candidateList>
        <item>，</item>
      </candidateList>
      <explain>文本全半角错误。</explain>
      <paraID>2B28FF89</paraID>
      <start>19</start>
      <end>20</end>
      <status>unmodified</status>
      <modifiedWord/>
      <trackRevisions>false</trackRevisions>
    </reviewItem>
    <reviewItem>
      <errorID>af162814-d3d6-4df1-a241-e0c0de9963d8</errorID>
      <errorWord>,</errorWord>
      <group>L1_Format</group>
      <groupName>格式问题</groupName>
      <ability>L2_HalfPunc</ability>
      <abilityName>全半角检查</abilityName>
      <candidateList>
        <item>，</item>
      </candidateList>
      <explain>文本全半角错误。</explain>
      <paraID>2B28FF89</paraID>
      <start>170</start>
      <end>171</end>
      <status>unmodified</status>
      <modifiedWord/>
      <trackRevisions>false</trackRevisions>
    </reviewItem>
    <reviewItem>
      <errorID>d05ad745-cd24-4296-a63b-586f0f95f8f7</errorID>
      <errorWord>(</errorWord>
      <group>L1_Format</group>
      <groupName>格式问题</groupName>
      <ability>L2_HalfPunc</ability>
      <abilityName>全半角检查</abilityName>
      <candidateList>
        <item>（</item>
      </candidateList>
      <explain>文本全半角错误。</explain>
      <paraID>2105EE55</paraID>
      <start>56</start>
      <end>57</end>
      <status>unmodified</status>
      <modifiedWord/>
      <trackRevisions>false</trackRevisions>
    </reviewItem>
    <reviewItem>
      <errorID>a6f7b861-cbb7-4034-ad52-c16bcd35c8b4</errorID>
      <errorWord>)</errorWord>
      <group>L1_Format</group>
      <groupName>格式问题</groupName>
      <ability>L2_HalfPunc</ability>
      <abilityName>全半角检查</abilityName>
      <candidateList>
        <item>）</item>
      </candidateList>
      <explain>文本全半角错误。</explain>
      <paraID>2105EE55</paraID>
      <start>58</start>
      <end>59</end>
      <status>unmodified</status>
      <modifiedWord/>
      <trackRevisions>false</trackRevisions>
    </reviewItem>
    <reviewItem>
      <errorID>3dfee065-02f5-47ac-9a99-09476c0c67d9</errorID>
      <errorWord>,</errorWord>
      <group>L1_Format</group>
      <groupName>格式问题</groupName>
      <ability>L2_HalfPunc</ability>
      <abilityName>全半角检查</abilityName>
      <candidateList>
        <item>，</item>
      </candidateList>
      <explain>文本全半角错误。</explain>
      <paraID>2105EE55</paraID>
      <start>60</start>
      <end>61</end>
      <status>unmodified</status>
      <modifiedWord/>
      <trackRevisions>false</trackRevisions>
    </reviewItem>
    <reviewItem>
      <errorID>791c9458-c156-46f4-a8f4-32ef3bc07396</errorID>
      <errorWord>,</errorWord>
      <group>L1_Format</group>
      <groupName>格式问题</groupName>
      <ability>L2_HalfPunc</ability>
      <abilityName>全半角检查</abilityName>
      <candidateList>
        <item>，</item>
      </candidateList>
      <explain>文本全半角错误。</explain>
      <paraID> 2750887</paraID>
      <start>33</start>
      <end>34</end>
      <status>unmodified</status>
      <modifiedWord/>
      <trackRevisions>false</trackRevisions>
    </reviewItem>
    <reviewItem>
      <errorID>de347152-72ea-42d6-b3c0-94ad170de36f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3C684E83</paraID>
      <start>0</start>
      <end>2</end>
      <status>unmodified</status>
      <modifiedWord/>
      <trackRevisions>false</trackRevisions>
    </reviewItem>
    <reviewItem>
      <errorID>3724b11b-cd7d-4b68-8d3e-b3822ce94e20</errorID>
      <errorWord>,</errorWord>
      <group>L1_Format</group>
      <groupName>格式问题</groupName>
      <ability>L2_HalfPunc</ability>
      <abilityName>全半角检查</abilityName>
      <candidateList>
        <item>，</item>
      </candidateList>
      <explain>文本全半角错误。</explain>
      <paraID>3C684E83</paraID>
      <start>36</start>
      <end>37</end>
      <status>unmodified</status>
      <modifiedWord/>
      <trackRevisions>false</trackRevisions>
    </reviewItem>
    <reviewItem>
      <errorID>86a5ffc2-4e0b-4850-8dc1-5cfddb45e649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222C1890</paraID>
      <start>0</start>
      <end>2</end>
      <status>unmodified</status>
      <modifiedWord/>
      <trackRevisions>false</trackRevisions>
    </reviewItem>
    <reviewItem>
      <errorID>fce9156f-2e54-4a3e-9ca0-ec4477af8256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247B4E3B</paraID>
      <start>0</start>
      <end>2</end>
      <status>unmodified</status>
      <modifiedWord/>
      <trackRevisions>false</trackRevisions>
    </reviewItem>
    <reviewItem>
      <errorID>9bf1af70-56a7-4633-b5ca-c236fa51dcfe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319222EA</paraID>
      <start>0</start>
      <end>2</end>
      <status>unmodified</status>
      <modifiedWord/>
      <trackRevisions>false</trackRevisions>
    </reviewItem>
    <reviewItem>
      <errorID>ea374f6e-03ee-45f2-832d-38e753034c64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5B9A6065</paraID>
      <start>0</start>
      <end>2</end>
      <status>unmodified</status>
      <modifiedWord/>
      <trackRevisions>false</trackRevisions>
    </reviewItem>
    <reviewItem>
      <errorID>da8a0478-8c1e-4959-9b4e-154de00f8213</errorID>
      <errorWord>(</errorWord>
      <group>L1_Format</group>
      <groupName>格式问题</groupName>
      <ability>L2_HalfPunc</ability>
      <abilityName>全半角检查</abilityName>
      <candidateList>
        <item>（</item>
      </candidateList>
      <explain>文本全半角错误。</explain>
      <paraID>5B9A6065</paraID>
      <start>6</start>
      <end>7</end>
      <status>unmodified</status>
      <modifiedWord/>
      <trackRevisions>false</trackRevisions>
    </reviewItem>
    <reviewItem>
      <errorID>6906a20a-222c-44b7-bb65-b62ff7700b43</errorID>
      <errorWord>)</errorWord>
      <group>L1_Format</group>
      <groupName>格式问题</groupName>
      <ability>L2_HalfPunc</ability>
      <abilityName>全半角检查</abilityName>
      <candidateList>
        <item>）</item>
      </candidateList>
      <explain>文本全半角错误。</explain>
      <paraID>5B9A6065</paraID>
      <start>12</start>
      <end>13</end>
      <status>unmodified</status>
      <modifiedWord/>
      <trackRevisions>false</trackRevisions>
    </reviewItem>
    <reviewItem>
      <errorID>802bb9e4-271c-41f7-8abd-140f8bb89f7b</errorID>
      <errorWord>,</errorWord>
      <group>L1_Format</group>
      <groupName>格式问题</groupName>
      <ability>L2_HalfPunc</ability>
      <abilityName>全半角检查</abilityName>
      <candidateList>
        <item>，</item>
      </candidateList>
      <explain>文本全半角错误。</explain>
      <paraID>5B9A6065</paraID>
      <start>25</start>
      <end>26</end>
      <status>unmodified</status>
      <modifiedWord/>
      <trackRevisions>false</trackRevisions>
    </reviewItem>
    <reviewItem>
      <errorID>8d80df9c-40d6-45af-82b1-17df5adba1db</errorID>
      <errorWord>,</errorWord>
      <group>L1_Format</group>
      <groupName>格式问题</groupName>
      <ability>L2_HalfPunc</ability>
      <abilityName>全半角检查</abilityName>
      <candidateList>
        <item>，</item>
      </candidateList>
      <explain>文本全半角错误。</explain>
      <paraID>5B9A6065</paraID>
      <start>44</start>
      <end>45</end>
      <status>unmodified</status>
      <modifiedWord/>
      <trackRevisions>false</trackRevisions>
    </reviewItem>
    <reviewItem>
      <errorID>fbd461c4-4a3a-40be-8260-7757bfb87a11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143B774C</paraID>
      <start>0</start>
      <end>2</end>
      <status>unmodified</status>
      <modifiedWord/>
      <trackRevisions>false</trackRevisions>
    </reviewItem>
    <reviewItem>
      <errorID>4928a796-7e0f-4a3f-b9f2-a6dd7885f376</errorID>
      <errorWord>;</errorWord>
      <group>L1_Format</group>
      <groupName>格式问题</groupName>
      <ability>L2_HalfPunc</ability>
      <abilityName>全半角检查</abilityName>
      <candidateList>
        <item>；</item>
      </candidateList>
      <explain>文本全半角错误。</explain>
      <paraID>143B774C</paraID>
      <start>16</start>
      <end>17</end>
      <status>unmodified</status>
      <modifiedWord/>
      <trackRevisions>false</trackRevisions>
    </reviewItem>
    <reviewItem>
      <errorID>933056b1-9862-4b1a-a556-97d48ed2ac8d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4A7CFBEB</paraID>
      <start>0</start>
      <end>2</end>
      <status>unmodified</status>
      <modifiedWord/>
      <trackRevisions>false</trackRevisions>
    </reviewItem>
    <reviewItem>
      <errorID>33b1b9cd-5544-4ff3-816c-112fce18fcec</errorID>
      <errorWord>,</errorWord>
      <group>L1_Format</group>
      <groupName>格式问题</groupName>
      <ability>L2_HalfPunc</ability>
      <abilityName>全半角检查</abilityName>
      <candidateList>
        <item>，</item>
      </candidateList>
      <explain>文本全半角错误。</explain>
      <paraID>4A7CFBEB</paraID>
      <start>22</start>
      <end>23</end>
      <status>unmodified</status>
      <modifiedWord/>
      <trackRevisions>false</trackRevisions>
    </reviewItem>
    <reviewItem>
      <errorID>f31b5155-13fe-49ed-930e-f5e3d8fc3943</errorID>
      <errorWord>;</errorWord>
      <group>L1_Format</group>
      <groupName>格式问题</groupName>
      <ability>L2_HalfPunc</ability>
      <abilityName>全半角检查</abilityName>
      <candidateList>
        <item>；</item>
      </candidateList>
      <explain>文本全半角错误。</explain>
      <paraID>4A7CFBEB</paraID>
      <start>31</start>
      <end>32</end>
      <status>unmodified</status>
      <modifiedWord/>
      <trackRevisions>false</trackRevisions>
    </reviewItem>
    <reviewItem>
      <errorID>7dd94b0f-19dc-41d2-989c-cab26eb85367</errorID>
      <errorWord>,</errorWord>
      <group>L1_Format</group>
      <groupName>格式问题</groupName>
      <ability>L2_HalfPunc</ability>
      <abilityName>全半角检查</abilityName>
      <candidateList>
        <item>，</item>
      </candidateList>
      <explain>文本全半角错误。</explain>
      <paraID>4A7CFBEB</paraID>
      <start>43</start>
      <end>44</end>
      <status>unmodified</status>
      <modifiedWord/>
      <trackRevisions>false</trackRevisions>
    </reviewItem>
    <reviewItem>
      <errorID>30b8c5ee-7307-4d25-8417-5f48baa3e610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1959944</paraID>
      <start>0</start>
      <end>2</end>
      <status>unmodified</status>
      <modifiedWord/>
      <trackRevisions>false</trackRevisions>
    </reviewItem>
    <reviewItem>
      <errorID>29220e36-2f17-44ec-a876-183e404c8057</errorID>
      <errorWord>,</errorWord>
      <group>L1_Format</group>
      <groupName>格式问题</groupName>
      <ability>L2_HalfPunc</ability>
      <abilityName>全半角检查</abilityName>
      <candidateList>
        <item>，</item>
      </candidateList>
      <explain>文本全半角错误。</explain>
      <paraID> 1959944</paraID>
      <start>43</start>
      <end>44</end>
      <status>unmodified</status>
      <modifiedWord/>
      <trackRevisions>false</trackRevisions>
    </reviewItem>
    <reviewItem>
      <errorID>ec941c33-6b80-45f7-af97-670167f0b30c</errorID>
      <errorWord>,</errorWord>
      <group>L1_Format</group>
      <groupName>格式问题</groupName>
      <ability>L2_HalfPunc</ability>
      <abilityName>全半角检查</abilityName>
      <candidateList>
        <item>，</item>
      </candidateList>
      <explain>文本全半角错误。</explain>
      <paraID> 1959944</paraID>
      <start>54</start>
      <end>55</end>
      <status>unmodified</status>
      <modifiedWord/>
      <trackRevisions>false</trackRevisions>
    </reviewItem>
    <reviewItem>
      <errorID>b3ebead8-077c-4ecd-86b5-b95f4556864c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31ABC304</paraID>
      <start>0</start>
      <end>2</end>
      <status>unmodified</status>
      <modifiedWord/>
      <trackRevisions>false</trackRevisions>
    </reviewItem>
    <reviewItem>
      <errorID>a5a9c066-b81e-4100-8af7-46a4d84aa059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4383968</paraID>
      <start>0</start>
      <end>2</end>
      <status>unmodified</status>
      <modifiedWord/>
      <trackRevisions>false</trackRevisions>
    </reviewItem>
    <reviewItem>
      <errorID>eccf4933-8ac3-4963-9dd7-31db04c3cbee</errorID>
      <errorWord>,</errorWord>
      <group>L1_Format</group>
      <groupName>格式问题</groupName>
      <ability>L2_HalfPunc</ability>
      <abilityName>全半角检查</abilityName>
      <candidateList>
        <item>，</item>
      </candidateList>
      <explain>文本全半角错误。</explain>
      <paraID> 4383968</paraID>
      <start>46</start>
      <end>47</end>
      <status>unmodified</status>
      <modifiedWord/>
      <trackRevisions>false</trackRevisions>
    </reviewItem>
    <reviewItem>
      <errorID>31393c95-550b-42de-a058-1ea727269ba1</errorID>
      <errorWord>或</errorWord>
      <group>L1_Word</group>
      <groupName>字词问题</groupName>
      <ability>L2_Typo</ability>
      <abilityName>字词错误</abilityName>
      <candidateList>
        <item>或导</item>
      </candidateList>
      <explain/>
      <paraID> 4383968</paraID>
      <start>56</start>
      <end>57</end>
      <status>unmodified</status>
      <modifiedWord/>
      <trackRevisions>false</trackRevisions>
    </reviewItem>
    <reviewItem>
      <errorID>1f0ed684-53ea-49f0-a440-47ff46e70ee3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6BBF10D8</paraID>
      <start>0</start>
      <end>2</end>
      <status>unmodified</status>
      <modifiedWord/>
      <trackRevisions>false</trackRevisions>
    </reviewItem>
    <reviewItem>
      <errorID>7c101082-11df-4fed-b34f-05728f82698c</errorID>
      <errorWord>,</errorWord>
      <group>L1_Format</group>
      <groupName>格式问题</groupName>
      <ability>L2_HalfPunc</ability>
      <abilityName>全半角检查</abilityName>
      <candidateList>
        <item>，</item>
      </candidateList>
      <explain>文本全半角错误。</explain>
      <paraID>6BBF10D8</paraID>
      <start>13</start>
      <end>14</end>
      <status>unmodified</status>
      <modifiedWord/>
      <trackRevisions>false</trackRevisions>
    </reviewItem>
    <reviewItem>
      <errorID>5c7e5488-77b0-4e6c-80c4-d3dbada05360</errorID>
      <errorWord>规矩</errorWord>
      <group>L1_Word</group>
      <groupName>字词问题</groupName>
      <ability>L2_Typo</ability>
      <abilityName>字词错误</abilityName>
      <candidateList>
        <item>规整</item>
      </candidateList>
      <explain/>
      <paraID>6BBF10D8</paraID>
      <start>18</start>
      <end>20</end>
      <status>unmodified</status>
      <modifiedWord/>
      <trackRevisions>false</trackRevisions>
    </reviewItem>
    <reviewItem>
      <errorID>c79e0a0b-68e8-4c24-8501-eb35bf21f4af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1B94AE05</paraID>
      <start>0</start>
      <end>3</end>
      <status>unmodified</status>
      <modifiedWord/>
      <trackRevisions>false</trackRevisions>
    </reviewItem>
    <reviewItem>
      <errorID>cc31f021-8269-474e-be92-9531b070378f</errorID>
      <errorWord>,</errorWord>
      <group>L1_Format</group>
      <groupName>格式问题</groupName>
      <ability>L2_HalfPunc</ability>
      <abilityName>全半角检查</abilityName>
      <candidateList>
        <item>，</item>
      </candidateList>
      <explain>文本全半角错误。</explain>
      <paraID>1B94AE05</paraID>
      <start>21</start>
      <end>22</end>
      <status>unmodified</status>
      <modifiedWord/>
      <trackRevisions>false</trackRevisions>
    </reviewItem>
    <reviewItem>
      <errorID>f4d8a1ce-c49a-4976-84bc-2f0546df2d86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63BF9DAA</paraID>
      <start>0</start>
      <end>3</end>
      <status>unmodified</status>
      <modifiedWord/>
      <trackRevisions>false</trackRevisions>
    </reviewItem>
    <reviewItem>
      <errorID>2842ff4f-2521-43ed-b5b1-66ae044f1cc4</errorID>
      <errorWord>,</errorWord>
      <group>L1_Format</group>
      <groupName>格式问题</groupName>
      <ability>L2_HalfPunc</ability>
      <abilityName>全半角检查</abilityName>
      <candidateList>
        <item>，</item>
      </candidateList>
      <explain>文本全半角错误。</explain>
      <paraID>63BF9DAA</paraID>
      <start>20</start>
      <end>21</end>
      <status>unmodified</status>
      <modifiedWord/>
      <trackRevisions>false</trackRevisions>
    </reviewItem>
    <reviewItem>
      <errorID>5459d063-6393-416d-a79a-1c8ec3115d5e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21CC78E3</paraID>
      <start>0</start>
      <end>3</end>
      <status>unmodified</status>
      <modifiedWord/>
      <trackRevisions>false</trackRevisions>
    </reviewItem>
    <reviewItem>
      <errorID>1db5a01d-c2d2-4de9-9093-e92dae9ab733</errorID>
      <errorWord>,</errorWord>
      <group>L1_Format</group>
      <groupName>格式问题</groupName>
      <ability>L2_HalfPunc</ability>
      <abilityName>全半角检查</abilityName>
      <candidateList>
        <item>，</item>
      </candidateList>
      <explain>文本全半角错误。</explain>
      <paraID>21CC78E3</paraID>
      <start>19</start>
      <end>20</end>
      <status>unmodified</status>
      <modifiedWord/>
      <trackRevisions>false</trackRevisions>
    </reviewItem>
    <reviewItem>
      <errorID>5472e0e8-9d08-4e22-a3dd-ec8d6bca697a</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32E31FC</paraID>
      <start>0</start>
      <end>3</end>
      <status>unmodified</status>
      <modifiedWord/>
      <trackRevisions>false</trackRevisions>
    </reviewItem>
    <reviewItem>
      <errorID>cd4d6500-7639-48c1-9a00-a680b69f56dd</errorID>
      <errorWord>,</errorWord>
      <group>L1_Format</group>
      <groupName>格式问题</groupName>
      <ability>L2_HalfPunc</ability>
      <abilityName>全半角检查</abilityName>
      <candidateList>
        <item>，</item>
      </candidateList>
      <explain>文本全半角错误。</explain>
      <paraID> 32E31FC</paraID>
      <start>18</start>
      <end>19</end>
      <status>unmodified</status>
      <modifiedWord/>
      <trackRevisions>false</trackRevisions>
    </reviewItem>
    <reviewItem>
      <errorID>0261af7c-6cd1-418d-ac81-95a6b3c7f6bd</errorID>
      <errorWord>,</errorWord>
      <group>L1_Format</group>
      <groupName>格式问题</groupName>
      <ability>L2_HalfPunc</ability>
      <abilityName>全半角检查</abilityName>
      <candidateList>
        <item>，</item>
      </candidateList>
      <explain>文本全半角错误。</explain>
      <paraID> 32E31FC</paraID>
      <start>26</start>
      <end>27</end>
      <status>unmodified</status>
      <modifiedWord/>
      <trackRevisions>false</trackRevisions>
    </reviewItem>
    <reviewItem>
      <errorID>0bb9f9ee-b36a-483b-8062-ce3d0a89b2f5</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10835027</paraID>
      <start>0</start>
      <end>3</end>
      <status>unmodified</status>
      <modifiedWord/>
      <trackRevisions>false</trackRevisions>
    </reviewItem>
    <reviewItem>
      <errorID>ac0d3ba2-dbba-42b7-bc8f-c7d9e7584dd7</errorID>
      <errorWord>,</errorWord>
      <group>L1_Format</group>
      <groupName>格式问题</groupName>
      <ability>L2_HalfPunc</ability>
      <abilityName>全半角检查</abilityName>
      <candidateList>
        <item>，</item>
      </candidateList>
      <explain>文本全半角错误。</explain>
      <paraID>10835027</paraID>
      <start>15</start>
      <end>16</end>
      <status>unmodified</status>
      <modifiedWord/>
      <trackRevisions>false</trackRevisions>
    </reviewItem>
    <reviewItem>
      <errorID>157f62fb-6216-4c7c-9aad-56ed001e8d27</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194AC8B2</paraID>
      <start>0</start>
      <end>3</end>
      <status>unmodified</status>
      <modifiedWord/>
      <trackRevisions>false</trackRevisions>
    </reviewItem>
    <reviewItem>
      <errorID>0f5edf18-10fb-43fb-a64c-5ab8dffe8ff3</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48352FC5</paraID>
      <start>0</start>
      <end>3</end>
      <status>unmodified</status>
      <modifiedWord/>
      <trackRevisions>false</trackRevisions>
    </reviewItem>
    <reviewItem>
      <errorID>a809d658-4b4a-46d9-9c61-800cc8d87c06</errorID>
      <errorWord>,</errorWord>
      <group>L1_Format</group>
      <groupName>格式问题</groupName>
      <ability>L2_HalfPunc</ability>
      <abilityName>全半角检查</abilityName>
      <candidateList>
        <item>，</item>
      </candidateList>
      <explain>文本全半角错误。</explain>
      <paraID>48352FC5</paraID>
      <start>17</start>
      <end>18</end>
      <status>unmodified</status>
      <modifiedWord/>
      <trackRevisions>false</trackRevisions>
    </reviewItem>
    <reviewItem>
      <errorID>8675d9ed-eb01-4c03-8ca1-b6a203cb8e0c</errorID>
      <errorWord>,</errorWord>
      <group>L1_Format</group>
      <groupName>格式问题</groupName>
      <ability>L2_HalfPunc</ability>
      <abilityName>全半角检查</abilityName>
      <candidateList>
        <item>，</item>
      </candidateList>
      <explain>文本全半角错误。</explain>
      <paraID>48352FC5</paraID>
      <start>35</start>
      <end>36</end>
      <status>unmodified</status>
      <modifiedWord/>
      <trackRevisions>false</trackRevisions>
    </reviewItem>
    <reviewItem>
      <errorID>384a86f1-702f-4d5b-8817-180a6a142232</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6E9DB289</paraID>
      <start>0</start>
      <end>3</end>
      <status>unmodified</status>
      <modifiedWord/>
      <trackRevisions>false</trackRevisions>
    </reviewItem>
    <reviewItem>
      <errorID>35bc4169-73bd-48ea-ae5c-4124c6f42648</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23EDDDD6</paraID>
      <start>0</start>
      <end>3</end>
      <status>unmodified</status>
      <modifiedWord/>
      <trackRevisions>false</trackRevisions>
    </reviewItem>
    <reviewItem>
      <errorID>2ed99491-6257-4ee5-890d-2235f80219f0</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5884639D</paraID>
      <start>0</start>
      <end>3</end>
      <status>unmodified</status>
      <modifiedWord/>
      <trackRevisions>false</trackRevisions>
    </reviewItem>
    <reviewItem>
      <errorID>85593bac-9f3f-4e50-b168-b6848e036345</errorID>
      <errorWord>,</errorWord>
      <group>L1_Format</group>
      <groupName>格式问题</groupName>
      <ability>L2_HalfPunc</ability>
      <abilityName>全半角检查</abilityName>
      <candidateList>
        <item>，</item>
      </candidateList>
      <explain>文本全半角错误。</explain>
      <paraID>5884639D</paraID>
      <start>30</start>
      <end>31</end>
      <status>unmodified</status>
      <modifiedWord/>
      <trackRevisions>false</trackRevisions>
    </reviewItem>
    <reviewItem>
      <errorID>602d5d90-d476-48a5-ba80-9537b1bae31f</errorID>
      <errorWord>，</errorWord>
      <group>L1_Word</group>
      <groupName>字词问题</groupName>
      <ability>L2_Typo</ability>
      <abilityName>字词错误</abilityName>
      <candidateList>
        <item>，在</item>
      </candidateList>
      <explain/>
      <paraID> 9AE04BD</paraID>
      <start>28</start>
      <end>29</end>
      <status>unmodified</status>
      <modifiedWord/>
      <trackRevisions>false</trackRevisions>
    </reviewItem>
    <reviewItem>
      <errorID>3fc51000-95b7-47ff-a646-2450322a8cfd</errorID>
      <errorWord>、和</errorWord>
      <group>L1_Word</group>
      <groupName>字词问题</groupName>
      <ability>L2_Typo</ability>
      <abilityName>字词错误</abilityName>
      <candidateList>
        <item>、</item>
      </candidateList>
      <explain/>
      <paraID>619939AE</paraID>
      <start>77</start>
      <end>79</end>
      <status>unmodified</status>
      <modifiedWord/>
      <trackRevisions>false</trackRevisions>
    </reviewItem>
    <reviewItem>
      <errorID>7746a183-7126-4f4f-87f1-8242245207a6</errorID>
      <errorWord>,</errorWord>
      <group>L1_Format</group>
      <groupName>格式问题</groupName>
      <ability>L2_HalfPunc</ability>
      <abilityName>全半角检查</abilityName>
      <candidateList>
        <item>，</item>
      </candidateList>
      <explain>文本全半角错误。</explain>
      <paraID>1ECD3013</paraID>
      <start>40</start>
      <end>41</end>
      <status>unmodified</status>
      <modifiedWord/>
      <trackRevisions>false</trackRevisions>
    </reviewItem>
    <reviewItem>
      <errorID>a37cf711-165c-4b43-95bb-baa5d9e365a8</errorID>
      <errorWord>,</errorWord>
      <group>L1_Format</group>
      <groupName>格式问题</groupName>
      <ability>L2_HalfPunc</ability>
      <abilityName>全半角检查</abilityName>
      <candidateList>
        <item>，</item>
      </candidateList>
      <explain>文本全半角错误。</explain>
      <paraID>1AE6A750</paraID>
      <start>22</start>
      <end>23</end>
      <status>unmodified</status>
      <modifiedWord/>
      <trackRevisions>false</trackRevisions>
    </reviewItem>
    <reviewItem>
      <errorID>1d2ca1a9-548a-49bf-bdb3-547a13d5018f</errorID>
      <errorWord>,</errorWord>
      <group>L1_Format</group>
      <groupName>格式问题</groupName>
      <ability>L2_HalfPunc</ability>
      <abilityName>全半角检查</abilityName>
      <candidateList>
        <item>，</item>
      </candidateList>
      <explain>文本全半角错误。</explain>
      <paraID>271CADAF</paraID>
      <start>51</start>
      <end>52</end>
      <status>unmodified</status>
      <modifiedWord/>
      <trackRevisions>false</trackRevisions>
    </reviewItem>
    <reviewItem>
      <errorID>6ddb78ef-90b5-4ed4-98f3-81376b265cd4</errorID>
      <errorWord>,</errorWord>
      <group>L1_Format</group>
      <groupName>格式问题</groupName>
      <ability>L2_HalfPunc</ability>
      <abilityName>全半角检查</abilityName>
      <candidateList>
        <item>，</item>
      </candidateList>
      <explain>文本全半角错误。</explain>
      <paraID>7A42F535</paraID>
      <start>29</start>
      <end>30</end>
      <status>unmodified</status>
      <modifiedWord/>
      <trackRevisions>false</trackRevisions>
    </reviewItem>
    <reviewItem>
      <errorID>621cad6a-566c-4b83-8702-0693eb06dc32</errorID>
      <errorWord>,</errorWord>
      <group>L1_Format</group>
      <groupName>格式问题</groupName>
      <ability>L2_HalfPunc</ability>
      <abilityName>全半角检查</abilityName>
      <candidateList>
        <item>，</item>
      </candidateList>
      <explain>文本全半角错误。</explain>
      <paraID>7A42F535</paraID>
      <start>62</start>
      <end>63</end>
      <status>unmodified</status>
      <modifiedWord/>
      <trackRevisions>false</trackRevisions>
    </reviewItem>
    <reviewItem>
      <errorID>22718d10-a487-4060-a4eb-26f2af24444e</errorID>
      <errorWord>,</errorWord>
      <group>L1_Format</group>
      <groupName>格式问题</groupName>
      <ability>L2_HalfPunc</ability>
      <abilityName>全半角检查</abilityName>
      <candidateList>
        <item>，</item>
      </candidateList>
      <explain>文本全半角错误。</explain>
      <paraID>64B9869C</paraID>
      <start>17</start>
      <end>18</end>
      <status>unmodified</status>
      <modifiedWord/>
      <trackRevisions>false</trackRevisions>
    </reviewItem>
    <reviewItem>
      <errorID>84984d10-aaaa-484a-b3e6-6d89f292364c</errorID>
      <errorWord>,</errorWord>
      <group>L1_Format</group>
      <groupName>格式问题</groupName>
      <ability>L2_HalfPunc</ability>
      <abilityName>全半角检查</abilityName>
      <candidateList>
        <item>，</item>
      </candidateList>
      <explain>文本全半角错误。</explain>
      <paraID>64B9869C</paraID>
      <start>41</start>
      <end>42</end>
      <status>unmodified</status>
      <modifiedWord/>
      <trackRevisions>false</trackRevisions>
    </reviewItem>
    <reviewItem>
      <errorID>072795ed-13cd-47ed-80a3-2c8386f61858</errorID>
      <errorWord>,</errorWord>
      <group>L1_Format</group>
      <groupName>格式问题</groupName>
      <ability>L2_HalfPunc</ability>
      <abilityName>全半角检查</abilityName>
      <candidateList>
        <item>，</item>
      </candidateList>
      <explain>文本全半角错误。</explain>
      <paraID>4A95E8ED</paraID>
      <start>28</start>
      <end>29</end>
      <status>unmodified</status>
      <modifiedWord/>
      <trackRevisions>false</trackRevisions>
    </reviewItem>
    <reviewItem>
      <errorID>b82266eb-2fc9-42d0-a1af-1526c09fcca6</errorID>
      <errorWord>,</errorWord>
      <group>L1_Format</group>
      <groupName>格式问题</groupName>
      <ability>L2_HalfPunc</ability>
      <abilityName>全半角检查</abilityName>
      <candidateList>
        <item>，</item>
      </candidateList>
      <explain>文本全半角错误。</explain>
      <paraID>4A95E8ED</paraID>
      <start>38</start>
      <end>39</end>
      <status>unmodified</status>
      <modifiedWord/>
      <trackRevisions>false</trackRevisions>
    </reviewItem>
    <reviewItem>
      <errorID>2b22202f-1533-4456-8e47-c623227784aa</errorID>
      <errorWord>,</errorWord>
      <group>L1_Format</group>
      <groupName>格式问题</groupName>
      <ability>L2_HalfPunc</ability>
      <abilityName>全半角检查</abilityName>
      <candidateList>
        <item>，</item>
      </candidateList>
      <explain>文本全半角错误。</explain>
      <paraID>328ECF10</paraID>
      <start>16</start>
      <end>17</end>
      <status>unmodified</status>
      <modifiedWord/>
      <trackRevisions>false</trackRevisions>
    </reviewItem>
    <reviewItem>
      <errorID>9edaa750-3b14-44c6-a9a3-3bb42b6bd7be</errorID>
      <errorWord>;</errorWord>
      <group>L1_Format</group>
      <groupName>格式问题</groupName>
      <ability>L2_HalfPunc</ability>
      <abilityName>全半角检查</abilityName>
      <candidateList>
        <item>；</item>
      </candidateList>
      <explain>文本全半角错误。</explain>
      <paraID>328ECF10</paraID>
      <start>27</start>
      <end>28</end>
      <status>unmodified</status>
      <modifiedWord/>
      <trackRevisions>false</trackRevisions>
    </reviewItem>
    <reviewItem>
      <errorID>7a8be337-784b-4a25-a270-7959a2accd6c</errorID>
      <errorWord>,</errorWord>
      <group>L1_Format</group>
      <groupName>格式问题</groupName>
      <ability>L2_HalfPunc</ability>
      <abilityName>全半角检查</abilityName>
      <candidateList>
        <item>，</item>
      </candidateList>
      <explain>文本全半角错误。</explain>
      <paraID>328ECF10</paraID>
      <start>48</start>
      <end>49</end>
      <status>unmodified</status>
      <modifiedWord/>
      <trackRevisions>false</trackRevisions>
    </reviewItem>
    <reviewItem>
      <errorID>21b0a0c7-d29a-4dc4-9f11-f3ad0a8df86f</errorID>
      <errorWord>,</errorWord>
      <group>L1_Format</group>
      <groupName>格式问题</groupName>
      <ability>L2_HalfPunc</ability>
      <abilityName>全半角检查</abilityName>
      <candidateList>
        <item>，</item>
      </candidateList>
      <explain>文本全半角错误。</explain>
      <paraID>328ECF10</paraID>
      <start>64</start>
      <end>65</end>
      <status>unmodified</status>
      <modifiedWord/>
      <trackRevisions>false</trackRevisions>
    </reviewItem>
    <reviewItem>
      <errorID>5c5e651f-e982-438e-9c6b-2e28c212d83c</errorID>
      <errorWord>,</errorWord>
      <group>L1_Format</group>
      <groupName>格式问题</groupName>
      <ability>L2_HalfPunc</ability>
      <abilityName>全半角检查</abilityName>
      <candidateList>
        <item>，</item>
      </candidateList>
      <explain>文本全半角错误。</explain>
      <paraID>328ECF10</paraID>
      <start>75</start>
      <end>76</end>
      <status>unmodified</status>
      <modifiedWord/>
      <trackRevisions>false</trackRevisions>
    </reviewItem>
    <reviewItem>
      <errorID>b6c4cb06-fa4d-4c77-83bd-7e58684b36bd</errorID>
      <errorWord>,</errorWord>
      <group>L1_Format</group>
      <groupName>格式问题</groupName>
      <ability>L2_HalfPunc</ability>
      <abilityName>全半角检查</abilityName>
      <candidateList>
        <item>，</item>
      </candidateList>
      <explain>文本全半角错误。</explain>
      <paraID>328ECF10</paraID>
      <start>85</start>
      <end>86</end>
      <status>unmodified</status>
      <modifiedWord/>
      <trackRevisions>false</trackRevisions>
    </reviewItem>
    <reviewItem>
      <errorID>b6ac73bb-3a12-4882-9d48-f4f5f519fc1a</errorID>
      <errorWord>:</errorWord>
      <group>L1_Format</group>
      <groupName>格式问题</groupName>
      <ability>L2_HalfPunc</ability>
      <abilityName>全半角检查</abilityName>
      <candidateList>
        <item>：</item>
      </candidateList>
      <explain>文本全半角错误。</explain>
      <paraID>13DC7CA9</paraID>
      <start>3</start>
      <end>4</end>
      <status>unmodified</status>
      <modifiedWord/>
      <trackRevisions>false</trackRevisions>
    </reviewItem>
    <reviewItem>
      <errorID>2eae3c13-a603-42f7-863a-bb6fc5966d81</errorID>
      <errorWord>房</errorWord>
      <group>L1_Word</group>
      <groupName>字词问题</groupName>
      <ability>L2_Typo</ability>
      <abilityName>字词错误</abilityName>
      <candidateList>
        <item>房和</item>
      </candidateList>
      <explain/>
      <paraID>17AF29DB</paraID>
      <start>4</start>
      <end>5</end>
      <status>unmodified</status>
      <modifiedWord/>
      <trackRevisions>false</trackRevisions>
    </reviewItem>
    <reviewItem>
      <errorID>5dff91fd-0693-45fe-9f7e-208ad9b0024e</errorID>
      <errorWord>上个月</errorWord>
      <group>L1_Knowledge</group>
      <groupName>知识性问题</groupName>
      <ability>L2_Time</ability>
      <abilityName>日期时间</abilityName>
      <candidateList/>
      <explain>在公文场景，请避免使用“上个月”这种模糊表述。</explain>
      <paraID>65EEEFDB</paraID>
      <start>32</start>
      <end>35</end>
      <status>unmodified</status>
      <modifiedWord/>
      <trackRevisions>false</trackRevisions>
    </reviewItem>
    <reviewItem>
      <errorID>ce3203de-4522-4942-a7ee-5ba5fae3eb49</errorID>
      <errorWord>台帐</errorWord>
      <group>L1_Word</group>
      <groupName>字词问题</groupName>
      <ability>L2_Typo</ability>
      <abilityName>字词错误</abilityName>
      <candidateList>
        <item>台账</item>
      </candidateList>
      <explain/>
      <paraID> F812088</paraID>
      <start>16</start>
      <end>18</end>
      <status>unmodified</status>
      <modifiedWord/>
      <trackRevisions>false</trackRevisions>
    </reviewItem>
    <reviewItem>
      <errorID>ad4f9c0f-ada5-4672-9081-fe2adcd61342</errorID>
      <errorWord>;</errorWord>
      <group>L1_Format</group>
      <groupName>格式问题</groupName>
      <ability>L2_HalfPunc</ability>
      <abilityName>全半角检查</abilityName>
      <candidateList>
        <item>；</item>
      </candidateList>
      <explain>文本全半角错误。</explain>
      <paraID>49D24261</paraID>
      <start>75</start>
      <end>76</end>
      <status>unmodified</status>
      <modifiedWord/>
      <trackRevisions>false</trackRevisions>
    </reviewItem>
    <reviewItem>
      <errorID>030d2499-0c87-44fa-8ba8-64dbeff52404</errorID>
      <errorWord>口经</errorWord>
      <group>L1_Word</group>
      <groupName>字词问题</groupName>
      <ability>L2_Typo</ability>
      <abilityName>字词错误</abilityName>
      <candidateList>
        <item>口径</item>
      </candidateList>
      <explain/>
      <paraID>5ECF09E4</paraID>
      <start>24</start>
      <end>26</end>
      <status>unmodified</status>
      <modifiedWord/>
      <trackRevisions>false</trackRevisions>
    </reviewItem>
    <reviewItem>
      <errorID>24fd2969-0e23-4f89-af47-d831fab3b6fa</errorID>
      <errorWord>洋搞</errorWord>
      <group>L1_Word</group>
      <groupName>字词问题</groupName>
      <ability>L2_Typo</ability>
      <abilityName>字词错误</abilityName>
      <candidateList>
        <item>洋镐</item>
      </candidateList>
      <explain/>
      <paraID>5ECF09E4</paraID>
      <start>38</start>
      <end>40</end>
      <status>unmodified</status>
      <modifiedWord/>
      <trackRevisions>false</trackRevisions>
    </reviewItem>
    <reviewItem>
      <errorID>9c4d47c9-6592-478a-991a-1295b56a4a8f</errorID>
      <errorWord>(</errorWord>
      <group>L1_Format</group>
      <groupName>格式问题</groupName>
      <ability>L2_HalfPunc</ability>
      <abilityName>全半角检查</abilityName>
      <candidateList>
        <item>（</item>
      </candidateList>
      <explain>文本全半角错误。</explain>
      <paraID> 3EA3844</paraID>
      <start>6</start>
      <end>7</end>
      <status>unmodified</status>
      <modifiedWord/>
      <trackRevisions>false</trackRevisions>
    </reviewItem>
    <reviewItem>
      <errorID>da9c6995-33ac-42ef-8783-7be0d4a705e8</errorID>
      <errorWord>)</errorWord>
      <group>L1_Format</group>
      <groupName>格式问题</groupName>
      <ability>L2_HalfPunc</ability>
      <abilityName>全半角检查</abilityName>
      <candidateList>
        <item>）</item>
      </candidateList>
      <explain>文本全半角错误。</explain>
      <paraID> 3EA3844</paraID>
      <start>37</start>
      <end>38</end>
      <status>unmodified</status>
      <modifiedWord/>
      <trackRevisions>false</trackRevisions>
    </reviewItem>
    <reviewItem>
      <errorID>0843dfaf-7758-4d1a-82d1-6e28cd022f20</errorID>
      <errorWord>程</errorWord>
      <group>L1_Word</group>
      <groupName>字词问题</groupName>
      <ability>L2_Typo</ability>
      <abilityName>字词错误</abilityName>
      <candidateList>
        <item>程中</item>
      </candidateList>
      <explain/>
      <paraID>45B917CE</paraID>
      <start>14</start>
      <end>15</end>
      <status>unmodified</status>
      <modifiedWord/>
      <trackRevisions>false</trackRevisions>
    </reviewItem>
    <reviewItem>
      <errorID>d567105b-9753-4567-a17b-938f6edd484c</errorID>
      <errorWord>在在</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18FB093C</paraID>
      <start>4</start>
      <end>6</end>
      <status>unmodified</status>
      <modifiedWord/>
      <trackRevisions>false</trackRevisions>
    </reviewItem>
    <reviewItem>
      <errorID>446b4390-0e5b-439f-8f70-db440a03866f</errorID>
      <errorWord>一起</errorWord>
      <group>L1_Word</group>
      <groupName>字词问题</groupName>
      <ability>L2_Typo</ability>
      <abilityName>字词错误</abilityName>
      <candidateList>
        <item>一处</item>
      </candidateList>
      <explain/>
      <paraID> 97B11CF</paraID>
      <start>63</start>
      <end>65</end>
      <status>unmodified</status>
      <modifiedWord/>
      <trackRevisions>false</trackRevisions>
    </reviewItem>
    <reviewItem>
      <errorID>ac2b820d-96af-4ba0-b492-50b77efebbf7</errorID>
      <errorWord>一起</errorWord>
      <group>L1_Word</group>
      <groupName>字词问题</groupName>
      <ability>L2_Typo</ability>
      <abilityName>字词错误</abilityName>
      <candidateList>
        <item>一处</item>
      </candidateList>
      <explain/>
      <paraID> 67D10AA</paraID>
      <start>64</start>
      <end>66</end>
      <status>unmodified</status>
      <modifiedWord/>
      <trackRevisions>false</trackRevisions>
    </reviewItem>
    <reviewItem>
      <errorID>f05e973b-5233-4878-bf87-301378ba3c9d</errorID>
      <errorWord>一起</errorWord>
      <group>L1_Word</group>
      <groupName>字词问题</groupName>
      <ability>L2_Typo</ability>
      <abilityName>字词错误</abilityName>
      <candidateList>
        <item>一处</item>
      </candidateList>
      <explain/>
      <paraID>2A199274</paraID>
      <start>54</start>
      <end>56</end>
      <status>unmodified</status>
      <modifiedWord/>
      <trackRevisions>false</trackRevisions>
    </reviewItem>
    <reviewItem>
      <errorID>faa0ff91-7d08-4fa7-b176-a598e8b10612</errorID>
      <errorWord>未</errorWord>
      <group>L1_Word</group>
      <groupName>字词问题</groupName>
      <ability>L2_Typo</ability>
      <abilityName>字词错误</abilityName>
      <candidateList>
        <item>未安</item>
      </candidateList>
      <explain/>
      <paraID>71FCC8D1</paraID>
      <start>34</start>
      <end>35</end>
      <status>unmodified</status>
      <modifiedWord/>
      <trackRevisions>false</trackRevisions>
    </reviewItem>
    <reviewItem>
      <errorID>94dd158c-e7d8-4d72-b1b7-cd5039a97540</errorID>
      <errorWord>排</errorWord>
      <group>L1_Word</group>
      <groupName>字词问题</groupName>
      <ability>L2_Typo</ability>
      <abilityName>字词错误</abilityName>
      <candidateList>
        <item>派</item>
      </candidateList>
      <explain>存在发音相同字词的误用。</explain>
      <paraID>71FCC8D1</paraID>
      <start>35</start>
      <end>36</end>
      <status>unmodified</status>
      <modifiedWord/>
      <trackRevisions>false</trackRevisions>
    </reviewItem>
    <reviewItem>
      <errorID>d1358f27-0b95-4d81-a5e7-a850455c569c</errorID>
      <errorWord>一起</errorWord>
      <group>L1_Word</group>
      <groupName>字词问题</groupName>
      <ability>L2_Typo</ability>
      <abilityName>字词错误</abilityName>
      <candidateList>
        <item>一处</item>
      </candidateList>
      <explain/>
      <paraID>71FCC8D1</paraID>
      <start>55</start>
      <end>57</end>
      <status>unmodified</status>
      <modifiedWord/>
      <trackRevisions>false</trackRevisions>
    </reviewItem>
    <reviewItem>
      <errorID>8df4316a-3a62-42c8-9e2e-d2e991ac8b0e</errorID>
      <errorWord>未</errorWord>
      <group>L1_Word</group>
      <groupName>字词问题</groupName>
      <ability>L2_Typo</ability>
      <abilityName>字词错误</abilityName>
      <candidateList>
        <item>未安</item>
      </candidateList>
      <explain/>
      <paraID>16A6C6E4</paraID>
      <start>34</start>
      <end>35</end>
      <status>unmodified</status>
      <modifiedWord/>
      <trackRevisions>false</trackRevisions>
    </reviewItem>
    <reviewItem>
      <errorID>9f8f92d5-8fe2-43bf-94f4-1de94ffa39cb</errorID>
      <errorWord>排</errorWord>
      <group>L1_Word</group>
      <groupName>字词问题</groupName>
      <ability>L2_Typo</ability>
      <abilityName>字词错误</abilityName>
      <candidateList>
        <item>派</item>
      </candidateList>
      <explain>存在发音相同字词的误用。</explain>
      <paraID>16A6C6E4</paraID>
      <start>35</start>
      <end>36</end>
      <status>unmodified</status>
      <modifiedWord/>
      <trackRevisions>false</trackRevisions>
    </reviewItem>
    <reviewItem>
      <errorID>26fc1208-8459-4d40-80b9-38d6655e0ffc</errorID>
      <errorWord>一起</errorWord>
      <group>L1_Word</group>
      <groupName>字词问题</groupName>
      <ability>L2_Typo</ability>
      <abilityName>字词错误</abilityName>
      <candidateList>
        <item>一处</item>
      </candidateList>
      <explain/>
      <paraID>16A6C6E4</paraID>
      <start>55</start>
      <end>57</end>
      <status>unmodified</status>
      <modifiedWord/>
      <trackRevisions>false</trackRevisions>
    </reviewItem>
    <reviewItem>
      <errorID>edc5ae2b-229f-419a-892f-2e1b9b38f1be</errorID>
      <errorWord>围档</errorWord>
      <group>L1_Word</group>
      <groupName>字词问题</groupName>
      <ability>L2_Typo</ability>
      <abilityName>字词错误</abilityName>
      <candidateList>
        <item>围挡</item>
      </candidateList>
      <explain>存在发音相同字词的误用。</explain>
      <paraID> 72BA905</paraID>
      <start>22</start>
      <end>24</end>
      <status>unmodified</status>
      <modifiedWord/>
      <trackRevisions>false</trackRevisions>
    </reviewItem>
    <reviewItem>
      <errorID>3175d639-b1a8-4aa5-b6b7-07f694f44143</errorID>
      <errorWord>成</errorWord>
      <group>L1_Word</group>
      <groupName>字词问题</groupName>
      <ability>L2_Typo</ability>
      <abilityName>字词错误</abilityName>
      <candidateList>
        <item>成后</item>
      </candidateList>
      <explain/>
      <paraID> 72BA905</paraID>
      <start>62</start>
      <end>63</end>
      <status>unmodified</status>
      <modifiedWord/>
      <trackRevisions>false</trackRevisions>
    </reviewItem>
    <reviewItem>
      <errorID>5ec58839-8988-45dc-964d-8bfb0ed595bd</errorID>
      <errorWord>（</errorWord>
      <group>L1_Word</group>
      <groupName>字词问题</groupName>
      <ability>L2_Typo</ability>
      <abilityName>字词错误</abilityName>
      <candidateList>
        <item>（事</item>
      </candidateList>
      <explain/>
      <paraID>71D0CE75</paraID>
      <start>12</start>
      <end>13</end>
      <status>unmodified</status>
      <modifiedWord/>
      <trackRevisions>false</trackRevisions>
    </reviewItem>
    <reviewItem>
      <errorID>349c98e2-1bb6-4319-b4a8-07dcfd703dc6</errorID>
      <errorWord>带</errorWord>
      <group>L1_Word</group>
      <groupName>字词问题</groupName>
      <ability>L2_Typo</ability>
      <abilityName>字词错误</abilityName>
      <candidateList>
        <item>戴</item>
      </candidateList>
      <explain>❶〈动〉把东西放在头、面、颈、胸、臂等处：～帽子｜～花｜～眼镜｜～红领巾◇披星～月｜不共～天。❷拥护尊敬：爱～｜感～。❸（Dài）〈名〉姓。</explain>
      <paraID>71D0CE75</paraID>
      <start>146</start>
      <end>147</end>
      <status>unmodified</status>
      <modifiedWord/>
      <trackRevisions>false</trackRevisions>
    </reviewItem>
    <reviewItem>
      <errorID>40ca0143-71ad-47b7-8e3b-d703a2abf65c</errorID>
      <errorWord>路沿</errorWord>
      <group>L1_Word</group>
      <groupName>字词问题</groupName>
      <ability>L2_Typo</ability>
      <abilityName>字词错误</abilityName>
      <candidateList>
        <item>路缘</item>
      </candidateList>
      <explain/>
      <paraID>3CD4435C</paraID>
      <start>78</start>
      <end>80</end>
      <status>unmodified</status>
      <modifiedWord/>
      <trackRevisions>false</trackRevisions>
    </reviewItem>
    <reviewItem>
      <errorID>a6080d6e-937d-4dd9-ae46-d89c7b5f57ee</errorID>
      <errorWord>(</errorWord>
      <group>L1_Format</group>
      <groupName>格式问题</groupName>
      <ability>L2_HalfPunc</ability>
      <abilityName>全半角检查</abilityName>
      <candidateList>
        <item>（</item>
      </candidateList>
      <explain>文本全半角错误。</explain>
      <paraID>53B627E8</paraID>
      <start>22</start>
      <end>23</end>
      <status>unmodified</status>
      <modifiedWord/>
      <trackRevisions>false</trackRevisions>
    </reviewItem>
    <reviewItem>
      <errorID>6ae39ce3-71f7-4331-b094-619927de0657</errorID>
      <errorWord>)</errorWord>
      <group>L1_Format</group>
      <groupName>格式问题</groupName>
      <ability>L2_HalfPunc</ability>
      <abilityName>全半角检查</abilityName>
      <candidateList>
        <item>）</item>
      </candidateList>
      <explain>文本全半角错误。</explain>
      <paraID>53B627E8</paraID>
      <start>28</start>
      <end>29</end>
      <status>unmodified</status>
      <modifiedWord/>
      <trackRevisions>false</trackRevisions>
    </reviewItem>
    <reviewItem>
      <errorID>55256891-d66f-4516-a812-91ec10b94785</errorID>
      <errorWord>:</errorWord>
      <group>L1_Format</group>
      <groupName>格式问题</groupName>
      <ability>L2_HalfPunc</ability>
      <abilityName>全半角检查</abilityName>
      <candidateList>
        <item>：</item>
      </candidateList>
      <explain>文本全半角错误。</explain>
      <paraID>457AD55C</paraID>
      <start>3</start>
      <end>4</end>
      <status>unmodified</status>
      <modifiedWord/>
      <trackRevisions>false</trackRevisions>
    </reviewItem>
    <reviewItem>
      <errorID>6919d52c-7bb1-435c-a4ac-dcd34b1c0d0e</errorID>
      <errorWord>[2011]300号</errorWord>
      <group>L1_Knowledge</group>
      <groupName>知识性问题</groupName>
      <ability>L2_Knowledge</ability>
      <abilityName>其他知识</abilityName>
      <candidateList>
        <item>〔2011〕300号</item>
      </candidateList>
      <explain>发文字号格式错误。</explain>
      <paraID>  B25920</paraID>
      <start>6</start>
      <end>16</end>
      <status>unmodified</status>
      <modifiedWord/>
      <trackRevisions>false</trackRevisions>
    </reviewItem>
    <reviewItem>
      <errorID>dfb41bbd-3d52-4726-8d45-c3b3ed6bb6ed</errorID>
      <errorWord>(</errorWord>
      <group>L1_Format</group>
      <groupName>格式问题</groupName>
      <ability>L2_HalfPunc</ability>
      <abilityName>全半角检查</abilityName>
      <candidateList>
        <item>（</item>
      </candidateList>
      <explain>文本全半角错误。</explain>
      <paraID>4136F6AB</paraID>
      <start>46</start>
      <end>47</end>
      <status>unmodified</status>
      <modifiedWord/>
      <trackRevisions>false</trackRevisions>
    </reviewItem>
    <reviewItem>
      <errorID>b61cc5e6-1317-4e96-beb0-772cb3a4b4c6</errorID>
      <errorWord>[2009]36号</errorWord>
      <group>L1_Knowledge</group>
      <groupName>知识性问题</groupName>
      <ability>L2_Knowledge</ability>
      <abilityName>其他知识</abilityName>
      <candidateList>
        <item>〔2009〕36号</item>
      </candidateList>
      <explain>发文字号格式错误。</explain>
      <paraID>4136F6AB</paraID>
      <start>49</start>
      <end>58</end>
      <status>unmodified</status>
      <modifiedWord/>
      <trackRevisions>false</trackRevisions>
    </reviewItem>
    <reviewItem>
      <errorID>1a4f1af7-f427-4cdc-a7af-522f92924df9</errorID>
      <errorWord>)</errorWord>
      <group>L1_Format</group>
      <groupName>格式问题</groupName>
      <ability>L2_HalfPunc</ability>
      <abilityName>全半角检查</abilityName>
      <candidateList>
        <item>）</item>
      </candidateList>
      <explain>文本全半角错误。</explain>
      <paraID>4136F6AB</paraID>
      <start>58</start>
      <end>59</end>
      <status>unmodified</status>
      <modifiedWord/>
      <trackRevisions>false</trackRevisions>
    </reviewItem>
    <reviewItem>
      <errorID>3291aa93-762a-4de3-b2fd-d27e59f16619</errorID>
      <errorWord>包括了</errorWord>
      <group>L1_Word</group>
      <groupName>字词问题</groupName>
      <ability>L2_Typo</ability>
      <abilityName>字词错误</abilityName>
      <candidateList>
        <item>包括</item>
      </candidateList>
      <explain/>
      <paraID>2577C4AD</paraID>
      <start>36</start>
      <end>39</end>
      <status>unmodified</status>
      <modifiedWord/>
      <trackRevisions>false</trackRevisions>
    </reviewItem>
    <reviewItem>
      <errorID>c38e1e35-ef96-4ae8-bb58-b3d5ace8baea</errorID>
      <errorWord>（</errorWord>
      <group>L1_Format</group>
      <groupName>格式问题</groupName>
      <ability>L2_HalfPunc</ability>
      <abilityName>全半角检查</abilityName>
      <candidateList>
        <item>(</item>
      </candidateList>
      <explain>文本全半角错误。</explain>
      <paraID>29CE12DD</paraID>
      <start>4</start>
      <end>5</end>
      <status>unmodified</status>
      <modifiedWord/>
      <trackRevisions>false</trackRevisions>
    </reviewItem>
    <reviewItem>
      <errorID>49833ded-a844-4b77-8a96-1b9d4776675e</errorID>
      <errorWord>）</errorWord>
      <group>L1_Format</group>
      <groupName>格式问题</groupName>
      <ability>L2_HalfPunc</ability>
      <abilityName>全半角检查</abilityName>
      <candidateList>
        <item>)</item>
      </candidateList>
      <explain>文本全半角错误。</explain>
      <paraID>29CE12DD</paraID>
      <start>6</start>
      <end>7</end>
      <status>unmodified</status>
      <modifiedWord/>
      <trackRevisions>false</trackRevisions>
    </reviewItem>
    <reviewItem>
      <errorID>5d2a06f5-75d7-4956-925a-7a3875650de1</errorID>
      <errorWord>（</errorWord>
      <group>L1_Format</group>
      <groupName>格式问题</groupName>
      <ability>L2_HalfPunc</ability>
      <abilityName>全半角检查</abilityName>
      <candidateList>
        <item>(</item>
      </candidateList>
      <explain>文本全半角错误。</explain>
      <paraID>36F18A73</paraID>
      <start>4</start>
      <end>5</end>
      <status>unmodified</status>
      <modifiedWord/>
      <trackRevisions>false</trackRevisions>
    </reviewItem>
    <reviewItem>
      <errorID>0067e468-e283-49b0-b578-5268532115b9</errorID>
      <errorWord>）</errorWord>
      <group>L1_Format</group>
      <groupName>格式问题</groupName>
      <ability>L2_HalfPunc</ability>
      <abilityName>全半角检查</abilityName>
      <candidateList>
        <item>)</item>
      </candidateList>
      <explain>文本全半角错误。</explain>
      <paraID>36F18A73</paraID>
      <start>6</start>
      <end>7</end>
      <status>unmodified</status>
      <modifiedWord/>
      <trackRevisions>false</trackRevisions>
    </reviewItem>
    <reviewItem>
      <errorID>a859f763-38ba-4f6f-a464-7b4be2e9696e</errorID>
      <errorWord>/）</errorWord>
      <group>L1_Punc</group>
      <groupName>标点问题</groupName>
      <ability>L2_Punc</ability>
      <abilityName>标点符号检查</abilityName>
      <candidateList>
        <item>）</item>
      </candidateList>
      <explain/>
      <paraID>1733FB1B</paraID>
      <start>72</start>
      <end>74</end>
      <status>unmodified</status>
      <modifiedWord/>
      <trackRevisions>false</trackRevisions>
    </reviewItem>
    <reviewItem>
      <errorID>f7f29350-da93-4967-99df-781bac307641</errorID>
      <errorWord>，</errorWord>
      <group>L1_Word</group>
      <groupName>字词问题</groupName>
      <ability>L2_Typo</ability>
      <abilityName>字词错误</abilityName>
      <candidateList>
        <item>，使</item>
      </candidateList>
      <explain/>
      <paraID>603B1D31</paraID>
      <start>32</start>
      <end>33</end>
      <status>unmodified</status>
      <modifiedWord/>
      <trackRevisions>false</trackRevisions>
    </reviewItem>
    <reviewItem>
      <errorID>61f926f3-6a74-4c65-a174-283aa234ef35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79E01943</paraID>
      <start>15</start>
      <end>18</end>
      <status>unmodified</status>
      <modifiedWord/>
      <trackRevisions>false</trackRevisions>
    </reviewItem>
    <reviewItem>
      <errorID>01e9f49d-96bd-497b-873c-3b62260eb7d1</errorID>
      <errorWord>法律、法规</errorWord>
      <group>L1_Word</group>
      <groupName>字词问题</groupName>
      <ability>L2_Typo</ability>
      <abilityName>字词错误</abilityName>
      <candidateList>
        <item>法律法规</item>
      </candidateList>
      <explain/>
      <paraID>13279934</paraID>
      <start>25</start>
      <end>30</end>
      <status>unmodified</status>
      <modifiedWord/>
      <trackRevisions>false</trackRevisions>
    </reviewItem>
    <reviewItem>
      <errorID>d788a33d-8d61-4fbb-b314-d52c768d0062</errorID>
      <errorWord>操作合</errorWord>
      <group>L1_Word</group>
      <groupName>字词问题</groupName>
      <ability>L2_Typo</ability>
      <abilityName>字词错误</abilityName>
      <candidateList>
        <item>操作台</item>
      </candidateList>
      <explain/>
      <paraID>539B1ED3</paraID>
      <start>10</start>
      <end>13</end>
      <status>unmodified</status>
      <modifiedWord/>
      <trackRevisions>false</trackRevisions>
    </reviewItem>
    <reviewItem>
      <errorID>5f917472-79f1-4f27-bb2f-31f7f98c9b45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66883C1</paraID>
      <start>4</start>
      <end>5</end>
      <status>unmodified</status>
      <modifiedWord/>
      <trackRevisions>false</trackRevisions>
    </reviewItem>
    <reviewItem>
      <errorID>a70452e0-d8c3-403f-a419-a43459b03f67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48FB4846</paraID>
      <start>12</start>
      <end>13</end>
      <status>unmodified</status>
      <modifiedWord/>
      <trackRevisions>false</trackRevisions>
    </reviewItem>
    <reviewItem>
      <errorID>51fca069-6e3a-485a-a5ef-b93b4b4a7399</errorID>
      <errorWord>会</errorWord>
      <group>L1_Word</group>
      <groupName>字词问题</groupName>
      <ability>L2_Typo</ability>
      <abilityName>字词错误</abilityName>
      <candidateList>
        <item>会在</item>
      </candidateList>
      <explain/>
      <paraID>7B6E5DDD</paraID>
      <start>13</start>
      <end>14</end>
      <status>unmodified</status>
      <modifiedWord/>
      <trackRevisions>false</trackRevisions>
    </reviewItem>
    <reviewItem>
      <errorID>5475d532-9bd7-4c9e-9659-a5102d010410</errorID>
      <errorWord>亿</errorWord>
      <group>L1_Word</group>
      <groupName>字词问题</groupName>
      <ability>L2_Typo</ability>
      <abilityName>字词错误</abilityName>
      <candidateList>
        <item>亿元</item>
      </candidateList>
      <explain/>
      <paraID>21436175</paraID>
      <start>3</start>
      <end>4</end>
      <status>unmodified</status>
      <modifiedWord/>
      <trackRevisions>false</trackRevisions>
    </reviewItem>
    <reviewItem>
      <errorID>7de2523b-7e3d-4215-a179-9a11c4397490</errorID>
      <errorWord>可附件</errorWord>
      <group>L1_Word</group>
      <groupName>字词问题</groupName>
      <ability>L2_Typo</ability>
      <abilityName>字词错误</abilityName>
      <candidateList>
        <item>见附件</item>
      </candidateList>
      <explain/>
      <paraID>3551B148</paraID>
      <start>94</start>
      <end>97</end>
      <status>unmodified</status>
      <modifiedWord/>
      <trackRevisions>false</trackRevisions>
    </reviewItem>
    <reviewItem>
      <errorID>1e79e537-d80e-4521-bd02-38a3194bed72</errorID>
      <errorWord>)</errorWord>
      <group>L1_Format</group>
      <groupName>格式问题</groupName>
      <ability>L2_HalfPunc</ability>
      <abilityName>全半角检查</abilityName>
      <candidateList>
        <item>）</item>
      </candidateList>
      <explain>文本全半角错误。</explain>
      <paraID>3551B148</paraID>
      <start>97</start>
      <end>98</end>
      <status>unmodified</status>
      <modifiedWord/>
      <trackRevisions>false</trackRevisions>
    </reviewItem>
    <reviewItem>
      <errorID>90c756df-1239-46c4-947e-42356cd0718a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49B0E01</paraID>
      <start>33</start>
      <end>34</end>
      <status>unmodified</status>
      <modifiedWord/>
      <trackRevisions>false</trackRevisions>
    </reviewItem>
    <reviewItem>
      <errorID>b5d42ac0-9551-46eb-b7a3-c42ded490484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41E852B8</paraID>
      <start>3</start>
      <end>4</end>
      <status>unmodified</status>
      <modifiedWord/>
      <trackRevisions>false</trackRevisions>
    </reviewItem>
    <reviewItem>
      <errorID>53648e3e-f75e-470a-a076-cdf93704b00e</errorID>
      <errorWord>法律、法规</errorWord>
      <group>L1_Word</group>
      <groupName>字词问题</groupName>
      <ability>L2_Typo</ability>
      <abilityName>字词错误</abilityName>
      <candidateList>
        <item>法律法规</item>
      </candidateList>
      <explain/>
      <paraID>34F386CA</paraID>
      <start>0</start>
      <end>5</end>
      <status>unmodified</status>
      <modifiedWord/>
      <trackRevisions>false</trackRevisions>
    </reviewItem>
    <reviewItem>
      <errorID>87b1c7fe-a484-4acf-b954-0ffcc552deb4</errorID>
      <errorWord>-</errorWord>
      <group>L1_Format</group>
      <groupName>格式问题</groupName>
      <ability>L2_HalfPunc</ability>
      <abilityName>全半角检查</abilityName>
      <candidateList>
        <item>－</item>
      </candidateList>
      <explain>文本全半角错误。</explain>
      <paraID>34BEE749</paraID>
      <start>20</start>
      <end>21</end>
      <status>unmodified</status>
      <modifiedWord/>
      <trackRevisions>false</trackRevisions>
    </reviewItem>
    <reviewItem>
      <errorID>6798688b-5994-4258-8978-bf3d2cf5ce0c</errorID>
      <errorWord>做出</errorWord>
      <group>L1_Word</group>
      <groupName>字词问题</groupName>
      <ability>L2_Typo</ability>
      <abilityName>字词错误</abilityName>
      <candidateList>
        <item>作出</item>
      </candidateList>
      <explain/>
      <paraID>751CEA76</paraID>
      <start>116</start>
      <end>118</end>
      <status>unmodified</status>
      <modifiedWord/>
      <trackRevisions>false</trackRevisions>
    </reviewItem>
    <reviewItem>
      <errorID>bb295014-920c-478c-91a5-53c77ab5ba9a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504A0138</paraID>
      <start>3</start>
      <end>4</end>
      <status>unmodified</status>
      <modifiedWord/>
      <trackRevisions>false</trackRevisions>
    </reviewItem>
    <reviewItem>
      <errorID>58b1a7b4-ce79-41b3-a9c1-b049bd1d4e3f</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 FBADF60</paraID>
      <start>32</start>
      <end>34</end>
      <status>unmodified</status>
      <modifiedWord/>
      <trackRevisions>false</trackRevisions>
    </reviewItem>
    <reviewItem>
      <errorID>dd8e8587-2978-4858-a64a-0450fc679a63</errorID>
      <errorWord>(</errorWord>
      <group>L1_Format</group>
      <groupName>格式问题</groupName>
      <ability>L2_HalfPunc</ability>
      <abilityName>全半角检查</abilityName>
      <candidateList>
        <item>（</item>
      </candidateList>
      <explain>文本全半角错误。</explain>
      <paraID>7C129A34</paraID>
      <start>133</start>
      <end>134</end>
      <status>unmodified</status>
      <modifiedWord/>
      <trackRevisions>false</trackRevisions>
    </reviewItem>
    <reviewItem>
      <errorID>f86dd1bc-71f5-4ce7-81dd-945a537ff2cb</errorID>
      <errorWord>)</errorWord>
      <group>L1_Format</group>
      <groupName>格式问题</groupName>
      <ability>L2_HalfPunc</ability>
      <abilityName>全半角检查</abilityName>
      <candidateList>
        <item>）</item>
      </candidateList>
      <explain>文本全半角错误。</explain>
      <paraID>7C129A34</paraID>
      <start>143</start>
      <end>144</end>
      <status>unmodified</status>
      <modifiedWord/>
      <trackRevisions>false</trackRevisions>
    </reviewItem>
    <reviewItem>
      <errorID>e71d9708-8ab7-4ad2-a898-e526f69a767c</errorID>
      <errorWord>包含有</errorWord>
      <group>L1_Word</group>
      <groupName>字词问题</groupName>
      <ability>L2_Typo</ability>
      <abilityName>字词错误</abilityName>
      <candidateList>
        <item>包含</item>
      </candidateList>
      <explain>〈动〉里边含有：这句话～好几层意思。</explain>
      <paraID> 91423E8</paraID>
      <start>13</start>
      <end>16</end>
      <status>unmodified</status>
      <modifiedWord/>
      <trackRevisions>false</trackRevisions>
    </reviewItem>
    <reviewItem>
      <errorID>7ad5432c-22ca-4eec-8a7f-f83d05bd0e12</errorID>
      <errorWord>包含有</errorWord>
      <group>L1_Word</group>
      <groupName>字词问题</groupName>
      <ability>L2_Typo</ability>
      <abilityName>字词错误</abilityName>
      <candidateList>
        <item>包含</item>
      </candidateList>
      <explain>〈动〉里边含有：这句话～好几层意思。</explain>
      <paraID>736F5F5F</paraID>
      <start>13</start>
      <end>16</end>
      <status>unmodified</status>
      <modifiedWord/>
      <trackRevisions>false</trackRevisions>
    </reviewItem>
    <reviewItem>
      <errorID>21c699ee-db27-43ea-aabf-74649b20fdf9</errorID>
      <errorWord>(</errorWord>
      <group>L1_Format</group>
      <groupName>格式问题</groupName>
      <ability>L2_HalfPunc</ability>
      <abilityName>全半角检查</abilityName>
      <candidateList>
        <item>（</item>
      </candidateList>
      <explain>文本全半角错误。</explain>
      <paraID>1B362075</paraID>
      <start>12</start>
      <end>13</end>
      <status>unmodified</status>
      <modifiedWord/>
      <trackRevisions>false</trackRevisions>
    </reviewItem>
    <reviewItem>
      <errorID>9ca32efe-e18d-4fd7-8daf-ede8da74e1d7</errorID>
      <errorWord>)</errorWord>
      <group>L1_Format</group>
      <groupName>格式问题</groupName>
      <ability>L2_HalfPunc</ability>
      <abilityName>全半角检查</abilityName>
      <candidateList>
        <item>）</item>
      </candidateList>
      <explain>文本全半角错误。</explain>
      <paraID>1B362075</paraID>
      <start>18</start>
      <end>19</end>
      <status>unmodified</status>
      <modifiedWord/>
      <trackRevisions>false</trackRevisions>
    </reviewItem>
    <reviewItem>
      <errorID>edec8674-f359-4b80-b28c-0808629109c6</errorID>
      <errorWord>(</errorWord>
      <group>L1_Format</group>
      <groupName>格式问题</groupName>
      <ability>L2_HalfPunc</ability>
      <abilityName>全半角检查</abilityName>
      <candidateList>
        <item>（</item>
      </candidateList>
      <explain>文本全半角错误。</explain>
      <paraID> 881EA07</paraID>
      <start>2</start>
      <end>3</end>
      <status>unmodified</status>
      <modifiedWord/>
      <trackRevisions>false</trackRevisions>
    </reviewItem>
    <reviewItem>
      <errorID>cc6087f1-ebea-4d50-80a4-4f415014e828</errorID>
      <errorWord>):</errorWord>
      <group>L1_Format</group>
      <groupName>格式问题</groupName>
      <ability>L2_HalfPunc</ability>
      <abilityName>全半角检查</abilityName>
      <candidateList>
        <item>）：</item>
      </candidateList>
      <explain>文本全半角错误。</explain>
      <paraID> 881EA07</paraID>
      <start>5</start>
      <end>7</end>
      <status>unmodified</status>
      <modifiedWord/>
      <trackRevisions>false</trackRevisions>
    </reviewItem>
    <reviewItem>
      <errorID>e8e6de3c-8eb5-42e3-bcaa-df74220ed682</errorID>
      <errorWord>(</errorWord>
      <group>L1_Format</group>
      <groupName>格式问题</groupName>
      <ability>L2_HalfPunc</ability>
      <abilityName>全半角检查</abilityName>
      <candidateList>
        <item>（</item>
      </candidateList>
      <explain>文本全半角错误。</explain>
      <paraID>76D10540</paraID>
      <start>2</start>
      <end>3</end>
      <status>unmodified</status>
      <modifiedWord/>
      <trackRevisions>false</trackRevisions>
    </reviewItem>
    <reviewItem>
      <errorID>2f6aeaec-5965-4a6a-9b68-f40b58a84546</errorID>
      <errorWord>):</errorWord>
      <group>L1_Format</group>
      <groupName>格式问题</groupName>
      <ability>L2_HalfPunc</ability>
      <abilityName>全半角检查</abilityName>
      <candidateList>
        <item>）：</item>
      </candidateList>
      <explain>文本全半角错误。</explain>
      <paraID>76D10540</paraID>
      <start>5</start>
      <end>7</end>
      <status>unmodified</status>
      <modifiedWord/>
      <trackRevisions>false</trackRevisions>
    </reviewItem>
    <reviewItem>
      <errorID>85356874-2026-4d15-b414-6ea8f15fb195</errorID>
      <errorWord>(</errorWord>
      <group>L1_Format</group>
      <groupName>格式问题</groupName>
      <ability>L2_HalfPunc</ability>
      <abilityName>全半角检查</abilityName>
      <candidateList>
        <item>（</item>
      </candidateList>
      <explain>文本全半角错误。</explain>
      <paraID>22846FCF</paraID>
      <start>2</start>
      <end>3</end>
      <status>unmodified</status>
      <modifiedWord/>
      <trackRevisions>false</trackRevisions>
    </reviewItem>
    <reviewItem>
      <errorID>ab4159d5-7324-47ce-b5b9-50d92a37529f</errorID>
      <errorWord>):</errorWord>
      <group>L1_Format</group>
      <groupName>格式问题</groupName>
      <ability>L2_HalfPunc</ability>
      <abilityName>全半角检查</abilityName>
      <candidateList>
        <item>）：</item>
      </candidateList>
      <explain>文本全半角错误。</explain>
      <paraID>22846FCF</paraID>
      <start>5</start>
      <end>7</end>
      <status>unmodified</status>
      <modifiedWord/>
      <trackRevisions>false</trackRevisions>
    </reviewItem>
    <reviewItem>
      <errorID>de3c8c68-8e90-4cc1-b82f-801358cbadd4</errorID>
      <errorWord>(</errorWord>
      <group>L1_Format</group>
      <groupName>格式问题</groupName>
      <ability>L2_HalfPunc</ability>
      <abilityName>全半角检查</abilityName>
      <candidateList>
        <item>（</item>
      </candidateList>
      <explain>文本全半角错误。</explain>
      <paraID>78E4CD44</paraID>
      <start>2</start>
      <end>3</end>
      <status>unmodified</status>
      <modifiedWord/>
      <trackRevisions>false</trackRevisions>
    </reviewItem>
    <reviewItem>
      <errorID>8da2e29b-f43e-4f08-b9bd-f60a016d66c1</errorID>
      <errorWord>):</errorWord>
      <group>L1_Format</group>
      <groupName>格式问题</groupName>
      <ability>L2_HalfPunc</ability>
      <abilityName>全半角检查</abilityName>
      <candidateList>
        <item>）：</item>
      </candidateList>
      <explain>文本全半角错误。</explain>
      <paraID>78E4CD44</paraID>
      <start>6</start>
      <end>8</end>
      <status>unmodified</status>
      <modifiedWord/>
      <trackRevisions>false</trackRevisions>
    </reviewItem>
    <reviewItem>
      <errorID>4c49a59f-2a89-4692-b1ed-73b4194f4579</errorID>
      <errorWord>措施兼</errorWord>
      <group>L1_Word</group>
      <groupName>字词问题</groupName>
      <ability>L2_Typo</ability>
      <abilityName>字词错误</abilityName>
      <candidateList>
        <item>措施</item>
      </candidateList>
      <explain>〈名〉针对某种情况而采取的处理办法（用于较大的事情）：计划已经订出，～应该跟上。</explain>
      <paraID>78E4CD44</paraID>
      <start>83</start>
      <end>86</end>
      <status>unmodified</status>
      <modifiedWord/>
      <trackRevisions>false</trackRevisions>
    </reviewItem>
    <reviewItem>
      <errorID>ae2c9bed-3c4f-493a-9270-fccd6bc140c8</errorID>
      <errorWord>具有的</errorWord>
      <group>L1_Word</group>
      <groupName>字词问题</groupName>
      <ability>L2_Typo</ability>
      <abilityName>字词错误</abilityName>
      <candidateList>
        <item>具有</item>
      </candidateList>
      <explain>〈动〉有（多用于抽象事物）：～信心｜～伟大的意义。</explain>
      <paraID>78E4CD44</paraID>
      <start>95</start>
      <end>98</end>
      <status>unmodified</status>
      <modifiedWord/>
      <trackRevisions>false</trackRevisions>
    </reviewItem>
    <reviewItem>
      <errorID>424ce7bf-56b7-4f3d-8136-e311a9cca807</errorID>
      <errorWord>;</errorWord>
      <group>L1_Format</group>
      <groupName>格式问题</groupName>
      <ability>L2_HalfPunc</ability>
      <abilityName>全半角检查</abilityName>
      <candidateList>
        <item>；</item>
      </candidateList>
      <explain>文本全半角错误。</explain>
      <paraID>2D106A9A</paraID>
      <start>104</start>
      <end>105</end>
      <status>unmodified</status>
      <modifiedWord/>
      <trackRevisions>false</trackRevisions>
    </reviewItem>
    <reviewItem>
      <errorID>3ded2791-0294-4d08-966a-65d43d7c48db</errorID>
      <errorWord>;</errorWord>
      <group>L1_Format</group>
      <groupName>格式问题</groupName>
      <ability>L2_HalfPunc</ability>
      <abilityName>全半角检查</abilityName>
      <candidateList>
        <item>；</item>
      </candidateList>
      <explain>文本全半角错误。</explain>
      <paraID>65EC5568</paraID>
      <start>63</start>
      <end>64</end>
      <status>unmodified</status>
      <modifiedWord/>
      <trackRevisions>false</trackRevisions>
    </reviewItem>
    <reviewItem>
      <errorID>e56e3dd5-5789-4239-ba4f-07688b938803</errorID>
      <errorWord>;</errorWord>
      <group>L1_Format</group>
      <groupName>格式问题</groupName>
      <ability>L2_HalfPunc</ability>
      <abilityName>全半角检查</abilityName>
      <candidateList>
        <item>；</item>
      </candidateList>
      <explain>文本全半角错误。</explain>
      <paraID>65EC5568</paraID>
      <start>114</start>
      <end>115</end>
      <status>unmodified</status>
      <modifiedWord/>
      <trackRevisions>false</trackRevisions>
    </reviewItem>
    <reviewItem>
      <errorID>b3d276ee-e949-48fb-a6ba-8d18f2827bbe</errorID>
      <errorWord>;</errorWord>
      <group>L1_Format</group>
      <groupName>格式问题</groupName>
      <ability>L2_HalfPunc</ability>
      <abilityName>全半角检查</abilityName>
      <candidateList>
        <item>；</item>
      </candidateList>
      <explain>文本全半角错误。</explain>
      <paraID>65EC5568</paraID>
      <start>154</start>
      <end>155</end>
      <status>unmodified</status>
      <modifiedWord/>
      <trackRevisions>false</trackRevisions>
    </reviewItem>
    <reviewItem>
      <errorID>b8352562-2a76-4aa3-bb46-87a9b52c3278</errorID>
      <errorWord>(</errorWord>
      <group>L1_Format</group>
      <groupName>格式问题</groupName>
      <ability>L2_HalfPunc</ability>
      <abilityName>全半角检查</abilityName>
      <candidateList>
        <item>（</item>
      </candidateList>
      <explain>文本全半角错误。</explain>
      <paraID>65EC5568</paraID>
      <start>192</start>
      <end>193</end>
      <status>unmodified</status>
      <modifiedWord/>
      <trackRevisions>false</trackRevisions>
    </reviewItem>
    <reviewItem>
      <errorID>870b6e73-9613-4f8f-9a98-9056ada0f08e</errorID>
      <errorWord>)</errorWord>
      <group>L1_Format</group>
      <groupName>格式问题</groupName>
      <ability>L2_HalfPunc</ability>
      <abilityName>全半角检查</abilityName>
      <candidateList>
        <item>）</item>
      </candidateList>
      <explain>文本全半角错误。</explain>
      <paraID>65EC5568</paraID>
      <start>207</start>
      <end>208</end>
      <status>unmodified</status>
      <modifiedWord/>
      <trackRevisions>false</trackRevisions>
    </reviewItem>
    <reviewItem>
      <errorID>9bead7b3-fafd-4729-8401-5006ee65aef9</errorID>
      <errorWord>。】</errorWord>
      <group>L1_Punc</group>
      <groupName>标点问题</groupName>
      <ability>L2_Punc</ability>
      <abilityName>标点符号检查</abilityName>
      <candidateList>
        <item>】</item>
      </candidateList>
      <explain/>
      <paraID>2E88BB56</paraID>
      <start>125</start>
      <end>127</end>
      <status>unmodified</status>
      <modifiedWord/>
      <trackRevisions>false</trackRevisions>
    </reviewItem>
    <reviewItem>
      <errorID>9d1406eb-0c09-483b-875a-badc7ad4ae64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3D151383</paraID>
      <start>13</start>
      <end>16</end>
      <status>unmodified</status>
      <modifiedWord/>
      <trackRevisions>false</trackRevisions>
    </reviewItem>
    <reviewItem>
      <errorID>51779c9d-5488-49c3-b627-8c85d7e2e941</errorID>
      <errorWord>、）</errorWord>
      <group>L1_Punc</group>
      <groupName>标点问题</groupName>
      <ability>L2_Punc</ability>
      <abilityName>标点符号检查</abilityName>
      <candidateList>
        <item>）</item>
      </candidateList>
      <explain/>
      <paraID>27A822FE</paraID>
      <start>64</start>
      <end>66</end>
      <status>unmodified</status>
      <modifiedWord/>
      <trackRevisions>false</trackRevisions>
    </reviewItem>
    <reviewItem>
      <errorID>3e7f3763-2b08-472f-8fa1-4a9181252a9e</errorID>
      <errorWord>上个月</errorWord>
      <group>L1_Knowledge</group>
      <groupName>知识性问题</groupName>
      <ability>L2_Time</ability>
      <abilityName>日期时间</abilityName>
      <candidateList/>
      <explain>在公文场景，请避免使用“上个月”这种模糊表述。</explain>
      <paraID>6D502D81</paraID>
      <start>26</start>
      <end>29</end>
      <status>unmodified</status>
      <modifiedWord/>
      <trackRevisions>false</trackRevisions>
    </reviewItem>
    <reviewItem>
      <errorID>c415d22c-4b20-4cd7-bff0-be42c59f8742</errorID>
      <errorWord>上个月</errorWord>
      <group>L1_Knowledge</group>
      <groupName>知识性问题</groupName>
      <ability>L2_Time</ability>
      <abilityName>日期时间</abilityName>
      <candidateList/>
      <explain>在公文场景，请避免使用“上个月”这种模糊表述。</explain>
      <paraID>5D488DEE</paraID>
      <start>39</start>
      <end>42</end>
      <status>unmodified</status>
      <modifiedWord/>
      <trackRevisions>false</trackRevisions>
    </reviewItem>
    <reviewItem>
      <errorID>0f3022e2-b147-4fbb-a103-594b36a5a47f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FF00C08</paraID>
      <start>0</start>
      <end>2</end>
      <status>unmodified</status>
      <modifiedWord/>
      <trackRevisions>false</trackRevisions>
    </reviewItem>
    <reviewItem>
      <errorID>612ca19c-6b05-494e-8919-a1f959b75bd5</errorID>
      <errorWord>（</errorWord>
      <group>L1_Punc</group>
      <groupName>标点问题</groupName>
      <ability>L2_Punc</ability>
      <abilityName>标点符号检查</abilityName>
      <candidateList/>
      <explain>同一形式括号套用。</explain>
      <paraID> FF00C08</paraID>
      <start>38</start>
      <end>39</end>
      <status>unmodified</status>
      <modifiedWord/>
      <trackRevisions>false</trackRevisions>
    </reviewItem>
    <reviewItem>
      <errorID>e6a0eb9c-b12f-4e10-aab9-eed8cfb0e42c</errorID>
      <errorWord>）</errorWord>
      <group>L1_Punc</group>
      <groupName>标点问题</groupName>
      <ability>L2_Punc</ability>
      <abilityName>标点符号检查</abilityName>
      <candidateList/>
      <explain>同一形式括号套用。</explain>
      <paraID> FF00C08</paraID>
      <start>46</start>
      <end>47</end>
      <status>unmodified</status>
      <modifiedWord/>
      <trackRevisions>false</trackRevisions>
    </reviewItem>
    <reviewItem>
      <errorID>a5ea45f5-fcbe-45f8-94e3-9171a963f35e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7B52689A</paraID>
      <start>0</start>
      <end>2</end>
      <status>unmodified</status>
      <modifiedWord/>
      <trackRevisions>false</trackRevisions>
    </reviewItem>
    <reviewItem>
      <errorID>3c899813-80f2-4fba-b869-812a7ab0e1cf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4E236922</paraID>
      <start>0</start>
      <end>2</end>
      <status>unmodified</status>
      <modifiedWord/>
      <trackRevisions>false</trackRevisions>
    </reviewItem>
    <reviewItem>
      <errorID>f7c178b0-3d79-4514-a507-22bac6ab4b4b</errorID>
      <errorWord>其它</errorWord>
      <group>L1_Word</group>
      <groupName>字词问题</groupName>
      <ability>L2_Alias</ability>
      <abilityName>也作/曾用词</abilityName>
      <candidateList>
        <item>其他</item>
      </candidateList>
      <explain>词汇[其它]为不规范表述或旧称，其规范书面表述为[其他]。</explain>
      <paraID>4E236922</paraID>
      <start>127</start>
      <end>129</end>
      <status>unmodified</status>
      <modifiedWord/>
      <trackRevisions>false</trackRevisions>
    </reviewItem>
    <reviewItem>
      <errorID>6b99ebd1-3343-4aa1-96dd-f5ca9a6b46b9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1C05D706</paraID>
      <start>0</start>
      <end>2</end>
      <status>unmodified</status>
      <modifiedWord/>
      <trackRevisions>false</trackRevisions>
    </reviewItem>
    <reviewItem>
      <errorID>b7e29465-bb4e-4361-ad4e-ee955ca292cd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7CEB5CC7</paraID>
      <start>0</start>
      <end>2</end>
      <status>unmodified</status>
      <modifiedWord/>
      <trackRevisions>false</trackRevisions>
    </reviewItem>
    <reviewItem>
      <errorID>30bb19a5-99f2-41bb-a30d-256be01ff2f1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766A17C3</paraID>
      <start>0</start>
      <end>2</end>
      <status>unmodified</status>
      <modifiedWord/>
      <trackRevisions>false</trackRevisions>
    </reviewItem>
    <reviewItem>
      <errorID>0e024f32-3e9b-427f-ba6f-3ce72f159bbf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2C1A0419</paraID>
      <start>0</start>
      <end>2</end>
      <status>unmodified</status>
      <modifiedWord/>
      <trackRevisions>false</trackRevisions>
    </reviewItem>
    <reviewItem>
      <errorID>472f196c-3226-4d7e-93c4-38baab77cdb0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50834FCB</paraID>
      <start>0</start>
      <end>2</end>
      <status>unmodified</status>
      <modifiedWord/>
      <trackRevisions>false</trackRevisions>
    </reviewItem>
    <reviewItem>
      <errorID>442eec4a-8f0e-45cb-8d81-38a88455f6f8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5855FE09</paraID>
      <start>0</start>
      <end>2</end>
      <status>unmodified</status>
      <modifiedWord/>
      <trackRevisions>false</trackRevisions>
    </reviewItem>
    <reviewItem>
      <errorID>06330a10-8b1d-46c9-9bfb-b45a35b8de67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55B462BC</paraID>
      <start>0</start>
      <end>2</end>
      <status>unmodified</status>
      <modifiedWord/>
      <trackRevisions>false</trackRevisions>
    </reviewItem>
    <reviewItem>
      <errorID>e8514e2b-3fc0-4376-922e-402b16eedb80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1A5F3246</paraID>
      <start>0</start>
      <end>2</end>
      <status>unmodified</status>
      <modifiedWord/>
      <trackRevisions>false</trackRevisions>
    </reviewItem>
    <reviewItem>
      <errorID>cf264cc5-f34c-4fac-8197-3b76d92b7ce6</errorID>
      <errorWord>符</errorWord>
      <group>L1_Word</group>
      <groupName>字词问题</groupName>
      <ability>L2_Typo</ability>
      <abilityName>字词错误</abilityName>
      <candidateList>
        <item>符合</item>
      </candidateList>
      <explain>〈动〉（数量、形状、情节等）相合：～事实｜这些产品不～质量标准。</explain>
      <paraID>1A5F3246</paraID>
      <start>10</start>
      <end>11</end>
      <status>unmodified</status>
      <modifiedWord/>
      <trackRevisions>false</trackRevisions>
    </reviewItem>
    <reviewItem>
      <errorID>2d7d4fe1-efc4-4de8-bd0d-dcc9aeba0649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52A5302E</paraID>
      <start>0</start>
      <end>2</end>
      <status>unmodified</status>
      <modifiedWord/>
      <trackRevisions>false</trackRevisions>
    </reviewItem>
    <reviewItem>
      <errorID>61e3ee31-4dfa-47b9-9dca-7cfb0fc6ee9c</errorID>
      <errorWord>《防城港市市本级市政设施日常维修养护管理考核办法》（试行）</errorWord>
      <group>L1_Knowledge</group>
      <groupName>知识性问题</groupName>
      <ability>L2_Knowledge</ability>
      <abilityName>其他知识</abilityName>
      <candidateList>
        <item>《防城港市市本级市政设施日常维修养护管理考核办法（试行）》</item>
      </candidateList>
      <explain>疑似政策文件、法律法规名称等书写不规范，请注意检查。</explain>
      <paraID>324BDA0C</paraID>
      <start>1</start>
      <end>30</end>
      <status>unmodified</status>
      <modifiedWord/>
      <trackRevisions>false</trackRevisions>
    </reviewItem>
    <reviewItem>
      <errorID>2afbf24f-1b19-4e05-9fe5-967d21d20997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DFC4DFD</paraID>
      <start>0</start>
      <end>2</end>
      <status>unmodified</status>
      <modifiedWord/>
      <trackRevisions>false</trackRevisions>
    </reviewItem>
    <reviewItem>
      <errorID>f532b84b-b76e-4e23-a702-ac767e93ee91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5FD25E50</paraID>
      <start>0</start>
      <end>2</end>
      <status>unmodified</status>
      <modifiedWord/>
      <trackRevisions>false</trackRevisions>
    </reviewItem>
    <reviewItem>
      <errorID>9b964347-b7cc-4f0e-abb1-5faf6db5daf9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21167D53</paraID>
      <start>0</start>
      <end>2</end>
      <status>unmodified</status>
      <modifiedWord/>
      <trackRevisions>false</trackRevisions>
    </reviewItem>
    <reviewItem>
      <errorID>59448a4e-ad32-4641-b34c-b020ec4801a8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ADA7940</paraID>
      <start>0</start>
      <end>2</end>
      <status>unmodified</status>
      <modifiedWord/>
      <trackRevisions>false</trackRevisions>
    </reviewItem>
    <reviewItem>
      <errorID>7443c4e6-0492-4c48-bcf2-cfb19387e1d2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61FD9CCA</paraID>
      <start>0</start>
      <end>2</end>
      <status>unmodified</status>
      <modifiedWord/>
      <trackRevisions>false</trackRevisions>
    </reviewItem>
    <reviewItem>
      <errorID>7ba3ff8c-b1e3-4548-8290-89d7d9509608</errorID>
      <errorWord>上个月</errorWord>
      <group>L1_Knowledge</group>
      <groupName>知识性问题</groupName>
      <ability>L2_Time</ability>
      <abilityName>日期时间</abilityName>
      <candidateList/>
      <explain>在公文场景，请避免使用“上个月”这种模糊表述。</explain>
      <paraID>61FD9CCA</paraID>
      <start>26</start>
      <end>29</end>
      <status>unmodified</status>
      <modifiedWord/>
      <trackRevisions>false</trackRevisions>
    </reviewItem>
    <reviewItem>
      <errorID>07e96f47-7905-43ad-a9b3-5daac55250f9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2FFED51</paraID>
      <start>0</start>
      <end>2</end>
      <status>unmodified</status>
      <modifiedWord/>
      <trackRevisions>false</trackRevisions>
    </reviewItem>
    <reviewItem>
      <errorID>da56f723-2f04-461a-90d4-b3c7493157cc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35E8155B</paraID>
      <start>0</start>
      <end>2</end>
      <status>unmodified</status>
      <modifiedWord/>
      <trackRevisions>false</trackRevisions>
    </reviewItem>
    <reviewItem>
      <errorID>4d2fb184-7145-47f4-9a2a-d8ced7b1df91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109DD65D</paraID>
      <start>0</start>
      <end>2</end>
      <status>unmodified</status>
      <modifiedWord/>
      <trackRevisions>false</trackRevisions>
    </reviewItem>
    <reviewItem>
      <errorID>0f23d3c5-85df-446c-bb42-0becfff0a22e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10A1734B</paraID>
      <start>0</start>
      <end>2</end>
      <status>unmodified</status>
      <modifiedWord/>
      <trackRevisions>false</trackRevisions>
    </reviewItem>
    <reviewItem>
      <errorID>449aa05d-6798-45b1-ba3c-0075e15dc13f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6F874A3</paraID>
      <start>0</start>
      <end>2</end>
      <status>unmodified</status>
      <modifiedWord/>
      <trackRevisions>false</trackRevisions>
    </reviewItem>
    <reviewItem>
      <errorID>65b994eb-6857-4fe6-b751-2a259823ba13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8D8015D</paraID>
      <start>0</start>
      <end>2</end>
      <status>unmodified</status>
      <modifiedWord/>
      <trackRevisions>false</trackRevisions>
    </reviewItem>
    <reviewItem>
      <errorID>3e1bceab-4f92-44d4-8927-8eb778692d9c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4885DC90</paraID>
      <start>0</start>
      <end>2</end>
      <status>unmodified</status>
      <modifiedWord/>
      <trackRevisions>false</trackRevisions>
    </reviewItem>
    <reviewItem>
      <errorID>4224f0df-8ccb-4a1c-bfca-d4e319fcc07f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6E8915A9</paraID>
      <start>0</start>
      <end>2</end>
      <status>unmodified</status>
      <modifiedWord/>
      <trackRevisions>false</trackRevisions>
    </reviewItem>
    <reviewItem>
      <errorID>99dd8c08-36df-44db-a8f4-4c918de17fbf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18C5296C</paraID>
      <start>0</start>
      <end>2</end>
      <status>unmodified</status>
      <modifiedWord/>
      <trackRevisions>false</trackRevisions>
    </reviewItem>
    <reviewItem>
      <errorID>eacbb875-8919-4d66-8c3c-2c9c5c7ef110</errorID>
      <errorWord>(</errorWord>
      <group>L1_Format</group>
      <groupName>格式问题</groupName>
      <ability>L2_HalfPunc</ability>
      <abilityName>全半角检查</abilityName>
      <candidateList>
        <item>（</item>
      </candidateList>
      <explain>文本全半角错误。</explain>
      <paraID>562D2969</paraID>
      <start>6</start>
      <end>7</end>
      <status>unmodified</status>
      <modifiedWord/>
      <trackRevisions>false</trackRevisions>
    </reviewItem>
    <reviewItem>
      <errorID>01f98505-a8bc-4407-990f-1c0fd10957d9</errorID>
      <errorWord>)</errorWord>
      <group>L1_Format</group>
      <groupName>格式问题</groupName>
      <ability>L2_HalfPunc</ability>
      <abilityName>全半角检查</abilityName>
      <candidateList>
        <item>）</item>
      </candidateList>
      <explain>文本全半角错误。</explain>
      <paraID>562D2969</paraID>
      <start>9</start>
      <end>10</end>
      <status>unmodified</status>
      <modifiedWord/>
      <trackRevisions>false</trackRevisions>
    </reviewItem>
    <reviewItem>
      <errorID>fe764ef3-5e2f-4c93-ad61-13451ff5138c</errorID>
      <errorWord>(</errorWord>
      <group>L1_Format</group>
      <groupName>格式问题</groupName>
      <ability>L2_HalfPunc</ability>
      <abilityName>全半角检查</abilityName>
      <candidateList>
        <item>（</item>
      </candidateList>
      <explain>文本全半角错误。</explain>
      <paraID>562D2969</paraID>
      <start>44</start>
      <end>45</end>
      <status>unmodified</status>
      <modifiedWord/>
      <trackRevisions>false</trackRevisions>
    </reviewItem>
    <reviewItem>
      <errorID>90bf468d-5cef-46de-9595-e98d256dd560</errorID>
      <errorWord>)</errorWord>
      <group>L1_Format</group>
      <groupName>格式问题</groupName>
      <ability>L2_HalfPunc</ability>
      <abilityName>全半角检查</abilityName>
      <candidateList>
        <item>）</item>
      </candidateList>
      <explain>文本全半角错误。</explain>
      <paraID>562D2969</paraID>
      <start>47</start>
      <end>48</end>
      <status>unmodified</status>
      <modifiedWord/>
      <trackRevisions>false</trackRevisions>
    </reviewItem>
    <reviewItem>
      <errorID>31a94513-2dc7-474e-abbb-9fa341c91652</errorID>
      <errorWord>(</errorWord>
      <group>L1_Format</group>
      <groupName>格式问题</groupName>
      <ability>L2_HalfPunc</ability>
      <abilityName>全半角检查</abilityName>
      <candidateList>
        <item>（</item>
      </candidateList>
      <explain>文本全半角错误。</explain>
      <paraID>44BFB985</paraID>
      <start>34</start>
      <end>35</end>
      <status>unmodified</status>
      <modifiedWord/>
      <trackRevisions>false</trackRevisions>
    </reviewItem>
    <reviewItem>
      <errorID>d73c80b9-93d5-4c18-a7a5-4c508476cbc0</errorID>
      <errorWord>)</errorWord>
      <group>L1_Format</group>
      <groupName>格式问题</groupName>
      <ability>L2_HalfPunc</ability>
      <abilityName>全半角检查</abilityName>
      <candidateList>
        <item>）</item>
      </candidateList>
      <explain>文本全半角错误。</explain>
      <paraID>44BFB985</paraID>
      <start>47</start>
      <end>48</end>
      <status>unmodified</status>
      <modifiedWord/>
      <trackRevisions>false</trackRevisions>
    </reviewItem>
    <reviewItem>
      <errorID>01ddb210-d7a1-488f-af52-0d547baf97f0</errorID>
      <errorWord>)</errorWord>
      <group>L1_Format</group>
      <groupName>格式问题</groupName>
      <ability>L2_HalfPunc</ability>
      <abilityName>全半角检查</abilityName>
      <candidateList>
        <item>）</item>
      </candidateList>
      <explain>文本全半角错误。</explain>
      <paraID>42088AE0</paraID>
      <start>2</start>
      <end>3</end>
      <status>unmodified</status>
      <modifiedWord/>
      <trackRevisions>false</trackRevisions>
    </reviewItem>
    <reviewItem>
      <errorID>7542bdc9-2e3c-4359-b8ca-a114c188c8df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7C609A79</paraID>
      <start>0</start>
      <end>3</end>
      <status>unmodified</status>
      <modifiedWord/>
      <trackRevisions>false</trackRevisions>
    </reviewItem>
    <reviewItem>
      <errorID>5299463e-1e09-450f-9569-a518310c0834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40E0ACC3</paraID>
      <start>0</start>
      <end>3</end>
      <status>unmodified</status>
      <modifiedWord/>
      <trackRevisions>false</trackRevisions>
    </reviewItem>
    <reviewItem>
      <errorID>e1f21905-f6ce-40b6-922a-83bf4924dc1e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3B420C4E</paraID>
      <start>0</start>
      <end>3</end>
      <status>unmodified</status>
      <modifiedWord/>
      <trackRevisions>false</trackRevisions>
    </reviewItem>
    <reviewItem>
      <errorID>41d80489-9dfa-4c33-bc96-2c6193a378a5</errorID>
      <errorWord>上个月</errorWord>
      <group>L1_Knowledge</group>
      <groupName>知识性问题</groupName>
      <ability>L2_Time</ability>
      <abilityName>日期时间</abilityName>
      <candidateList/>
      <explain>在公文场景，请避免使用“上个月”这种模糊表述。</explain>
      <paraID>169E5C00</paraID>
      <start>26</start>
      <end>29</end>
      <status>unmodified</status>
      <modifiedWord/>
      <trackRevisions>false</trackRevisions>
    </reviewItem>
    <reviewItem>
      <errorID>14671ba8-b80b-4740-b2da-1d6f1906631f</errorID>
      <errorWord>上个月</errorWord>
      <group>L1_Knowledge</group>
      <groupName>知识性问题</groupName>
      <ability>L2_Time</ability>
      <abilityName>日期时间</abilityName>
      <candidateList/>
      <explain>在公文场景，请避免使用“上个月”这种模糊表述。</explain>
      <paraID>434CF338</paraID>
      <start>40</start>
      <end>43</end>
      <status>unmodified</status>
      <modifiedWord/>
      <trackRevisions>false</trackRevisions>
    </reviewItem>
    <reviewItem>
      <errorID>7ec24a46-4ee3-468f-94cd-7f851fd4be25</errorID>
      <errorWord>（</errorWord>
      <group>L1_Format</group>
      <groupName>格式问题</groupName>
      <ability>L2_HalfPunc</ability>
      <abilityName>全半角检查</abilityName>
      <candidateList>
        <item>(</item>
      </candidateList>
      <explain>文本全半角错误。</explain>
      <paraID>4BB5850D</paraID>
      <start>0</start>
      <end>1</end>
      <status>unmodified</status>
      <modifiedWord/>
      <trackRevisions>false</trackRevisions>
    </reviewItem>
    <reviewItem>
      <errorID>0db9cbc1-4812-4906-b9fc-0fa57d3643eb</errorID>
      <errorWord>）</errorWord>
      <group>L1_Format</group>
      <groupName>格式问题</groupName>
      <ability>L2_HalfPunc</ability>
      <abilityName>全半角检查</abilityName>
      <candidateList>
        <item>)</item>
      </candidateList>
      <explain>文本全半角错误。</explain>
      <paraID>4BB5850D</paraID>
      <start>2</start>
      <end>3</end>
      <status>unmodified</status>
      <modifiedWord/>
      <trackRevisions>false</trackRevisions>
    </reviewItem>
    <reviewItem>
      <errorID>714a0ce0-d52b-48cc-aff3-f1485e336c3b</errorID>
      <errorWord>；</errorWord>
      <group>L1_Format</group>
      <groupName>格式问题</groupName>
      <ability>L2_HalfPunc</ability>
      <abilityName>全半角检查</abilityName>
      <candidateList>
        <item>;</item>
      </candidateList>
      <explain>文本全半角错误。</explain>
      <paraID>4BB5850D</paraID>
      <start>38</start>
      <end>39</end>
      <status>unmodified</status>
      <modifiedWord/>
      <trackRevisions>false</trackRevisions>
    </reviewItem>
    <reviewItem>
      <errorID>0994033e-cc40-4cea-b604-494ef6d4d587</errorID>
      <errorWord>（</errorWord>
      <group>L1_Format</group>
      <groupName>格式问题</groupName>
      <ability>L2_HalfPunc</ability>
      <abilityName>全半角检查</abilityName>
      <candidateList>
        <item>(</item>
      </candidateList>
      <explain>文本全半角错误。</explain>
      <paraID>48043191</paraID>
      <start>0</start>
      <end>1</end>
      <status>unmodified</status>
      <modifiedWord/>
      <trackRevisions>false</trackRevisions>
    </reviewItem>
    <reviewItem>
      <errorID>95461a9e-01d6-4f74-86a6-c9a0a135b53e</errorID>
      <errorWord>）</errorWord>
      <group>L1_Format</group>
      <groupName>格式问题</groupName>
      <ability>L2_HalfPunc</ability>
      <abilityName>全半角检查</abilityName>
      <candidateList>
        <item>)</item>
      </candidateList>
      <explain>文本全半角错误。</explain>
      <paraID>48043191</paraID>
      <start>2</start>
      <end>3</end>
      <status>unmodified</status>
      <modifiedWord/>
      <trackRevisions>false</trackRevisions>
    </reviewItem>
    <reviewItem>
      <errorID>6e841770-262d-45dc-a891-55f524b20229</errorID>
      <errorWord>；</errorWord>
      <group>L1_Format</group>
      <groupName>格式问题</groupName>
      <ability>L2_HalfPunc</ability>
      <abilityName>全半角检查</abilityName>
      <candidateList>
        <item>;</item>
      </candidateList>
      <explain>文本全半角错误。</explain>
      <paraID>48043191</paraID>
      <start>38</start>
      <end>39</end>
      <status>unmodified</status>
      <modifiedWord/>
      <trackRevisions>false</trackRevisions>
    </reviewItem>
    <reviewItem>
      <errorID>4c6feca2-31ed-45be-b6f2-501fc090a349</errorID>
      <errorWord>（</errorWord>
      <group>L1_Format</group>
      <groupName>格式问题</groupName>
      <ability>L2_HalfPunc</ability>
      <abilityName>全半角检查</abilityName>
      <candidateList>
        <item>(</item>
      </candidateList>
      <explain>文本全半角错误。</explain>
      <paraID>29889749</paraID>
      <start>0</start>
      <end>1</end>
      <status>unmodified</status>
      <modifiedWord/>
      <trackRevisions>false</trackRevisions>
    </reviewItem>
    <reviewItem>
      <errorID>a0ce8b8c-1b06-4f36-bed6-c1dacd172f3d</errorID>
      <errorWord>）</errorWord>
      <group>L1_Format</group>
      <groupName>格式问题</groupName>
      <ability>L2_HalfPunc</ability>
      <abilityName>全半角检查</abilityName>
      <candidateList>
        <item>)</item>
      </candidateList>
      <explain>文本全半角错误。</explain>
      <paraID>29889749</paraID>
      <start>2</start>
      <end>3</end>
      <status>unmodified</status>
      <modifiedWord/>
      <trackRevisions>false</trackRevisions>
    </reviewItem>
    <reviewItem>
      <errorID>91e7eaae-3db8-4d80-acc0-adf422ba8de0</errorID>
      <errorWord>。</errorWord>
      <group>L1_Format</group>
      <groupName>格式问题</groupName>
      <ability>L2_HalfPunc</ability>
      <abilityName>全半角检查</abilityName>
      <candidateList>
        <item>.</item>
      </candidateList>
      <explain>文本全半角错误。</explain>
      <paraID>29889749</paraID>
      <start>38</start>
      <end>39</end>
      <status>unmodified</status>
      <modifiedWord/>
      <trackRevisions>false</trackRevisions>
    </reviewItem>
    <reviewItem>
      <errorID>8fd01503-bcea-4839-af50-867410bc6687</errorID>
      <errorWord>。</errorWord>
      <group>L1_Punc</group>
      <groupName>标点问题</groupName>
      <ability>L2_Punc</ability>
      <abilityName>标点符号检查</abilityName>
      <candidateList/>
      <explain/>
      <paraID>735116A7</paraID>
      <start>57</start>
      <end>58</end>
      <status>unmodified</status>
      <modifiedWord/>
      <trackRevisions>false</trackRevisions>
    </reviewItem>
    <reviewItem>
      <errorID>3284c1d1-e37a-488c-aaeb-5510fd037592</errorID>
      <errorWord>（</errorWord>
      <group>L1_Format</group>
      <groupName>格式问题</groupName>
      <ability>L2_HalfPunc</ability>
      <abilityName>全半角检查</abilityName>
      <candidateList>
        <item>(</item>
      </candidateList>
      <explain>文本全半角错误。</explain>
      <paraID>4FC32FF3</paraID>
      <start>0</start>
      <end>1</end>
      <status>unmodified</status>
      <modifiedWord/>
      <trackRevisions>false</trackRevisions>
    </reviewItem>
    <reviewItem>
      <errorID>9aa2d069-81b3-4b4b-a37b-01053bc42cac</errorID>
      <errorWord>）</errorWord>
      <group>L1_Format</group>
      <groupName>格式问题</groupName>
      <ability>L2_HalfPunc</ability>
      <abilityName>全半角检查</abilityName>
      <candidateList>
        <item>)</item>
      </candidateList>
      <explain>文本全半角错误。</explain>
      <paraID>4FC32FF3</paraID>
      <start>2</start>
      <end>3</end>
      <status>unmodified</status>
      <modifiedWord/>
      <trackRevisions>false</trackRevisions>
    </reviewItem>
    <reviewItem>
      <errorID>f4fa4ea2-4da7-42aa-bcc3-4388166b82d8</errorID>
      <errorWord>；</errorWord>
      <group>L1_Format</group>
      <groupName>格式问题</groupName>
      <ability>L2_HalfPunc</ability>
      <abilityName>全半角检查</abilityName>
      <candidateList>
        <item>;</item>
      </candidateList>
      <explain>文本全半角错误。</explain>
      <paraID>4FC32FF3</paraID>
      <start>46</start>
      <end>47</end>
      <status>unmodified</status>
      <modifiedWord/>
      <trackRevisions>false</trackRevisions>
    </reviewItem>
    <reviewItem>
      <errorID>c371fd3f-d38d-4616-8498-8ad17050a978</errorID>
      <errorWord>（</errorWord>
      <group>L1_Format</group>
      <groupName>格式问题</groupName>
      <ability>L2_HalfPunc</ability>
      <abilityName>全半角检查</abilityName>
      <candidateList>
        <item>(</item>
      </candidateList>
      <explain>文本全半角错误。</explain>
      <paraID>5AEA05B1</paraID>
      <start>0</start>
      <end>1</end>
      <status>unmodified</status>
      <modifiedWord/>
      <trackRevisions>false</trackRevisions>
    </reviewItem>
    <reviewItem>
      <errorID>90719ff6-4427-4f6a-913d-4637ce73990c</errorID>
      <errorWord>）</errorWord>
      <group>L1_Format</group>
      <groupName>格式问题</groupName>
      <ability>L2_HalfPunc</ability>
      <abilityName>全半角检查</abilityName>
      <candidateList>
        <item>)</item>
      </candidateList>
      <explain>文本全半角错误。</explain>
      <paraID>5AEA05B1</paraID>
      <start>2</start>
      <end>3</end>
      <status>unmodified</status>
      <modifiedWord/>
      <trackRevisions>false</trackRevisions>
    </reviewItem>
    <reviewItem>
      <errorID>90c2e61b-bbda-463d-a028-7448bbc026bd</errorID>
      <errorWord>；</errorWord>
      <group>L1_Format</group>
      <groupName>格式问题</groupName>
      <ability>L2_HalfPunc</ability>
      <abilityName>全半角检查</abilityName>
      <candidateList>
        <item>;</item>
      </candidateList>
      <explain>文本全半角错误。</explain>
      <paraID>5AEA05B1</paraID>
      <start>46</start>
      <end>47</end>
      <status>unmodified</status>
      <modifiedWord/>
      <trackRevisions>false</trackRevisions>
    </reviewItem>
    <reviewItem>
      <errorID>514ea251-e15c-4b8c-b039-f767a6e1d7c3</errorID>
      <errorWord>（</errorWord>
      <group>L1_Format</group>
      <groupName>格式问题</groupName>
      <ability>L2_HalfPunc</ability>
      <abilityName>全半角检查</abilityName>
      <candidateList>
        <item>(</item>
      </candidateList>
      <explain>文本全半角错误。</explain>
      <paraID>46174392</paraID>
      <start>0</start>
      <end>1</end>
      <status>unmodified</status>
      <modifiedWord/>
      <trackRevisions>false</trackRevisions>
    </reviewItem>
    <reviewItem>
      <errorID>1ca711b5-1c9a-451f-8bed-b48d303aec5c</errorID>
      <errorWord>）</errorWord>
      <group>L1_Format</group>
      <groupName>格式问题</groupName>
      <ability>L2_HalfPunc</ability>
      <abilityName>全半角检查</abilityName>
      <candidateList>
        <item>)</item>
      </candidateList>
      <explain>文本全半角错误。</explain>
      <paraID>46174392</paraID>
      <start>2</start>
      <end>3</end>
      <status>unmodified</status>
      <modifiedWord/>
      <trackRevisions>false</trackRevisions>
    </reviewItem>
    <reviewItem>
      <errorID>c6088efe-6a52-4bc4-bb28-7a147cb3f25c</errorID>
      <errorWord>。</errorWord>
      <group>L1_Format</group>
      <groupName>格式问题</groupName>
      <ability>L2_HalfPunc</ability>
      <abilityName>全半角检查</abilityName>
      <candidateList>
        <item>.</item>
      </candidateList>
      <explain>文本全半角错误。</explain>
      <paraID>46174392</paraID>
      <start>46</start>
      <end>47</end>
      <status>unmodified</status>
      <modifiedWord/>
      <trackRevisions>false</trackRevisions>
    </reviewItem>
    <reviewItem>
      <errorID>ba8b7307-9b24-4a16-abc1-4166f10ff67b</errorID>
      <errorWord>变更的</errorWord>
      <group>L1_Word</group>
      <groupName>字词问题</groupName>
      <ability>L2_Typo</ability>
      <abilityName>字词错误</abilityName>
      <candidateList>
        <item>变更</item>
      </candidateList>
      <explain>〈动〉改变；变动：～原定赛程｜修订版的内容有些～。</explain>
      <paraID>34B9F096</paraID>
      <start>2</start>
      <end>5</end>
      <status>unmodified</status>
      <modifiedWord/>
      <trackRevisions>false</trackRevisions>
    </reviewItem>
    <reviewItem>
      <errorID>45a552a2-f2f0-420a-91d2-6c9956b543ca</errorID>
      <errorWord>:</errorWord>
      <group>L1_Format</group>
      <groupName>格式问题</groupName>
      <ability>L2_HalfPunc</ability>
      <abilityName>全半角检查</abilityName>
      <candidateList>
        <item>：</item>
      </candidateList>
      <explain>文本全半角错误。</explain>
      <paraID> 8B56B6F</paraID>
      <start>9</start>
      <end>10</end>
      <status>unmodified</status>
      <modifiedWord/>
      <trackRevisions>false</trackRevisions>
    </reviewItem>
    <reviewItem>
      <errorID>6876d566-9306-4b3a-aace-9ce6adc19804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3D312964</paraID>
      <start>0</start>
      <end>2</end>
      <status>unmodified</status>
      <modifiedWord/>
      <trackRevisions>false</trackRevisions>
    </reviewItem>
    <reviewItem>
      <errorID>55f9bc87-8355-4ab7-9c8a-4fa3f3892bc3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543CD2DC</paraID>
      <start>0</start>
      <end>2</end>
      <status>unmodified</status>
      <modifiedWord/>
      <trackRevisions>false</trackRevisions>
    </reviewItem>
    <reviewItem>
      <errorID>f74b1b3e-630e-442f-8029-292c72be6487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25DBAEC0</paraID>
      <start>0</start>
      <end>2</end>
      <status>unmodified</status>
      <modifiedWord/>
      <trackRevisions>false</trackRevisions>
    </reviewItem>
    <reviewItem>
      <errorID>aa921fb4-5131-4738-89ea-71372a9dc82d</errorID>
      <errorWord>:</errorWord>
      <group>L1_Format</group>
      <groupName>格式问题</groupName>
      <ability>L2_HalfPunc</ability>
      <abilityName>全半角检查</abilityName>
      <candidateList>
        <item>：</item>
      </candidateList>
      <explain>文本全半角错误。</explain>
      <paraID>1020A16F</paraID>
      <start>7</start>
      <end>8</end>
      <status>unmodified</status>
      <modifiedWord/>
      <trackRevisions>false</trackRevisions>
    </reviewItem>
    <reviewItem>
      <errorID>b66df427-0eb5-46b9-8b2a-d51042b7d421</errorID>
      <errorWord>:</errorWord>
      <group>L1_Format</group>
      <groupName>格式问题</groupName>
      <ability>L2_HalfPunc</ability>
      <abilityName>全半角检查</abilityName>
      <candidateList>
        <item>：</item>
      </candidateList>
      <explain>文本全半角错误。</explain>
      <paraID>4893E6F7</paraID>
      <start>9</start>
      <end>10</end>
      <status>unmodified</status>
      <modifiedWord/>
      <trackRevisions>false</trackRevisions>
    </reviewItem>
    <reviewItem>
      <errorID>0875cbbf-fd13-4e31-ad9c-08b9e6e88f10</errorID>
      <errorWord>。</errorWord>
      <group>L1_Punc</group>
      <groupName>标点问题</groupName>
      <ability>L2_Punc</ability>
      <abilityName>标点符号检查</abilityName>
      <candidateList/>
      <explain/>
      <paraID>43EFD4FC</paraID>
      <start>57</start>
      <end>58</end>
      <status>unmodified</status>
      <modifiedWord/>
      <trackRevisions>false</trackRevisions>
    </reviewItem>
    <reviewItem>
      <errorID>7ef55eeb-f593-4785-b4e5-956439b499ae</errorID>
      <errorWord>(</errorWord>
      <group>L1_Format</group>
      <groupName>格式问题</groupName>
      <ability>L2_HalfPunc</ability>
      <abilityName>全半角检查</abilityName>
      <candidateList>
        <item>（</item>
      </candidateList>
      <explain>文本全半角错误。</explain>
      <paraID>4312568B</paraID>
      <start>3</start>
      <end>4</end>
      <status>unmodified</status>
      <modifiedWord/>
      <trackRevisions>false</trackRevisions>
    </reviewItem>
    <reviewItem>
      <errorID>7417f166-a07e-4958-890b-f603057bf7d2</errorID>
      <errorWord>)</errorWord>
      <group>L1_Format</group>
      <groupName>格式问题</groupName>
      <ability>L2_HalfPunc</ability>
      <abilityName>全半角检查</abilityName>
      <candidateList>
        <item>）</item>
      </candidateList>
      <explain>文本全半角错误。</explain>
      <paraID>4312568B</paraID>
      <start>6</start>
      <end>7</end>
      <status>unmodified</status>
      <modifiedWord/>
      <trackRevisions>false</trackRevisions>
    </reviewItem>
    <reviewItem>
      <errorID>76efd67c-8177-4427-a40c-43257ebe9ae7</errorID>
      <errorWord>(</errorWord>
      <group>L1_Format</group>
      <groupName>格式问题</groupName>
      <ability>L2_HalfPunc</ability>
      <abilityName>全半角检查</abilityName>
      <candidateList>
        <item>（</item>
      </candidateList>
      <explain>文本全半角错误。</explain>
      <paraID>555306FF</paraID>
      <start>3</start>
      <end>4</end>
      <status>unmodified</status>
      <modifiedWord/>
      <trackRevisions>false</trackRevisions>
    </reviewItem>
    <reviewItem>
      <errorID>b6734381-38dc-462b-8fb9-ae8c549a3a21</errorID>
      <errorWord>)</errorWord>
      <group>L1_Format</group>
      <groupName>格式问题</groupName>
      <ability>L2_HalfPunc</ability>
      <abilityName>全半角检查</abilityName>
      <candidateList>
        <item>）</item>
      </candidateList>
      <explain>文本全半角错误。</explain>
      <paraID>555306FF</paraID>
      <start>6</start>
      <end>7</end>
      <status>unmodified</status>
      <modifiedWord/>
      <trackRevisions>false</trackRevisions>
    </reviewItem>
    <reviewItem>
      <errorID>71c13e26-7aea-45ac-9f55-ced88819a19f</errorID>
      <errorWord>(</errorWord>
      <group>L1_Format</group>
      <groupName>格式问题</groupName>
      <ability>L2_HalfPunc</ability>
      <abilityName>全半角检查</abilityName>
      <candidateList>
        <item>（</item>
      </candidateList>
      <explain>文本全半角错误。</explain>
      <paraID>53E77FDC</paraID>
      <start>9</start>
      <end>10</end>
      <status>unmodified</status>
      <modifiedWord/>
      <trackRevisions>false</trackRevisions>
    </reviewItem>
    <reviewItem>
      <errorID>9350819d-e83d-4e52-929e-f67e27f31725</errorID>
      <errorWord>)</errorWord>
      <group>L1_Format</group>
      <groupName>格式问题</groupName>
      <ability>L2_HalfPunc</ability>
      <abilityName>全半角检查</abilityName>
      <candidateList>
        <item>）</item>
      </candidateList>
      <explain>文本全半角错误。</explain>
      <paraID>53E77FDC</paraID>
      <start>14</start>
      <end>15</end>
      <status>unmodified</status>
      <modifiedWord/>
      <trackRevisions>false</trackRevisions>
    </reviewItem>
    <reviewItem>
      <errorID>2c2cedad-a044-4508-bc18-77372da48fd6</errorID>
      <errorWord>人</errorWord>
      <group>L1_Word</group>
      <groupName>字词问题</groupName>
      <ability>L2_Typo</ability>
      <abilityName>字词错误</abilityName>
      <candidateList>
        <item>人与</item>
      </candidateList>
      <explain/>
      <paraID>53E77FDC</paraID>
      <start>30</start>
      <end>31</end>
      <status>unmodified</status>
      <modifiedWord/>
      <trackRevisions>false</trackRevisions>
    </reviewItem>
    <reviewItem>
      <errorID>ca5afa55-374b-4b2b-aabf-73ee7875280e</errorID>
      <errorWord>法律、法规</errorWord>
      <group>L1_Word</group>
      <groupName>字词问题</groupName>
      <ability>L2_Typo</ability>
      <abilityName>字词错误</abilityName>
      <candidateList>
        <item>法律法规</item>
      </candidateList>
      <explain/>
      <paraID> 85EACDF</paraID>
      <start>15</start>
      <end>20</end>
      <status>unmodified</status>
      <modifiedWord/>
      <trackRevisions>false</trackRevisions>
    </reviewItem>
    <reviewItem>
      <errorID>f610d347-0b95-46b4-8b42-d9736d8a3338</errorID>
      <errorWord>;</errorWord>
      <group>L1_Format</group>
      <groupName>格式问题</groupName>
      <ability>L2_HalfPunc</ability>
      <abilityName>全半角检查</abilityName>
      <candidateList>
        <item>；</item>
      </candidateList>
      <explain>文本全半角错误。</explain>
      <paraID>7143BEEF</paraID>
      <start>30</start>
      <end>31</end>
      <status>unmodified</status>
      <modifiedWord/>
      <trackRevisions>false</trackRevisions>
    </reviewItem>
    <reviewItem>
      <errorID>74a90f60-6dce-4579-acf7-a3c6518c5c10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127D2DD0</paraID>
      <start>0</start>
      <end>2</end>
      <status>unmodified</status>
      <modifiedWord/>
      <trackRevisions>false</trackRevisions>
    </reviewItem>
    <reviewItem>
      <errorID>f8780d1c-306b-4e38-a7ca-8042fd1e05ee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1ED8E95D</paraID>
      <start>0</start>
      <end>2</end>
      <status>unmodified</status>
      <modifiedWord/>
      <trackRevisions>false</trackRevisions>
    </reviewItem>
    <reviewItem>
      <errorID>b13545b3-966e-45b2-8aa2-37c12134a453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7D6CABEA</paraID>
      <start>0</start>
      <end>2</end>
      <status>unmodified</status>
      <modifiedWord/>
      <trackRevisions>false</trackRevisions>
    </reviewItem>
    <reviewItem>
      <errorID>20e29f48-5c6c-476b-80a4-69d7ac4aa32d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11D03C6B</paraID>
      <start>0</start>
      <end>2</end>
      <status>unmodified</status>
      <modifiedWord/>
      <trackRevisions>false</trackRevisions>
    </reviewItem>
    <reviewItem>
      <errorID>9d96c5b6-5137-4483-865d-4dac8f786549</errorID>
      <errorWord>扣出</errorWord>
      <group>L1_Word</group>
      <groupName>字词问题</groupName>
      <ability>L2_Typo</ability>
      <abilityName>字词错误</abilityName>
      <candidateList>
        <item>扣除</item>
      </candidateList>
      <explain/>
      <paraID> C41B329</paraID>
      <start>8</start>
      <end>10</end>
      <status>unmodified</status>
      <modifiedWord/>
      <trackRevisions>false</trackRevisions>
    </reviewItem>
    <reviewItem>
      <errorID>e4346cbb-8f58-4801-b2cc-b090dfa0d24a</errorID>
      <errorWord>保修</errorWord>
      <group>L1_Word</group>
      <groupName>字词问题</groupName>
      <ability>L2_Typo</ability>
      <abilityName>字词错误</abilityName>
      <candidateList>
        <item>报修</item>
      </candidateList>
      <explain/>
      <paraID> C41B329</paraID>
      <start>72</start>
      <end>74</end>
      <status>unmodified</status>
      <modifiedWord/>
      <trackRevisions>false</trackRevisions>
    </reviewItem>
    <reviewItem>
      <errorID>b623ee94-8733-4b56-a2bd-5e06528357c9</errorID>
      <errorWord>扣出</errorWord>
      <group>L1_Word</group>
      <groupName>字词问题</groupName>
      <ability>L2_Typo</ability>
      <abilityName>字词错误</abilityName>
      <candidateList>
        <item>扣除</item>
      </candidateList>
      <explain/>
      <paraID> C41B329</paraID>
      <start>131</start>
      <end>133</end>
      <status>unmodified</status>
      <modifiedWord/>
      <trackRevisions>false</trackRevisions>
    </reviewItem>
    <reviewItem>
      <errorID>350562e4-b3e0-448b-b834-9f2996274f40</errorID>
      <errorWord>人</errorWord>
      <group>L1_Word</group>
      <groupName>字词问题</groupName>
      <ability>L2_Typo</ability>
      <abilityName>字词错误</abilityName>
      <candidateList>
        <item>人和</item>
      </candidateList>
      <explain/>
      <paraID> 5F6FB7F</paraID>
      <start>24</start>
      <end>25</end>
      <status>unmodified</status>
      <modifiedWord/>
      <trackRevisions>false</trackRevisions>
    </reviewItem>
    <reviewItem>
      <errorID>ad2f9db7-a060-408b-aecf-ce04dc6a1057</errorID>
      <errorWord>(</errorWord>
      <group>L1_Format</group>
      <groupName>格式问题</groupName>
      <ability>L2_HalfPunc</ability>
      <abilityName>全半角检查</abilityName>
      <candidateList>
        <item>（</item>
      </candidateList>
      <explain>文本全半角错误。</explain>
      <paraID>3E424419</paraID>
      <start>7</start>
      <end>8</end>
      <status>unmodified</status>
      <modifiedWord/>
      <trackRevisions>false</trackRevisions>
    </reviewItem>
    <reviewItem>
      <errorID>75b9cdc1-ec8e-4387-b4d5-f8a7165c5a04</errorID>
      <errorWord>)</errorWord>
      <group>L1_Format</group>
      <groupName>格式问题</groupName>
      <ability>L2_HalfPunc</ability>
      <abilityName>全半角检查</abilityName>
      <candidateList>
        <item>）</item>
      </candidateList>
      <explain>文本全半角错误。</explain>
      <paraID>3E424419</paraID>
      <start>10</start>
      <end>11</end>
      <status>unmodified</status>
      <modifiedWord/>
      <trackRevisions>false</trackRevisions>
    </reviewItem>
    <reviewItem>
      <errorID>6754b632-4baf-4de0-b622-eeea9ebd3d01</errorID>
      <errorWord>(</errorWord>
      <group>L1_Format</group>
      <groupName>格式问题</groupName>
      <ability>L2_HalfPunc</ability>
      <abilityName>全半角检查</abilityName>
      <candidateList>
        <item>（</item>
      </candidateList>
      <explain>文本全半角错误。</explain>
      <paraID>3E424419</paraID>
      <start>22</start>
      <end>23</end>
      <status>unmodified</status>
      <modifiedWord/>
      <trackRevisions>false</trackRevisions>
    </reviewItem>
    <reviewItem>
      <errorID>9305a3f6-c2c8-473d-9b18-6f211c17d764</errorID>
      <errorWord>)</errorWord>
      <group>L1_Format</group>
      <groupName>格式问题</groupName>
      <ability>L2_HalfPunc</ability>
      <abilityName>全半角检查</abilityName>
      <candidateList>
        <item>）</item>
      </candidateList>
      <explain>文本全半角错误。</explain>
      <paraID>3E424419</paraID>
      <start>25</start>
      <end>26</end>
      <status>unmodified</status>
      <modifiedWord/>
      <trackRevisions>false</trackRevisions>
    </reviewItem>
    <reviewItem>
      <errorID>d8e93191-6613-44cf-ab2c-2f7c08d187cc</errorID>
      <errorWord>(</errorWord>
      <group>L1_Format</group>
      <groupName>格式问题</groupName>
      <ability>L2_HalfPunc</ability>
      <abilityName>全半角检查</abilityName>
      <candidateList>
        <item>（</item>
      </candidateList>
      <explain>文本全半角错误。</explain>
      <paraID>283FBC9E</paraID>
      <start>5</start>
      <end>6</end>
      <status>unmodified</status>
      <modifiedWord/>
      <trackRevisions>false</trackRevisions>
    </reviewItem>
    <reviewItem>
      <errorID>f513de94-9867-4143-b0cd-f8cf6aaf8cdc</errorID>
      <errorWord>)</errorWord>
      <group>L1_Format</group>
      <groupName>格式问题</groupName>
      <ability>L2_HalfPunc</ability>
      <abilityName>全半角检查</abilityName>
      <candidateList>
        <item>）</item>
      </candidateList>
      <explain>文本全半角错误。</explain>
      <paraID>283FBC9E</paraID>
      <start>8</start>
      <end>9</end>
      <status>unmodified</status>
      <modifiedWord/>
      <trackRevisions>false</trackRevisions>
    </reviewItem>
    <reviewItem>
      <errorID>4adc7f1a-8fb9-4894-b080-8395536772d6</errorID>
      <errorWord>(</errorWord>
      <group>L1_Format</group>
      <groupName>格式问题</groupName>
      <ability>L2_HalfPunc</ability>
      <abilityName>全半角检查</abilityName>
      <candidateList>
        <item>（</item>
      </candidateList>
      <explain>文本全半角错误。</explain>
      <paraID>283FBC9E</paraID>
      <start>18</start>
      <end>19</end>
      <status>unmodified</status>
      <modifiedWord/>
      <trackRevisions>false</trackRevisions>
    </reviewItem>
    <reviewItem>
      <errorID>ccb22d1a-7bae-461f-b59d-412b5b2f9b35</errorID>
      <errorWord>)</errorWord>
      <group>L1_Format</group>
      <groupName>格式问题</groupName>
      <ability>L2_HalfPunc</ability>
      <abilityName>全半角检查</abilityName>
      <candidateList>
        <item>）</item>
      </candidateList>
      <explain>文本全半角错误。</explain>
      <paraID>283FBC9E</paraID>
      <start>21</start>
      <end>22</end>
      <status>unmodified</status>
      <modifiedWord/>
      <trackRevisions>false</trackRevisions>
    </reviewItem>
    <reviewItem>
      <errorID>c9aac6c6-8145-4e8d-adf8-2669159aa9dc</errorID>
      <errorWord>法律、法规</errorWord>
      <group>L1_Word</group>
      <groupName>字词问题</groupName>
      <ability>L2_Typo</ability>
      <abilityName>字词错误</abilityName>
      <candidateList>
        <item>法律法规</item>
      </candidateList>
      <explain/>
      <paraID> A504C1A</paraID>
      <start>43</start>
      <end>48</end>
      <status>unmodified</status>
      <modifiedWord/>
      <trackRevisions>false</trackRevisions>
    </reviewItem>
    <reviewItem>
      <errorID>7e29e6b1-c9a2-44a3-a817-727ef3f4520c</errorID>
      <errorWord>包括了</errorWord>
      <group>L1_Word</group>
      <groupName>字词问题</groupName>
      <ability>L2_Typo</ability>
      <abilityName>字词错误</abilityName>
      <candidateList>
        <item>包括</item>
      </candidateList>
      <explain/>
      <paraID> 9A1B297</paraID>
      <start>37</start>
      <end>40</end>
      <status>unmodified</status>
      <modifiedWord/>
      <trackRevisions>false</trackRevisions>
    </reviewItem>
    <reviewItem>
      <errorID>210fd3b0-fab4-4762-8e37-d01cc57b84a7</errorID>
      <errorWord>(</errorWord>
      <group>L1_Format</group>
      <groupName>格式问题</groupName>
      <ability>L2_HalfPunc</ability>
      <abilityName>全半角检查</abilityName>
      <candidateList>
        <item>（</item>
      </candidateList>
      <explain>文本全半角错误。</explain>
      <paraID>145E804C</paraID>
      <start>10</start>
      <end>11</end>
      <status>unmodified</status>
      <modifiedWord/>
      <trackRevisions>false</trackRevisions>
    </reviewItem>
    <reviewItem>
      <errorID>0a796e18-f902-4072-a994-1cafd99952e2</errorID>
      <errorWord>)</errorWord>
      <group>L1_Format</group>
      <groupName>格式问题</groupName>
      <ability>L2_HalfPunc</ability>
      <abilityName>全半角检查</abilityName>
      <candidateList>
        <item>）</item>
      </candidateList>
      <explain>文本全半角错误。</explain>
      <paraID>145E804C</paraID>
      <start>19</start>
      <end>20</end>
      <status>unmodified</status>
      <modifiedWord/>
      <trackRevisions>false</trackRevisions>
    </reviewItem>
    <reviewItem>
      <errorID>d3bd68cb-a532-40ce-a75f-b17964040678</errorID>
      <errorWord>(</errorWord>
      <group>L1_Format</group>
      <groupName>格式问题</groupName>
      <ability>L2_HalfPunc</ability>
      <abilityName>全半角检查</abilityName>
      <candidateList>
        <item>（</item>
      </candidateList>
      <explain>文本全半角错误。</explain>
      <paraID>28A325DF</paraID>
      <start>4</start>
      <end>5</end>
      <status>unmodified</status>
      <modifiedWord/>
      <trackRevisions>false</trackRevisions>
    </reviewItem>
    <reviewItem>
      <errorID>93c09581-363d-4447-81ac-3c573141cffc</errorID>
      <errorWord>)</errorWord>
      <group>L1_Format</group>
      <groupName>格式问题</groupName>
      <ability>L2_HalfPunc</ability>
      <abilityName>全半角检查</abilityName>
      <candidateList>
        <item>）</item>
      </candidateList>
      <explain>文本全半角错误。</explain>
      <paraID>28A325DF</paraID>
      <start>6</start>
      <end>7</end>
      <status>unmodified</status>
      <modifiedWord/>
      <trackRevisions>false</trackRevisions>
    </reviewItem>
    <reviewItem>
      <errorID>60e701c1-324c-4a19-8f02-ff4ff48f6419</errorID>
      <errorWord>股东大会</errorWord>
      <group>L1_Word</group>
      <groupName>字词问题</groupName>
      <ability>L2_Typo</ability>
      <abilityName>字词错误</abilityName>
      <candidateList>
        <item>股东会</item>
      </candidateList>
      <explain/>
      <paraID>54888281</paraID>
      <start>113</start>
      <end>117</end>
      <status>unmodified</status>
      <modifiedWord/>
      <trackRevisions>false</trackRevisions>
    </reviewItem>
    <reviewItem>
      <errorID>46ad08f9-e700-4bb6-b412-2ca13824b326</errorID>
      <errorWord>管理监督局</errorWord>
      <group>L1_Word</group>
      <groupName>字词问题</groupName>
      <ability>L2_Typo</ability>
      <abilityName>字词错误</abilityName>
      <candidateList>
        <item>监督管理局</item>
      </candidateList>
      <explain/>
      <paraID>30DAC64D</paraID>
      <start>6</start>
      <end>11</end>
      <status>unmodified</status>
      <modifiedWord/>
      <trackRevisions>false</trackRevisions>
    </reviewItem>
    <reviewItem>
      <errorID>5d1bbcfd-5c9a-4b74-a057-603e0ad0dfeb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2D48C285</paraID>
      <start>0</start>
      <end>2</end>
      <status>unmodified</status>
      <modifiedWord/>
      <trackRevisions>false</trackRevisions>
    </reviewItem>
    <reviewItem>
      <errorID>0151b38b-2794-449b-88a3-5148e2c0f8e5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1FE35440</paraID>
      <start>0</start>
      <end>2</end>
      <status>unmodified</status>
      <modifiedWord/>
      <trackRevisions>false</trackRevisions>
    </reviewItem>
    <reviewItem>
      <errorID>c8bfc082-fb8a-413d-8ad3-049325bf4f78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11F36AAF</paraID>
      <start>0</start>
      <end>2</end>
      <status>unmodified</status>
      <modifiedWord/>
      <trackRevisions>false</trackRevisions>
    </reviewItem>
    <reviewItem>
      <errorID>414b3b7b-001a-46df-a8f0-95d0a53ef319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729BF8AD</paraID>
      <start>0</start>
      <end>2</end>
      <status>unmodified</status>
      <modifiedWord/>
      <trackRevisions>false</trackRevisions>
    </reviewItem>
    <reviewItem>
      <errorID>3e46597a-2ba8-4c45-ba70-2ad32f6f466f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6B3963D3</paraID>
      <start>0</start>
      <end>2</end>
      <status>unmodified</status>
      <modifiedWord/>
      <trackRevisions>false</trackRevisions>
    </reviewItem>
    <reviewItem>
      <errorID>3587b538-90c3-4448-8d14-ee8b29029ffa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5E591F9</paraID>
      <start>0</start>
      <end>2</end>
      <status>unmodified</status>
      <modifiedWord/>
      <trackRevisions>false</trackRevisions>
    </reviewItem>
    <reviewItem>
      <errorID>3ded29a4-ce3f-44d3-a640-1a4ece5e3d49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1E554684</paraID>
      <start>0</start>
      <end>2</end>
      <status>unmodified</status>
      <modifiedWord/>
      <trackRevisions>false</trackRevisions>
    </reviewItem>
    <reviewItem>
      <errorID>48d39dee-c321-48a4-9ec5-1031d156cb4d</errorID>
      <errorWord>其它</errorWord>
      <group>L1_Word</group>
      <groupName>字词问题</groupName>
      <ability>L2_Alias</ability>
      <abilityName>也作/曾用词</abilityName>
      <candidateList>
        <item>其他</item>
      </candidateList>
      <explain>词汇[其它]为不规范表述或旧称，其规范书面表述为[其他]。</explain>
      <paraID>1488D45C</paraID>
      <start>6</start>
      <end>8</end>
      <status>unmodified</status>
      <modifiedWord/>
      <trackRevisions>false</trackRevisions>
    </reviewItem>
    <reviewItem>
      <errorID>857e14f6-c138-4e21-a711-09affdf7e57c</errorID>
      <errorWord>或其它设施</errorWord>
      <group>L1_Word</group>
      <groupName>字词问题</groupName>
      <ability>L2_Alias</ability>
      <abilityName>也作/曾用词</abilityName>
      <candidateList>
        <item>或其他设施</item>
      </candidateList>
      <explain>词汇[或其它设施]为不规范表述或旧称，其规范书面表述为[或其他设施]。</explain>
      <paraID>60FC2479</paraID>
      <start>7</start>
      <end>12</end>
      <status>unmodified</status>
      <modifiedWord/>
      <trackRevisions>false</trackRevisions>
    </reviewItem>
    <reviewItem>
      <errorID>aff6ea54-0d60-4c4c-b0e4-fcc6997cdffd</errorID>
      <errorWord>或其它设施</errorWord>
      <group>L1_Word</group>
      <groupName>字词问题</groupName>
      <ability>L2_Alias</ability>
      <abilityName>也作/曾用词</abilityName>
      <candidateList>
        <item>或其他设施</item>
      </candidateList>
      <explain>词汇[或其它设施]为不规范表述或旧称，其规范书面表述为[或其他设施]。</explain>
      <paraID>1EC2B983</paraID>
      <start>9</start>
      <end>14</end>
      <status>unmodified</status>
      <modifiedWord/>
      <trackRevisions>false</trackRevisions>
    </reviewItem>
    <reviewItem>
      <errorID>d5d0f0e5-d0b8-4b02-98c7-c2d9542e915f</errorID>
      <errorWord>其它形式的</errorWord>
      <group>L1_Word</group>
      <groupName>字词问题</groupName>
      <ability>L2_Alias</ability>
      <abilityName>也作/曾用词</abilityName>
      <candidateList>
        <item>其他形式的</item>
      </candidateList>
      <explain>词汇[其它形式的]为不规范表述或旧称，其规范书面表述为[其他形式的]。</explain>
      <paraID>1EC2B983</paraID>
      <start>28</start>
      <end>33</end>
      <status>unmodified</status>
      <modifiedWord/>
      <trackRevisions>false</trackRevisions>
    </reviewItem>
    <reviewItem>
      <errorID>b6dbf3ff-57e4-4b18-8b07-b0d56433ca06</errorID>
      <errorWord>其它</errorWord>
      <group>L1_Word</group>
      <groupName>字词问题</groupName>
      <ability>L2_Alias</ability>
      <abilityName>也作/曾用词</abilityName>
      <candidateList>
        <item>其他</item>
      </candidateList>
      <explain>词汇[其它]为不规范表述或旧称，其规范书面表述为[其他]。</explain>
      <paraID>3D0D2427</paraID>
      <start>0</start>
      <end>2</end>
      <status>unmodified</status>
      <modifiedWord/>
      <trackRevisions>false</trackRevisions>
    </reviewItem>
    <reviewItem>
      <errorID>46e3d638-cc69-4b10-a745-e07e85ab4cb8</errorID>
      <errorWord>管理监督局</errorWord>
      <group>L1_Word</group>
      <groupName>字词问题</groupName>
      <ability>L2_Typo</ability>
      <abilityName>字词错误</abilityName>
      <candidateList>
        <item>监督管理局</item>
      </candidateList>
      <explain/>
      <paraID>7F9C55C4</paraID>
      <start>7</start>
      <end>12</end>
      <status>unmodified</status>
      <modifiedWord/>
      <trackRevisions>false</trackRevisions>
    </reviewItem>
    <reviewItem>
      <errorID>a3c522c6-8796-4b61-ac08-593e422f170c</errorID>
      <errorWord>......</errorWord>
      <group>L1_Punc</group>
      <groupName>标点问题</groupName>
      <ability>L2_Punc</ability>
      <abilityName>标点符号检查</abilityName>
      <candidateList>
        <item>……</item>
      </candidateList>
      <explain/>
      <paraID>435FAA86</paraID>
      <start>0</start>
      <end>6</end>
      <status>unmodified</status>
      <modifiedWord/>
      <trackRevisions>false</trackRevisions>
    </reviewItem>
    <reviewItem>
      <errorID>201ac019-c211-47a2-bad2-725452df3fa4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6AFDD918</paraID>
      <start>36</start>
      <end>39</end>
      <status>unmodified</status>
      <modifiedWord/>
      <trackRevisions>false</trackRevisions>
    </reviewItem>
    <reviewItem>
      <errorID>411eb4d6-c33d-4814-a4db-0e16074a59f2</errorID>
      <errorWord>,</errorWord>
      <group>L1_Format</group>
      <groupName>格式问题</groupName>
      <ability>L2_HalfPunc</ability>
      <abilityName>全半角检查</abilityName>
      <candidateList>
        <item>，</item>
      </candidateList>
      <explain>文本全半角错误。</explain>
      <paraID>6FE95E14</paraID>
      <start>61</start>
      <end>62</end>
      <status>unmodified</status>
      <modifiedWord/>
      <trackRevisions>false</trackRevisions>
    </reviewItem>
    <reviewItem>
      <errorID>a178d675-594b-4734-8dbb-df403d6607ac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2C1BB2C0</paraID>
      <start>37</start>
      <end>40</end>
      <status>unmodified</status>
      <modifiedWord/>
      <trackRevisions>false</trackRevisions>
    </reviewItem>
    <reviewItem>
      <errorID>cee3b1ee-d2ea-4dd0-a97a-d55e384ffec0</errorID>
      <errorWord>......</errorWord>
      <group>L1_Punc</group>
      <groupName>标点问题</groupName>
      <ability>L2_Punc</ability>
      <abilityName>标点符号检查</abilityName>
      <candidateList>
        <item>……</item>
      </candidateList>
      <explain/>
      <paraID>1814DE55</paraID>
      <start>0</start>
      <end>6</end>
      <status>unmodified</status>
      <modifiedWord/>
      <trackRevisions>false</trackRevisions>
    </reviewItem>
    <reviewItem>
      <errorID>130c6c40-1ca5-4004-8957-ebf41fedf13f</errorID>
      <errorWord>(</errorWord>
      <group>L1_Format</group>
      <groupName>格式问题</groupName>
      <ability>L2_HalfPunc</ability>
      <abilityName>全半角检查</abilityName>
      <candidateList>
        <item>（</item>
      </candidateList>
      <explain>文本全半角错误。</explain>
      <paraID>76615E03</paraID>
      <start>4</start>
      <end>5</end>
      <status>unmodified</status>
      <modifiedWord/>
      <trackRevisions>false</trackRevisions>
    </reviewItem>
    <reviewItem>
      <errorID>01972549-4b52-4e3a-8047-5f1ff29f2e57</errorID>
      <errorWord>)</errorWord>
      <group>L1_Format</group>
      <groupName>格式问题</groupName>
      <ability>L2_HalfPunc</ability>
      <abilityName>全半角检查</abilityName>
      <candidateList>
        <item>）</item>
      </candidateList>
      <explain>文本全半角错误。</explain>
      <paraID>76615E03</paraID>
      <start>7</start>
      <end>8</end>
      <status>unmodified</status>
      <modifiedWord/>
      <trackRevisions>false</trackRevisions>
    </reviewItem>
    <reviewItem>
      <errorID>08fca376-4405-4699-af66-f635ce3afa2b</errorID>
      <errorWord>〔2017〕 141号</errorWord>
      <group>L1_Knowledge</group>
      <groupName>知识性问题</groupName>
      <ability>L2_Knowledge</ability>
      <abilityName>其他知识</abilityName>
      <candidateList>
        <item>〔2017〕141号</item>
      </candidateList>
      <explain>发文字号格式错误。</explain>
      <paraID> 8E1FD44</paraID>
      <start>49</start>
      <end>60</end>
      <status>unmodified</status>
      <modifiedWord/>
      <trackRevisions>false</trackRevisions>
    </reviewItem>
    <reviewItem>
      <errorID>78f9007d-c87a-41f5-a6dc-6be84b26cbaa</errorID>
      <errorWord>提出质疑</errorWord>
      <group>L1_Grammar</group>
      <groupName>语法问题</groupName>
      <ability>L2_Grammar</ability>
      <abilityName>语法错误</abilityName>
      <candidateList>
        <item>质疑</item>
      </candidateList>
      <explain>〈动〉提出疑问：～问难。</explain>
      <paraID>7F2A9203</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b0dda4-6be0-40c8-8eb4-378e28a249dd}">
  <ds:schemaRefs/>
</ds:datastoreItem>
</file>

<file path=docProps/app.xml><?xml version="1.0" encoding="utf-8"?>
<Properties xmlns="http://schemas.openxmlformats.org/officeDocument/2006/extended-properties" xmlns:vt="http://schemas.openxmlformats.org/officeDocument/2006/docPropsVTypes">
  <Template>Nor</Template>
  <Pages>118</Pages>
  <Words>7275</Words>
  <Characters>7903</Characters>
  <TotalTime>28</TotalTime>
  <ScaleCrop>false</ScaleCrop>
  <LinksUpToDate>false</LinksUpToDate>
  <CharactersWithSpaces>7991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2025-09-01T07:46:00Z</dcterms:created>
  <dc:creator>番茄</dc:creator>
  <cp:lastModifiedBy>AUV</cp:lastModifiedBy>
  <dcterms:modified xsi:type="dcterms:W3CDTF">2026-04-08T03:17:10Z</dcterms:modified>
  <dc:title>公开招标采</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eyJoZGlkIjoiMDUzZDAyOWM5MzNlY2I4YmY0YTYwN2UzYTI0MzgzMTkiLCJ1c2VySWQiOiIzODM0MjA1OTEifQ==</vt:lpwstr>
  </property>
  <property fmtid="{D5CDD505-2E9C-101B-9397-08002B2CF9AE}" pid="3" name="KSOProductBuildVer">
    <vt:lpwstr>2052-12.1.0.24034</vt:lpwstr>
  </property>
  <property fmtid="{D5CDD505-2E9C-101B-9397-08002B2CF9AE}" pid="4" name="ICV">
    <vt:lpwstr>3994DD0FA70D435B9CC1B082D0E63464_13</vt:lpwstr>
  </property>
</Properties>
</file>