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1430B7">
      <w:pPr>
        <w:spacing w:line="579" w:lineRule="exact"/>
        <w:rPr>
          <w:rFonts w:hint="default" w:ascii="楷体" w:hAnsi="楷体" w:eastAsia="楷体" w:cs="楷体"/>
          <w:color w:val="auto"/>
          <w:sz w:val="32"/>
          <w:szCs w:val="32"/>
          <w:highlight w:val="none"/>
          <w:lang w:val="en-US" w:eastAsia="zh-CN" w:bidi="ar"/>
        </w:rPr>
      </w:pPr>
      <w:r>
        <w:rPr>
          <w:rFonts w:hint="eastAsia" w:ascii="楷体" w:hAnsi="楷体" w:eastAsia="楷体" w:cs="楷体"/>
          <w:color w:val="auto"/>
          <w:sz w:val="32"/>
          <w:szCs w:val="32"/>
          <w:highlight w:val="none"/>
          <w:lang w:val="en-US" w:eastAsia="zh-CN" w:bidi="ar"/>
        </w:rPr>
        <w:t>招标文件</w:t>
      </w:r>
      <w:r>
        <w:rPr>
          <w:rFonts w:hint="eastAsia" w:ascii="楷体" w:hAnsi="楷体" w:eastAsia="楷体" w:cs="楷体"/>
          <w:color w:val="auto"/>
          <w:sz w:val="32"/>
          <w:szCs w:val="32"/>
          <w:highlight w:val="none"/>
          <w:lang w:eastAsia="zh-CN" w:bidi="ar"/>
        </w:rPr>
        <w:t>附件</w:t>
      </w:r>
      <w:r>
        <w:rPr>
          <w:rFonts w:hint="eastAsia" w:ascii="楷体" w:hAnsi="楷体" w:eastAsia="楷体" w:cs="楷体"/>
          <w:color w:val="auto"/>
          <w:sz w:val="32"/>
          <w:szCs w:val="32"/>
          <w:highlight w:val="none"/>
          <w:lang w:val="en-US" w:eastAsia="zh-CN" w:bidi="ar"/>
        </w:rPr>
        <w:t>二：</w:t>
      </w:r>
    </w:p>
    <w:p w14:paraId="224AD241">
      <w:pPr>
        <w:spacing w:line="360" w:lineRule="auto"/>
        <w:jc w:val="center"/>
        <w:rPr>
          <w:rFonts w:hint="eastAsia" w:ascii="仿宋_GB2312" w:hAnsi="仿宋_GB2312" w:eastAsia="仿宋_GB2312" w:cs="仿宋_GB2312"/>
          <w:b/>
          <w:bCs/>
          <w:color w:val="auto"/>
          <w:sz w:val="44"/>
          <w:szCs w:val="44"/>
          <w:highlight w:val="none"/>
          <w:lang w:eastAsia="zh-CN"/>
        </w:rPr>
      </w:pPr>
    </w:p>
    <w:p w14:paraId="3697E7B8">
      <w:pPr>
        <w:spacing w:line="360" w:lineRule="auto"/>
        <w:jc w:val="center"/>
        <w:rPr>
          <w:rFonts w:hint="eastAsia" w:ascii="方正小标宋简体" w:hAnsi="方正小标宋简体" w:eastAsia="方正小标宋简体" w:cs="方正小标宋简体"/>
          <w:b w:val="0"/>
          <w:bCs w:val="0"/>
          <w:color w:val="auto"/>
          <w:sz w:val="44"/>
          <w:szCs w:val="44"/>
          <w:highlight w:val="none"/>
          <w:lang w:eastAsia="zh-CN"/>
        </w:rPr>
      </w:pPr>
      <w:r>
        <w:rPr>
          <w:rFonts w:hint="eastAsia" w:ascii="方正小标宋简体" w:hAnsi="方正小标宋简体" w:eastAsia="方正小标宋简体" w:cs="方正小标宋简体"/>
          <w:b w:val="0"/>
          <w:bCs w:val="0"/>
          <w:color w:val="auto"/>
          <w:sz w:val="44"/>
          <w:szCs w:val="44"/>
          <w:highlight w:val="none"/>
          <w:lang w:eastAsia="zh-CN"/>
        </w:rPr>
        <w:t>采取“评定分离”项目招标文件需调整内容</w:t>
      </w:r>
    </w:p>
    <w:p w14:paraId="44CE87BD">
      <w:pPr>
        <w:spacing w:line="360" w:lineRule="auto"/>
        <w:jc w:val="center"/>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（具体以广西壮族自治区公共资源交易电子监管系统中范本为准）</w:t>
      </w:r>
    </w:p>
    <w:p w14:paraId="7726308B">
      <w:pPr>
        <w:pStyle w:val="2"/>
        <w:bidi w:val="0"/>
        <w:jc w:val="center"/>
        <w:rPr>
          <w:rFonts w:hint="eastAsia"/>
          <w:color w:val="auto"/>
          <w:sz w:val="44"/>
          <w:szCs w:val="44"/>
          <w:highlight w:val="none"/>
          <w:lang w:val="en-US" w:eastAsia="zh-CN"/>
        </w:rPr>
      </w:pPr>
      <w:r>
        <w:rPr>
          <w:rFonts w:hint="eastAsia"/>
          <w:color w:val="auto"/>
          <w:sz w:val="44"/>
          <w:szCs w:val="44"/>
          <w:highlight w:val="none"/>
          <w:lang w:val="en-US" w:eastAsia="zh-CN"/>
        </w:rPr>
        <w:t>工程施工招标文件范本调整内容</w:t>
      </w:r>
    </w:p>
    <w:p w14:paraId="1E13932A">
      <w:pPr>
        <w:pageBreakBefore w:val="0"/>
        <w:kinsoku/>
        <w:wordWrap/>
        <w:overflowPunct/>
        <w:topLinePunct w:val="0"/>
        <w:autoSpaceDE/>
        <w:autoSpaceDN/>
        <w:bidi w:val="0"/>
        <w:adjustRightInd/>
        <w:spacing w:line="540" w:lineRule="exact"/>
        <w:textAlignment w:val="auto"/>
        <w:rPr>
          <w:rFonts w:hint="eastAsia" w:ascii="黑体" w:hAnsi="黑体" w:eastAsia="黑体" w:cs="黑体"/>
          <w:b w:val="0"/>
          <w:bCs w:val="0"/>
          <w:color w:val="auto"/>
          <w:sz w:val="32"/>
          <w:szCs w:val="32"/>
          <w:highlight w:val="none"/>
        </w:rPr>
      </w:pPr>
    </w:p>
    <w:p w14:paraId="05FBA63D">
      <w:pPr>
        <w:pStyle w:val="2"/>
        <w:bidi w:val="0"/>
        <w:rPr>
          <w:rFonts w:hint="eastAsia"/>
          <w:color w:val="auto"/>
          <w:highlight w:val="none"/>
        </w:rPr>
      </w:pPr>
      <w:r>
        <w:rPr>
          <w:rFonts w:hint="eastAsia"/>
          <w:color w:val="auto"/>
          <w:highlight w:val="none"/>
        </w:rPr>
        <w:t>一、第二章 投标人须知前附表</w:t>
      </w:r>
    </w:p>
    <w:p w14:paraId="7932A6D6">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方正仿宋_GBK" w:hAnsi="Calibri" w:eastAsia="方正仿宋_GBK" w:cs="Times New Roman"/>
          <w:snapToGrid w:val="0"/>
          <w:color w:val="auto"/>
          <w:sz w:val="32"/>
          <w:szCs w:val="32"/>
          <w:highlight w:val="none"/>
          <w:lang w:eastAsia="zh-CN"/>
        </w:rPr>
      </w:pPr>
      <w:r>
        <w:rPr>
          <w:rFonts w:hint="eastAsia" w:ascii="方正仿宋_GBK" w:hAnsi="Calibri" w:eastAsia="方正仿宋_GBK" w:cs="Times New Roman"/>
          <w:snapToGrid w:val="0"/>
          <w:color w:val="auto"/>
          <w:sz w:val="32"/>
          <w:szCs w:val="32"/>
          <w:highlight w:val="none"/>
          <w:lang w:eastAsia="zh-CN"/>
        </w:rPr>
        <w:t>增加内容如下：</w:t>
      </w:r>
    </w:p>
    <w:tbl>
      <w:tblPr>
        <w:tblStyle w:val="15"/>
        <w:tblW w:w="9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5"/>
        <w:gridCol w:w="2762"/>
        <w:gridCol w:w="5313"/>
      </w:tblGrid>
      <w:tr w14:paraId="038F9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vAlign w:val="center"/>
          </w:tcPr>
          <w:p w14:paraId="6BDE64C3">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6.3.1</w:t>
            </w:r>
          </w:p>
        </w:tc>
        <w:tc>
          <w:tcPr>
            <w:tcW w:w="2762" w:type="dxa"/>
            <w:vAlign w:val="center"/>
          </w:tcPr>
          <w:p w14:paraId="2F0FC8A4">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评标方式</w:t>
            </w:r>
          </w:p>
        </w:tc>
        <w:tc>
          <w:tcPr>
            <w:tcW w:w="5313" w:type="dxa"/>
            <w:vAlign w:val="center"/>
          </w:tcPr>
          <w:p w14:paraId="2EDA4F71">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□经评审的合理低价法</w:t>
            </w:r>
          </w:p>
          <w:p w14:paraId="154B4A14">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eastAsia="zh-CN"/>
              </w:rPr>
              <w:t>☑</w:t>
            </w:r>
            <w:r>
              <w:rPr>
                <w:rFonts w:hint="eastAsia" w:ascii="仿宋_GB2312" w:hAnsi="仿宋_GB2312" w:eastAsia="仿宋_GB2312" w:cs="仿宋_GB2312"/>
                <w:color w:val="auto"/>
                <w:sz w:val="21"/>
                <w:szCs w:val="21"/>
                <w:highlight w:val="none"/>
              </w:rPr>
              <w:t>综合评估法</w:t>
            </w:r>
          </w:p>
        </w:tc>
      </w:tr>
      <w:tr w14:paraId="18D45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vAlign w:val="center"/>
          </w:tcPr>
          <w:p w14:paraId="6EABE1BE">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6.3.2</w:t>
            </w:r>
          </w:p>
        </w:tc>
        <w:tc>
          <w:tcPr>
            <w:tcW w:w="2762" w:type="dxa"/>
            <w:vAlign w:val="center"/>
          </w:tcPr>
          <w:p w14:paraId="032FA4E0">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评标委员会推荐中标候选人的人数和是否排序</w:t>
            </w:r>
          </w:p>
        </w:tc>
        <w:tc>
          <w:tcPr>
            <w:tcW w:w="5313" w:type="dxa"/>
            <w:vAlign w:val="center"/>
          </w:tcPr>
          <w:p w14:paraId="7641F456">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□1.以排序的方式推荐3名中标候选人。</w:t>
            </w:r>
          </w:p>
          <w:p w14:paraId="425E0606">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eastAsia="zh-CN"/>
              </w:rPr>
              <w:t>☑</w:t>
            </w:r>
            <w:r>
              <w:rPr>
                <w:rFonts w:hint="eastAsia" w:ascii="仿宋_GB2312" w:hAnsi="仿宋_GB2312" w:eastAsia="仿宋_GB2312" w:cs="仿宋_GB2312"/>
                <w:color w:val="auto"/>
                <w:sz w:val="21"/>
                <w:szCs w:val="21"/>
                <w:highlight w:val="none"/>
              </w:rPr>
              <w:t>2.评定分离：不排序的方式向招标人推荐</w:t>
            </w:r>
            <w:r>
              <w:rPr>
                <w:rFonts w:hint="eastAsia" w:ascii="仿宋_GB2312" w:hAnsi="仿宋_GB2312" w:eastAsia="仿宋_GB2312" w:cs="仿宋_GB2312"/>
                <w:color w:val="auto"/>
                <w:sz w:val="21"/>
                <w:szCs w:val="21"/>
                <w:highlight w:val="none"/>
                <w:u w:val="single"/>
                <w:lang w:val="en-US" w:eastAsia="zh-CN"/>
              </w:rPr>
              <w:t>本项目采用“评定分离”方法确定中标人，当有效投标人为≤6家时，推荐3名中标候选人；当有效投标人为7-9家时，推荐4名中标候选人；当有效投标人为10家及以上时，推荐5名</w:t>
            </w:r>
            <w:r>
              <w:rPr>
                <w:rFonts w:hint="eastAsia" w:ascii="仿宋_GB2312" w:hAnsi="仿宋_GB2312" w:eastAsia="仿宋_GB2312" w:cs="仿宋_GB2312"/>
                <w:color w:val="auto"/>
                <w:sz w:val="21"/>
                <w:szCs w:val="21"/>
                <w:highlight w:val="none"/>
              </w:rPr>
              <w:t>中标候选人。</w:t>
            </w:r>
          </w:p>
        </w:tc>
      </w:tr>
      <w:tr w14:paraId="7259C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vAlign w:val="center"/>
          </w:tcPr>
          <w:p w14:paraId="0337B39D">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7.1</w:t>
            </w:r>
          </w:p>
        </w:tc>
        <w:tc>
          <w:tcPr>
            <w:tcW w:w="2762" w:type="dxa"/>
            <w:vAlign w:val="center"/>
          </w:tcPr>
          <w:p w14:paraId="094A1667">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确定中标人方式</w:t>
            </w:r>
          </w:p>
        </w:tc>
        <w:tc>
          <w:tcPr>
            <w:tcW w:w="5313" w:type="dxa"/>
            <w:vAlign w:val="center"/>
          </w:tcPr>
          <w:p w14:paraId="3B4B8A30">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□授权评标委员会确定中标人。</w:t>
            </w:r>
          </w:p>
          <w:p w14:paraId="1B539FCF">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□根据评标委员会推荐，由招标人确定中标人。（国有资金占控股或者主导地位的依法必须进行招标的项目，招标人应当确定排名第一的中标候选人为中标人。）</w:t>
            </w:r>
          </w:p>
          <w:p w14:paraId="0DA2E7B6">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eastAsia="zh-CN"/>
              </w:rPr>
              <w:t>☑</w:t>
            </w:r>
            <w:r>
              <w:rPr>
                <w:rFonts w:hint="eastAsia" w:ascii="仿宋_GB2312" w:hAnsi="仿宋_GB2312" w:eastAsia="仿宋_GB2312" w:cs="仿宋_GB2312"/>
                <w:color w:val="auto"/>
                <w:sz w:val="21"/>
                <w:szCs w:val="21"/>
                <w:highlight w:val="none"/>
              </w:rPr>
              <w:t>评定分离，根据评标委员会推荐，另行组织定标会议，由定标委员会确定中标人。</w:t>
            </w:r>
          </w:p>
        </w:tc>
      </w:tr>
      <w:tr w14:paraId="376FB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vAlign w:val="center"/>
          </w:tcPr>
          <w:p w14:paraId="0A434643">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7.1.2.1</w:t>
            </w:r>
          </w:p>
        </w:tc>
        <w:tc>
          <w:tcPr>
            <w:tcW w:w="2762" w:type="dxa"/>
            <w:vAlign w:val="center"/>
          </w:tcPr>
          <w:p w14:paraId="1FF22A7D">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定标委员会的组建</w:t>
            </w:r>
          </w:p>
        </w:tc>
        <w:tc>
          <w:tcPr>
            <w:tcW w:w="5313" w:type="dxa"/>
            <w:vAlign w:val="center"/>
          </w:tcPr>
          <w:p w14:paraId="2061E33C">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定标委员会由</w:t>
            </w:r>
            <w:r>
              <w:rPr>
                <w:rFonts w:hint="eastAsia" w:ascii="仿宋_GB2312" w:hAnsi="仿宋_GB2312" w:eastAsia="仿宋_GB2312" w:cs="仿宋_GB2312"/>
                <w:color w:val="auto"/>
                <w:sz w:val="21"/>
                <w:szCs w:val="21"/>
                <w:highlight w:val="none"/>
                <w:u w:val="single"/>
              </w:rPr>
              <w:t>（5人及以上单数）</w:t>
            </w:r>
            <w:r>
              <w:rPr>
                <w:rFonts w:hint="eastAsia" w:ascii="仿宋_GB2312" w:hAnsi="仿宋_GB2312" w:eastAsia="仿宋_GB2312" w:cs="仿宋_GB2312"/>
                <w:color w:val="auto"/>
                <w:sz w:val="21"/>
                <w:szCs w:val="21"/>
                <w:highlight w:val="none"/>
              </w:rPr>
              <w:t>组成。</w:t>
            </w:r>
          </w:p>
        </w:tc>
      </w:tr>
      <w:tr w14:paraId="755DC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vAlign w:val="center"/>
          </w:tcPr>
          <w:p w14:paraId="26A44C7E">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7.1.2.2</w:t>
            </w:r>
          </w:p>
        </w:tc>
        <w:tc>
          <w:tcPr>
            <w:tcW w:w="2762" w:type="dxa"/>
            <w:vAlign w:val="center"/>
          </w:tcPr>
          <w:p w14:paraId="3467EB03">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考察、质询：</w:t>
            </w:r>
          </w:p>
          <w:p w14:paraId="4271AF3B">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□是</w:t>
            </w:r>
            <w:r>
              <w:rPr>
                <w:rFonts w:hint="eastAsia" w:ascii="仿宋_GB2312" w:hAnsi="仿宋_GB2312" w:eastAsia="仿宋_GB2312" w:cs="仿宋_GB2312"/>
                <w:color w:val="auto"/>
                <w:sz w:val="21"/>
                <w:szCs w:val="21"/>
                <w:highlight w:val="none"/>
                <w:lang w:val="en-US" w:eastAsia="zh-CN"/>
              </w:rPr>
              <w:t xml:space="preserve">      </w:t>
            </w:r>
            <w:r>
              <w:rPr>
                <w:rFonts w:hint="eastAsia" w:ascii="仿宋_GB2312" w:hAnsi="仿宋_GB2312" w:eastAsia="仿宋_GB2312" w:cs="仿宋_GB2312"/>
                <w:color w:val="auto"/>
                <w:sz w:val="21"/>
                <w:szCs w:val="21"/>
                <w:highlight w:val="none"/>
                <w:lang w:eastAsia="zh-CN"/>
              </w:rPr>
              <w:t>☑</w:t>
            </w:r>
            <w:r>
              <w:rPr>
                <w:rFonts w:hint="eastAsia" w:ascii="仿宋_GB2312" w:hAnsi="仿宋_GB2312" w:eastAsia="仿宋_GB2312" w:cs="仿宋_GB2312"/>
                <w:color w:val="auto"/>
                <w:sz w:val="21"/>
                <w:szCs w:val="21"/>
                <w:highlight w:val="none"/>
              </w:rPr>
              <w:t>否</w:t>
            </w:r>
          </w:p>
        </w:tc>
        <w:tc>
          <w:tcPr>
            <w:tcW w:w="5313" w:type="dxa"/>
            <w:vAlign w:val="center"/>
          </w:tcPr>
          <w:p w14:paraId="5F4C70FF">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1.在定标会议前</w:t>
            </w:r>
            <w:r>
              <w:rPr>
                <w:rFonts w:hint="eastAsia" w:ascii="仿宋_GB2312" w:hAnsi="仿宋_GB2312" w:eastAsia="仿宋_GB2312" w:cs="仿宋_GB2312"/>
                <w:color w:val="auto"/>
                <w:sz w:val="21"/>
                <w:szCs w:val="21"/>
                <w:highlight w:val="none"/>
                <w:u w:val="single"/>
                <w:lang w:val="en-US" w:eastAsia="zh-CN"/>
              </w:rPr>
              <w:t>不组织</w:t>
            </w:r>
            <w:r>
              <w:rPr>
                <w:rFonts w:hint="eastAsia" w:ascii="仿宋_GB2312" w:hAnsi="仿宋_GB2312" w:eastAsia="仿宋_GB2312" w:cs="仿宋_GB2312"/>
                <w:color w:val="auto"/>
                <w:sz w:val="21"/>
                <w:szCs w:val="21"/>
                <w:highlight w:val="none"/>
              </w:rPr>
              <w:t>对所有中标候选人进行考察、质询。</w:t>
            </w:r>
          </w:p>
          <w:p w14:paraId="097D3D5E">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2.考察、质询小组由</w:t>
            </w:r>
            <w:r>
              <w:rPr>
                <w:rFonts w:hint="eastAsia" w:ascii="仿宋_GB2312" w:hAnsi="仿宋_GB2312" w:eastAsia="仿宋_GB2312" w:cs="仿宋_GB2312"/>
                <w:color w:val="auto"/>
                <w:sz w:val="21"/>
                <w:szCs w:val="21"/>
                <w:highlight w:val="none"/>
                <w:u w:val="single"/>
                <w:lang w:val="en-US" w:eastAsia="zh-CN"/>
              </w:rPr>
              <w:t xml:space="preserve"> / </w:t>
            </w:r>
            <w:r>
              <w:rPr>
                <w:rFonts w:hint="eastAsia" w:ascii="仿宋_GB2312" w:hAnsi="仿宋_GB2312" w:eastAsia="仿宋_GB2312" w:cs="仿宋_GB2312"/>
                <w:color w:val="auto"/>
                <w:sz w:val="21"/>
                <w:szCs w:val="21"/>
                <w:highlight w:val="none"/>
              </w:rPr>
              <w:t>组成。</w:t>
            </w:r>
          </w:p>
        </w:tc>
      </w:tr>
      <w:tr w14:paraId="55ED9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vAlign w:val="center"/>
          </w:tcPr>
          <w:p w14:paraId="4626D1EA">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7.1.2.3</w:t>
            </w:r>
          </w:p>
        </w:tc>
        <w:tc>
          <w:tcPr>
            <w:tcW w:w="2762" w:type="dxa"/>
            <w:vAlign w:val="center"/>
          </w:tcPr>
          <w:p w14:paraId="2C591607">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定标会议地点和时间</w:t>
            </w:r>
          </w:p>
        </w:tc>
        <w:tc>
          <w:tcPr>
            <w:tcW w:w="5313" w:type="dxa"/>
            <w:vAlign w:val="center"/>
          </w:tcPr>
          <w:p w14:paraId="0623DA6B">
            <w:pPr>
              <w:pageBreakBefore w:val="0"/>
              <w:kinsoku/>
              <w:wordWrap/>
              <w:overflowPunct/>
              <w:topLinePunct w:val="0"/>
              <w:autoSpaceDE/>
              <w:autoSpaceDN/>
              <w:bidi w:val="0"/>
              <w:adjustRightInd/>
              <w:spacing w:line="540" w:lineRule="exact"/>
              <w:textAlignment w:val="auto"/>
              <w:rPr>
                <w:rFonts w:hint="default"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rPr>
              <w:t>1.定标时间：</w:t>
            </w:r>
            <w:r>
              <w:rPr>
                <w:rFonts w:hint="eastAsia" w:ascii="仿宋_GB2312" w:hAnsi="仿宋_GB2312" w:eastAsia="仿宋_GB2312" w:cs="仿宋_GB2312"/>
                <w:color w:val="auto"/>
                <w:sz w:val="21"/>
                <w:szCs w:val="21"/>
                <w:highlight w:val="none"/>
                <w:lang w:val="en-US" w:eastAsia="zh-CN"/>
              </w:rPr>
              <w:t>在中标候选人公示结束后10日内，提前48小时通知所有中标候选人。</w:t>
            </w:r>
          </w:p>
          <w:p w14:paraId="7794172C">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2.定标地点：</w:t>
            </w:r>
            <w:r>
              <w:rPr>
                <w:rFonts w:hint="eastAsia" w:ascii="仿宋_GB2312" w:hAnsi="仿宋_GB2312" w:eastAsia="仿宋_GB2312" w:cs="仿宋_GB2312"/>
                <w:color w:val="auto"/>
                <w:sz w:val="21"/>
                <w:szCs w:val="21"/>
                <w:highlight w:val="none"/>
                <w:lang w:val="en-US" w:eastAsia="zh-CN"/>
              </w:rPr>
              <w:t>广西大学【广西南宁市西乡塘区大学东路100号会议室】举行定标会，提前48小时通知所有中标候选人。</w:t>
            </w:r>
          </w:p>
          <w:p w14:paraId="26C03489">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招标人根据相关规定在评标结果公示结束后</w:t>
            </w:r>
            <w:r>
              <w:rPr>
                <w:rFonts w:hint="eastAsia" w:ascii="仿宋_GB2312" w:hAnsi="仿宋_GB2312" w:eastAsia="仿宋_GB2312" w:cs="仿宋_GB2312"/>
                <w:color w:val="auto"/>
                <w:sz w:val="21"/>
                <w:szCs w:val="21"/>
                <w:highlight w:val="none"/>
                <w:u w:val="single"/>
              </w:rPr>
              <w:t>10日内</w:t>
            </w:r>
            <w:r>
              <w:rPr>
                <w:rFonts w:hint="eastAsia" w:ascii="仿宋_GB2312" w:hAnsi="仿宋_GB2312" w:eastAsia="仿宋_GB2312" w:cs="仿宋_GB2312"/>
                <w:color w:val="auto"/>
                <w:sz w:val="21"/>
                <w:szCs w:val="21"/>
                <w:highlight w:val="none"/>
              </w:rPr>
              <w:t>召开定标会议。</w:t>
            </w:r>
          </w:p>
        </w:tc>
      </w:tr>
      <w:tr w14:paraId="3FD0D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vAlign w:val="center"/>
          </w:tcPr>
          <w:p w14:paraId="4AE914C0">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7.1.2.4</w:t>
            </w:r>
          </w:p>
        </w:tc>
        <w:tc>
          <w:tcPr>
            <w:tcW w:w="2762" w:type="dxa"/>
            <w:vAlign w:val="center"/>
          </w:tcPr>
          <w:p w14:paraId="30957C07">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现场面试</w:t>
            </w:r>
          </w:p>
        </w:tc>
        <w:tc>
          <w:tcPr>
            <w:tcW w:w="5313" w:type="dxa"/>
            <w:vAlign w:val="center"/>
          </w:tcPr>
          <w:p w14:paraId="3C2BE78F">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招标人在定标会议中</w:t>
            </w:r>
            <w:r>
              <w:rPr>
                <w:rFonts w:hint="eastAsia" w:ascii="仿宋_GB2312" w:hAnsi="仿宋_GB2312" w:eastAsia="仿宋_GB2312" w:cs="仿宋_GB2312"/>
                <w:color w:val="auto"/>
                <w:sz w:val="21"/>
                <w:szCs w:val="21"/>
                <w:highlight w:val="none"/>
                <w:lang w:val="en-US" w:eastAsia="zh-CN"/>
              </w:rPr>
              <w:t>不组织</w:t>
            </w:r>
            <w:r>
              <w:rPr>
                <w:rFonts w:hint="eastAsia" w:ascii="仿宋_GB2312" w:hAnsi="仿宋_GB2312" w:eastAsia="仿宋_GB2312" w:cs="仿宋_GB2312"/>
                <w:color w:val="auto"/>
                <w:sz w:val="21"/>
                <w:szCs w:val="21"/>
                <w:highlight w:val="none"/>
              </w:rPr>
              <w:t>现场面试。</w:t>
            </w:r>
          </w:p>
        </w:tc>
      </w:tr>
      <w:tr w14:paraId="456E6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vAlign w:val="center"/>
          </w:tcPr>
          <w:p w14:paraId="2EBEED66">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7.1.2.5</w:t>
            </w:r>
          </w:p>
        </w:tc>
        <w:tc>
          <w:tcPr>
            <w:tcW w:w="2762" w:type="dxa"/>
            <w:vAlign w:val="center"/>
          </w:tcPr>
          <w:p w14:paraId="0033E6E9">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定标要素及具体内容</w:t>
            </w:r>
          </w:p>
        </w:tc>
        <w:tc>
          <w:tcPr>
            <w:tcW w:w="5313" w:type="dxa"/>
            <w:vAlign w:val="center"/>
          </w:tcPr>
          <w:p w14:paraId="0AD7134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21"/>
                <w:szCs w:val="21"/>
                <w:highlight w:val="none"/>
                <w:lang w:eastAsia="zh-CN"/>
              </w:rPr>
            </w:pPr>
            <w:r>
              <w:rPr>
                <w:rFonts w:hint="eastAsia" w:ascii="仿宋_GB2312" w:hAnsi="仿宋_GB2312" w:eastAsia="仿宋_GB2312" w:cs="仿宋_GB2312"/>
                <w:color w:val="auto"/>
                <w:sz w:val="21"/>
                <w:szCs w:val="21"/>
                <w:highlight w:val="none"/>
                <w:lang w:eastAsia="zh-CN"/>
              </w:rPr>
              <w:t>☑</w:t>
            </w:r>
            <w:r>
              <w:rPr>
                <w:rFonts w:hint="eastAsia" w:ascii="仿宋_GB2312" w:hAnsi="仿宋_GB2312" w:eastAsia="仿宋_GB2312" w:cs="仿宋_GB2312"/>
                <w:color w:val="auto"/>
                <w:sz w:val="21"/>
                <w:szCs w:val="21"/>
                <w:highlight w:val="none"/>
              </w:rPr>
              <w:t>1.价格因素</w:t>
            </w:r>
            <w:r>
              <w:rPr>
                <w:rFonts w:hint="eastAsia" w:ascii="仿宋_GB2312" w:hAnsi="仿宋_GB2312" w:eastAsia="仿宋_GB2312" w:cs="仿宋_GB2312"/>
                <w:color w:val="auto"/>
                <w:sz w:val="21"/>
                <w:szCs w:val="21"/>
                <w:highlight w:val="none"/>
                <w:u w:val="none"/>
              </w:rPr>
              <w:t>：</w:t>
            </w:r>
            <w:r>
              <w:rPr>
                <w:rFonts w:hint="eastAsia" w:ascii="仿宋_GB2312" w:hAnsi="仿宋_GB2312" w:eastAsia="仿宋_GB2312" w:cs="仿宋_GB2312"/>
                <w:color w:val="auto"/>
                <w:sz w:val="21"/>
                <w:szCs w:val="21"/>
                <w:highlight w:val="none"/>
                <w:u w:val="none"/>
                <w:lang w:val="en-US" w:eastAsia="zh-CN"/>
              </w:rPr>
              <w:t>详见评标报告</w:t>
            </w:r>
            <w:r>
              <w:rPr>
                <w:rFonts w:hint="eastAsia" w:ascii="仿宋_GB2312" w:hAnsi="仿宋_GB2312" w:eastAsia="仿宋_GB2312" w:cs="仿宋_GB2312"/>
                <w:color w:val="auto"/>
                <w:sz w:val="21"/>
                <w:szCs w:val="21"/>
                <w:highlight w:val="none"/>
                <w:u w:val="none"/>
                <w:lang w:eastAsia="zh-CN"/>
              </w:rPr>
              <w:t>；</w:t>
            </w:r>
          </w:p>
          <w:p w14:paraId="134EEFD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eastAsia="zh-CN"/>
              </w:rPr>
              <w:t>☑</w:t>
            </w:r>
            <w:r>
              <w:rPr>
                <w:rFonts w:hint="eastAsia" w:ascii="仿宋_GB2312" w:hAnsi="仿宋_GB2312" w:eastAsia="仿宋_GB2312" w:cs="仿宋_GB2312"/>
                <w:color w:val="auto"/>
                <w:sz w:val="21"/>
                <w:szCs w:val="21"/>
                <w:highlight w:val="none"/>
              </w:rPr>
              <w:t>2.企业实力：</w:t>
            </w:r>
            <w:r>
              <w:rPr>
                <w:rFonts w:hint="eastAsia" w:ascii="仿宋_GB2312" w:hAnsi="仿宋_GB2312" w:eastAsia="仿宋_GB2312" w:cs="仿宋_GB2312"/>
                <w:color w:val="auto"/>
                <w:sz w:val="21"/>
                <w:szCs w:val="21"/>
                <w:highlight w:val="none"/>
                <w:u w:val="none"/>
                <w:lang w:val="en-US" w:eastAsia="zh-CN"/>
              </w:rPr>
              <w:t>详见评标报告</w:t>
            </w:r>
            <w:r>
              <w:rPr>
                <w:rFonts w:hint="eastAsia" w:ascii="仿宋_GB2312" w:hAnsi="仿宋_GB2312" w:eastAsia="仿宋_GB2312" w:cs="仿宋_GB2312"/>
                <w:color w:val="auto"/>
                <w:sz w:val="21"/>
                <w:szCs w:val="21"/>
                <w:highlight w:val="none"/>
              </w:rPr>
              <w:t>；</w:t>
            </w:r>
          </w:p>
          <w:p w14:paraId="717BD51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eastAsia="zh-CN"/>
              </w:rPr>
              <w:t>☑</w:t>
            </w:r>
            <w:r>
              <w:rPr>
                <w:rFonts w:hint="eastAsia" w:ascii="仿宋_GB2312" w:hAnsi="仿宋_GB2312" w:eastAsia="仿宋_GB2312" w:cs="仿宋_GB2312"/>
                <w:color w:val="auto"/>
                <w:sz w:val="21"/>
                <w:szCs w:val="21"/>
                <w:highlight w:val="none"/>
              </w:rPr>
              <w:t>3.企业信誉：</w:t>
            </w:r>
            <w:r>
              <w:rPr>
                <w:rFonts w:hint="eastAsia" w:ascii="仿宋_GB2312" w:hAnsi="仿宋_GB2312" w:eastAsia="仿宋_GB2312" w:cs="仿宋_GB2312"/>
                <w:color w:val="auto"/>
                <w:sz w:val="21"/>
                <w:szCs w:val="21"/>
                <w:highlight w:val="none"/>
                <w:lang w:val="en-US" w:eastAsia="zh-CN"/>
              </w:rPr>
              <w:t>详见《信用信息查询情况》及其相关查询内容材料</w:t>
            </w:r>
            <w:r>
              <w:rPr>
                <w:rFonts w:hint="eastAsia" w:ascii="仿宋_GB2312" w:hAnsi="仿宋_GB2312" w:eastAsia="仿宋_GB2312" w:cs="仿宋_GB2312"/>
                <w:color w:val="auto"/>
                <w:sz w:val="21"/>
                <w:szCs w:val="21"/>
                <w:highlight w:val="none"/>
              </w:rPr>
              <w:t>；</w:t>
            </w:r>
          </w:p>
          <w:p w14:paraId="5340E20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eastAsia="zh-CN"/>
              </w:rPr>
              <w:t>□</w:t>
            </w:r>
            <w:r>
              <w:rPr>
                <w:rFonts w:hint="eastAsia" w:ascii="仿宋_GB2312" w:hAnsi="仿宋_GB2312" w:eastAsia="仿宋_GB2312" w:cs="仿宋_GB2312"/>
                <w:color w:val="auto"/>
                <w:sz w:val="21"/>
                <w:szCs w:val="21"/>
                <w:highlight w:val="none"/>
              </w:rPr>
              <w:t>4.投标方案：详见各候选人的投标文件；</w:t>
            </w:r>
          </w:p>
          <w:p w14:paraId="6F73A49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eastAsia="zh-CN"/>
              </w:rPr>
              <w:t>□</w:t>
            </w:r>
            <w:r>
              <w:rPr>
                <w:rFonts w:hint="eastAsia" w:ascii="仿宋_GB2312" w:hAnsi="仿宋_GB2312" w:eastAsia="仿宋_GB2312" w:cs="仿宋_GB2312"/>
                <w:color w:val="auto"/>
                <w:sz w:val="21"/>
                <w:szCs w:val="21"/>
                <w:highlight w:val="none"/>
              </w:rPr>
              <w:t>5.拟派团队能力与水平：详见各候选人的投标文件；</w:t>
            </w:r>
          </w:p>
          <w:p w14:paraId="3999B54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□6.联合体投标的，联合体组成情况：；</w:t>
            </w:r>
          </w:p>
          <w:p w14:paraId="6304AAB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eastAsia="zh-CN"/>
              </w:rPr>
              <w:t>☑</w:t>
            </w:r>
            <w:r>
              <w:rPr>
                <w:rFonts w:hint="eastAsia" w:ascii="仿宋_GB2312" w:hAnsi="仿宋_GB2312" w:eastAsia="仿宋_GB2312" w:cs="仿宋_GB2312"/>
                <w:color w:val="auto"/>
                <w:sz w:val="21"/>
                <w:szCs w:val="21"/>
                <w:highlight w:val="none"/>
              </w:rPr>
              <w:t>7.企业质量安全、无欠薪管理情况：详见各候选人的投标文件；</w:t>
            </w:r>
          </w:p>
          <w:p w14:paraId="147C795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eastAsia="zh-CN"/>
              </w:rPr>
              <w:t>□</w:t>
            </w:r>
            <w:r>
              <w:rPr>
                <w:rFonts w:hint="eastAsia" w:ascii="仿宋_GB2312" w:hAnsi="仿宋_GB2312" w:eastAsia="仿宋_GB2312" w:cs="仿宋_GB2312"/>
                <w:color w:val="auto"/>
                <w:sz w:val="21"/>
                <w:szCs w:val="21"/>
                <w:highlight w:val="none"/>
              </w:rPr>
              <w:t>8.企业项目班组人员到岗履职等管理情况：详见各候选人的投标文件；</w:t>
            </w:r>
          </w:p>
          <w:p w14:paraId="29A59A4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eastAsia="zh-CN"/>
              </w:rPr>
              <w:t>□</w:t>
            </w:r>
            <w:r>
              <w:rPr>
                <w:rFonts w:hint="eastAsia" w:ascii="仿宋_GB2312" w:hAnsi="仿宋_GB2312" w:eastAsia="仿宋_GB2312" w:cs="仿宋_GB2312"/>
                <w:color w:val="auto"/>
                <w:sz w:val="21"/>
                <w:szCs w:val="21"/>
                <w:highlight w:val="none"/>
              </w:rPr>
              <w:t>9.工程保修维护等后续服务便利：详见各候选人的投标文件；</w:t>
            </w:r>
          </w:p>
          <w:p w14:paraId="1E978BD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□10.落实建筑业高质量发展政策：；</w:t>
            </w:r>
          </w:p>
          <w:p w14:paraId="7A4D4EE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eastAsia="zh-CN"/>
              </w:rPr>
              <w:t>□</w:t>
            </w:r>
            <w:r>
              <w:rPr>
                <w:rFonts w:hint="eastAsia" w:ascii="仿宋_GB2312" w:hAnsi="仿宋_GB2312" w:eastAsia="仿宋_GB2312" w:cs="仿宋_GB2312"/>
                <w:color w:val="auto"/>
                <w:sz w:val="21"/>
                <w:szCs w:val="21"/>
                <w:highlight w:val="none"/>
              </w:rPr>
              <w:t>11.落实政府其他政策：；</w:t>
            </w:r>
          </w:p>
          <w:p w14:paraId="7534950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eastAsia="zh-CN"/>
              </w:rPr>
              <w:t>☑</w:t>
            </w:r>
            <w:r>
              <w:rPr>
                <w:rFonts w:hint="eastAsia" w:ascii="仿宋_GB2312" w:hAnsi="仿宋_GB2312" w:eastAsia="仿宋_GB2312" w:cs="仿宋_GB2312"/>
                <w:color w:val="auto"/>
                <w:sz w:val="21"/>
                <w:szCs w:val="21"/>
                <w:highlight w:val="none"/>
              </w:rPr>
              <w:t>12.评标报告；</w:t>
            </w:r>
          </w:p>
          <w:p w14:paraId="7B6E1CA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□13.质询或（和）考察报告；</w:t>
            </w:r>
          </w:p>
          <w:p w14:paraId="3A6E5E6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□14.现场面试情况；</w:t>
            </w:r>
          </w:p>
          <w:p w14:paraId="1A823C7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☐15.招标人认为需要考量的其他因素：。</w:t>
            </w:r>
          </w:p>
        </w:tc>
      </w:tr>
      <w:tr w14:paraId="6CFAC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4" w:hRule="atLeast"/>
        </w:trPr>
        <w:tc>
          <w:tcPr>
            <w:tcW w:w="1725" w:type="dxa"/>
            <w:vAlign w:val="center"/>
          </w:tcPr>
          <w:p w14:paraId="0C29D86B">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7.1.2.6</w:t>
            </w:r>
          </w:p>
        </w:tc>
        <w:tc>
          <w:tcPr>
            <w:tcW w:w="2762" w:type="dxa"/>
            <w:vAlign w:val="center"/>
          </w:tcPr>
          <w:p w14:paraId="09897537">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定标方法</w:t>
            </w:r>
          </w:p>
        </w:tc>
        <w:tc>
          <w:tcPr>
            <w:tcW w:w="5313" w:type="dxa"/>
            <w:vAlign w:val="center"/>
          </w:tcPr>
          <w:p w14:paraId="0B41320F">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eastAsia="zh-CN"/>
              </w:rPr>
              <w:t>☑</w:t>
            </w:r>
            <w:r>
              <w:rPr>
                <w:rFonts w:hint="eastAsia" w:ascii="仿宋_GB2312" w:hAnsi="仿宋_GB2312" w:eastAsia="仿宋_GB2312" w:cs="仿宋_GB2312"/>
                <w:color w:val="auto"/>
                <w:sz w:val="21"/>
                <w:szCs w:val="21"/>
                <w:highlight w:val="none"/>
              </w:rPr>
              <w:t>1.票决法；</w:t>
            </w:r>
          </w:p>
          <w:p w14:paraId="04817BBD">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□2.集体议事法；</w:t>
            </w:r>
          </w:p>
          <w:p w14:paraId="754C214E">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□3.其他定标办法：。</w:t>
            </w:r>
          </w:p>
        </w:tc>
      </w:tr>
      <w:tr w14:paraId="4D2B8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vAlign w:val="center"/>
          </w:tcPr>
          <w:p w14:paraId="0F2AC6F7">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7.1.2.7</w:t>
            </w:r>
          </w:p>
        </w:tc>
        <w:tc>
          <w:tcPr>
            <w:tcW w:w="2762" w:type="dxa"/>
            <w:vAlign w:val="center"/>
          </w:tcPr>
          <w:p w14:paraId="4F654BBC">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按原定标方法确定中标人</w:t>
            </w:r>
          </w:p>
        </w:tc>
        <w:tc>
          <w:tcPr>
            <w:tcW w:w="5313" w:type="dxa"/>
            <w:vAlign w:val="center"/>
          </w:tcPr>
          <w:p w14:paraId="50A9D5E0">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rPr>
              <w:t>其他情形：</w:t>
            </w:r>
            <w:r>
              <w:rPr>
                <w:rFonts w:hint="eastAsia" w:ascii="仿宋_GB2312" w:hAnsi="仿宋_GB2312" w:eastAsia="仿宋_GB2312" w:cs="仿宋_GB2312"/>
                <w:color w:val="auto"/>
                <w:sz w:val="21"/>
                <w:szCs w:val="21"/>
                <w:highlight w:val="none"/>
                <w:lang w:val="en-US" w:eastAsia="zh-CN"/>
              </w:rPr>
              <w:t>/</w:t>
            </w:r>
          </w:p>
        </w:tc>
      </w:tr>
      <w:tr w14:paraId="106ED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vAlign w:val="center"/>
          </w:tcPr>
          <w:p w14:paraId="1E1305EC">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7.1.2.8</w:t>
            </w:r>
          </w:p>
        </w:tc>
        <w:tc>
          <w:tcPr>
            <w:tcW w:w="2762" w:type="dxa"/>
            <w:vAlign w:val="center"/>
          </w:tcPr>
          <w:p w14:paraId="25F1672B">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重新定标</w:t>
            </w:r>
          </w:p>
        </w:tc>
        <w:tc>
          <w:tcPr>
            <w:tcW w:w="5313" w:type="dxa"/>
            <w:vAlign w:val="center"/>
          </w:tcPr>
          <w:p w14:paraId="563A3203">
            <w:pPr>
              <w:pageBreakBefore w:val="0"/>
              <w:kinsoku/>
              <w:wordWrap/>
              <w:overflowPunct/>
              <w:topLinePunct w:val="0"/>
              <w:autoSpaceDE/>
              <w:autoSpaceDN/>
              <w:bidi w:val="0"/>
              <w:adjustRightInd/>
              <w:spacing w:line="540" w:lineRule="exac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rPr>
              <w:t>其他情形：</w:t>
            </w:r>
            <w:r>
              <w:rPr>
                <w:rFonts w:hint="eastAsia" w:ascii="仿宋_GB2312" w:hAnsi="仿宋_GB2312" w:eastAsia="仿宋_GB2312" w:cs="仿宋_GB2312"/>
                <w:color w:val="auto"/>
                <w:sz w:val="21"/>
                <w:szCs w:val="21"/>
                <w:highlight w:val="none"/>
                <w:lang w:val="en-US" w:eastAsia="zh-CN"/>
              </w:rPr>
              <w:t>/</w:t>
            </w:r>
          </w:p>
        </w:tc>
      </w:tr>
    </w:tbl>
    <w:p w14:paraId="7B5F48C0">
      <w:pPr>
        <w:pStyle w:val="2"/>
        <w:bidi w:val="0"/>
        <w:rPr>
          <w:rFonts w:hint="eastAsia"/>
          <w:color w:val="auto"/>
          <w:highlight w:val="none"/>
        </w:rPr>
      </w:pPr>
      <w:r>
        <w:rPr>
          <w:rFonts w:hint="eastAsia"/>
          <w:color w:val="auto"/>
          <w:highlight w:val="none"/>
          <w:lang w:eastAsia="zh-CN"/>
        </w:rPr>
        <w:br w:type="textWrapping"/>
      </w:r>
      <w:r>
        <w:rPr>
          <w:rFonts w:hint="eastAsia"/>
          <w:color w:val="auto"/>
          <w:highlight w:val="none"/>
          <w:lang w:eastAsia="zh-CN"/>
        </w:rPr>
        <w:t>二、</w:t>
      </w:r>
      <w:r>
        <w:rPr>
          <w:rFonts w:hint="eastAsia"/>
          <w:color w:val="auto"/>
          <w:highlight w:val="none"/>
        </w:rPr>
        <w:t>第二章 投标人须知</w:t>
      </w:r>
    </w:p>
    <w:p w14:paraId="2C62D855">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（一）“6.3评标方式”修订为：</w:t>
      </w:r>
    </w:p>
    <w:p w14:paraId="14B9C220">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6.3.1 评标委员会按照第三章“评标办法”规定的方法、评审因素、标准和程序对投标文件进行评审。第三章“评标办法”没有规定的方法、评审因素和标准，不作为评标依据。具体评标方式见“投标人须知前附表”。</w:t>
      </w:r>
    </w:p>
    <w:p w14:paraId="15B8845D">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6.3.2 评标委员会推荐中标候选人的人数和是否排序见投标人须知前附表。</w:t>
      </w:r>
    </w:p>
    <w:p w14:paraId="05EDFBA8">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楷体" w:hAnsi="楷体" w:eastAsia="楷体" w:cs="楷体"/>
          <w:b/>
          <w:bCs/>
          <w:color w:val="auto"/>
          <w:sz w:val="32"/>
          <w:szCs w:val="32"/>
          <w:highlight w:val="none"/>
        </w:rPr>
      </w:pPr>
      <w:r>
        <w:rPr>
          <w:rFonts w:hint="default" w:ascii="楷体" w:hAnsi="楷体" w:eastAsia="楷体" w:cs="楷体"/>
          <w:b/>
          <w:bCs/>
          <w:color w:val="auto"/>
          <w:sz w:val="32"/>
          <w:szCs w:val="32"/>
          <w:highlight w:val="none"/>
        </w:rPr>
        <w:t>（二）</w:t>
      </w:r>
      <w:r>
        <w:rPr>
          <w:rFonts w:hint="eastAsia" w:ascii="楷体" w:hAnsi="楷体" w:eastAsia="楷体" w:cs="楷体"/>
          <w:b/>
          <w:bCs/>
          <w:color w:val="auto"/>
          <w:sz w:val="32"/>
          <w:szCs w:val="32"/>
          <w:highlight w:val="none"/>
          <w:lang w:eastAsia="zh-CN"/>
        </w:rPr>
        <w:t>增加</w:t>
      </w:r>
      <w:r>
        <w:rPr>
          <w:rFonts w:hint="eastAsia" w:ascii="楷体" w:hAnsi="楷体" w:eastAsia="楷体" w:cs="楷体"/>
          <w:b/>
          <w:bCs/>
          <w:color w:val="auto"/>
          <w:sz w:val="32"/>
          <w:szCs w:val="32"/>
          <w:highlight w:val="none"/>
          <w:lang w:val="en-US" w:eastAsia="zh-CN"/>
        </w:rPr>
        <w:t xml:space="preserve"> </w:t>
      </w:r>
      <w:r>
        <w:rPr>
          <w:rFonts w:hint="default" w:ascii="楷体" w:hAnsi="楷体" w:eastAsia="楷体" w:cs="楷体"/>
          <w:b/>
          <w:bCs/>
          <w:color w:val="auto"/>
          <w:sz w:val="32"/>
          <w:szCs w:val="32"/>
          <w:highlight w:val="none"/>
        </w:rPr>
        <w:t>7.1 定标方式</w:t>
      </w:r>
    </w:p>
    <w:p w14:paraId="5CE40C01">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除投标人须知前附表规定评标委员会直接确定中标人外，招标人依据评标委员会推荐的中标候选人确定中标人，评标委员会推荐中标候选人的人数见投标人须知前附表6.3。</w:t>
      </w:r>
    </w:p>
    <w:p w14:paraId="6E07DC4E">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7.1.1招标人授权评标委员会确定中标人或根据评标委员会推荐确定中标人（评定分离除外），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0B8DC7ED">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7.1.2 评定分离，招标人根据评标委员会推荐的中标候选人，组建定标委员会，由定标委员会确定中标人。</w:t>
      </w:r>
    </w:p>
    <w:p w14:paraId="5269CC96">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7.1.2.1 定标委员会由招标人负责组建。定标委员会由投标人须知前附表7.1.2.1规定的人数组成。</w:t>
      </w:r>
      <w:r>
        <w:rPr>
          <w:rFonts w:hint="eastAsia" w:ascii="仿宋_GB2312" w:hAnsi="仿宋_GB2312" w:eastAsia="仿宋_GB2312" w:cs="仿宋_GB2312"/>
          <w:color w:val="auto"/>
          <w:sz w:val="32"/>
          <w:szCs w:val="32"/>
          <w:highlight w:val="none"/>
        </w:rPr>
        <w:t>定标委员会成员与中标候选人有利害关系的应主动说明并申请回避</w:t>
      </w:r>
      <w:r>
        <w:rPr>
          <w:rFonts w:hint="eastAsia" w:ascii="仿宋_GB2312" w:hAnsi="仿宋_GB2312" w:eastAsia="仿宋_GB2312" w:cs="仿宋_GB2312"/>
          <w:color w:val="auto"/>
          <w:sz w:val="32"/>
          <w:szCs w:val="32"/>
          <w:highlight w:val="none"/>
        </w:rPr>
        <w:t>，定标委员会名单在中标结果确定前保密。</w:t>
      </w:r>
    </w:p>
    <w:p w14:paraId="10CB7B41">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7.1.2.2 招标人可在投标人须知前附表 7.1.2.2 规定的时间前对所有中标候选人进行考察、质询。考察、质询小组应由投标人须知前附表 7.1.2.2 规定的人数组成。考察、质询小组应如实记录考察、质询情况，并出具考察、质询报告作为定标要素之一。考察、质询报告应客观公正，不得有明示或暗示中标人的内容。</w:t>
      </w:r>
    </w:p>
    <w:p w14:paraId="6839140C">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7.1.2.3 定标会议时间和地点：招标人在投标人须知前附表 7.1.2.3 规定的时间和地点召开定标会议，</w:t>
      </w:r>
      <w:r>
        <w:rPr>
          <w:rFonts w:hint="eastAsia" w:ascii="仿宋_GB2312" w:hAnsi="仿宋_GB2312" w:eastAsia="仿宋_GB2312" w:cs="仿宋_GB2312"/>
          <w:color w:val="auto"/>
          <w:sz w:val="32"/>
          <w:szCs w:val="32"/>
          <w:highlight w:val="none"/>
        </w:rPr>
        <w:t>招标人应邀请纪检监察部门对招标投标活动全过程进行监督</w:t>
      </w:r>
      <w:r>
        <w:rPr>
          <w:rFonts w:hint="eastAsia" w:ascii="仿宋_GB2312" w:hAnsi="仿宋_GB2312" w:eastAsia="仿宋_GB2312" w:cs="仿宋_GB2312"/>
          <w:color w:val="auto"/>
          <w:sz w:val="32"/>
          <w:szCs w:val="32"/>
          <w:highlight w:val="none"/>
        </w:rPr>
        <w:t>。</w:t>
      </w:r>
    </w:p>
    <w:p w14:paraId="02D29CE9">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7.1.2.4招标人在定标会议中可对中标候选人开展现场面试，中标候选人拟派项目经理或项目负责人，以及投标人（联合体投标的，为联合体牵头人）的企业主要负责人（法定代表人、企业经理、企业分管安全生产的副经理、企业技术负责人中任意一人）参加现场面试。</w:t>
      </w:r>
    </w:p>
    <w:p w14:paraId="2BCDBF71">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7.1.2.5 </w:t>
      </w:r>
      <w:r>
        <w:rPr>
          <w:rFonts w:hint="eastAsia" w:ascii="仿宋_GB2312" w:hAnsi="仿宋_GB2312" w:eastAsia="仿宋_GB2312" w:cs="仿宋_GB2312"/>
          <w:color w:val="auto"/>
          <w:sz w:val="32"/>
          <w:szCs w:val="32"/>
          <w:highlight w:val="none"/>
        </w:rPr>
        <w:t>定标要素应参考评标委员会评标报告、质询或考察报告</w:t>
      </w:r>
      <w:r>
        <w:rPr>
          <w:rFonts w:hint="eastAsia" w:ascii="仿宋_GB2312" w:hAnsi="仿宋_GB2312" w:eastAsia="仿宋_GB2312" w:cs="仿宋_GB2312"/>
          <w:color w:val="auto"/>
          <w:sz w:val="32"/>
          <w:szCs w:val="32"/>
          <w:highlight w:val="none"/>
          <w:lang w:eastAsia="zh-CN"/>
        </w:rPr>
        <w:t>（如有）</w:t>
      </w:r>
      <w:r>
        <w:rPr>
          <w:rFonts w:hint="eastAsia" w:ascii="仿宋_GB2312" w:hAnsi="仿宋_GB2312" w:eastAsia="仿宋_GB2312" w:cs="仿宋_GB2312"/>
          <w:color w:val="auto"/>
          <w:sz w:val="32"/>
          <w:szCs w:val="32"/>
          <w:highlight w:val="none"/>
        </w:rPr>
        <w:t>、现场面试情况</w:t>
      </w:r>
      <w:r>
        <w:rPr>
          <w:rFonts w:hint="eastAsia" w:ascii="仿宋_GB2312" w:hAnsi="仿宋_GB2312" w:eastAsia="仿宋_GB2312" w:cs="仿宋_GB2312"/>
          <w:color w:val="auto"/>
          <w:sz w:val="32"/>
          <w:szCs w:val="32"/>
          <w:highlight w:val="none"/>
          <w:lang w:eastAsia="zh-CN"/>
        </w:rPr>
        <w:t>（如有）</w:t>
      </w:r>
      <w:r>
        <w:rPr>
          <w:rFonts w:hint="eastAsia" w:ascii="仿宋_GB2312" w:hAnsi="仿宋_GB2312" w:eastAsia="仿宋_GB2312" w:cs="仿宋_GB2312"/>
          <w:color w:val="auto"/>
          <w:sz w:val="32"/>
          <w:szCs w:val="32"/>
          <w:highlight w:val="none"/>
        </w:rPr>
        <w:t>，此外，还可以包含以下要素：</w:t>
      </w:r>
      <w:bookmarkStart w:id="24" w:name="_GoBack"/>
      <w:bookmarkEnd w:id="24"/>
    </w:p>
    <w:p w14:paraId="1E0A7BD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（1）价格因素：主要包括商务报价高低、主要材料报价的合理性、不平衡报价情况等；</w:t>
      </w:r>
    </w:p>
    <w:p w14:paraId="5ACE5A9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（2）企业实力：主要包括企业规模、资质等级、专业技术人员规模、近年的财务状况、过往业绩（含业绩影响力、难易程度）等；</w:t>
      </w:r>
    </w:p>
    <w:p w14:paraId="25F1ED1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（3）企业信誉：主要包括企业信用情况、过往</w:t>
      </w:r>
      <w:r>
        <w:rPr>
          <w:rFonts w:hint="eastAsia" w:ascii="仿宋_GB2312" w:hAnsi="仿宋_GB2312" w:eastAsia="仿宋_GB2312" w:cs="仿宋_GB2312"/>
          <w:color w:val="auto"/>
          <w:sz w:val="32"/>
          <w:szCs w:val="32"/>
          <w:highlight w:val="none"/>
          <w:lang w:eastAsia="zh-CN"/>
        </w:rPr>
        <w:t>项目</w:t>
      </w:r>
      <w:r>
        <w:rPr>
          <w:rFonts w:hint="eastAsia" w:ascii="仿宋_GB2312" w:hAnsi="仿宋_GB2312" w:eastAsia="仿宋_GB2312" w:cs="仿宋_GB2312"/>
          <w:color w:val="auto"/>
          <w:sz w:val="32"/>
          <w:szCs w:val="32"/>
          <w:highlight w:val="none"/>
        </w:rPr>
        <w:t>履约情况、建设单位</w:t>
      </w:r>
      <w:r>
        <w:rPr>
          <w:rFonts w:hint="eastAsia" w:ascii="仿宋_GB2312" w:hAnsi="仿宋_GB2312" w:eastAsia="仿宋_GB2312" w:cs="仿宋_GB2312"/>
          <w:color w:val="auto"/>
          <w:sz w:val="32"/>
          <w:szCs w:val="32"/>
          <w:highlight w:val="none"/>
          <w:lang w:eastAsia="zh-CN"/>
        </w:rPr>
        <w:t>对项目</w:t>
      </w:r>
      <w:r>
        <w:rPr>
          <w:rFonts w:hint="eastAsia" w:ascii="仿宋_GB2312" w:hAnsi="仿宋_GB2312" w:eastAsia="仿宋_GB2312" w:cs="仿宋_GB2312"/>
          <w:color w:val="auto"/>
          <w:sz w:val="32"/>
          <w:szCs w:val="32"/>
          <w:highlight w:val="none"/>
        </w:rPr>
        <w:t>履约评价情况等（可查询全国和广西建筑市场监管公共服务系统等）；</w:t>
      </w:r>
    </w:p>
    <w:p w14:paraId="78ECBC3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（4）投标方案：主要包括技术标情况、工程建设重难点解决方案、主要材料品牌等；</w:t>
      </w:r>
    </w:p>
    <w:p w14:paraId="7A2D61B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（5）拟派团队能力与水平：主要包括团队主要负责人类似工程业绩、拟派项目团队人员的资信实力等；</w:t>
      </w:r>
    </w:p>
    <w:p w14:paraId="45ABE1D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（6）联合体投标的，联合体组成情况；</w:t>
      </w:r>
    </w:p>
    <w:p w14:paraId="72F7CA6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（7）企业质量安全、无欠薪管理情况；</w:t>
      </w:r>
    </w:p>
    <w:p w14:paraId="634588F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（8）企业项目班组人员到岗履职等管理情况；</w:t>
      </w:r>
    </w:p>
    <w:p w14:paraId="353ABFC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（9）工程保修维护等后续服务便利；</w:t>
      </w:r>
    </w:p>
    <w:p w14:paraId="2E20393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（10）落实建筑业高质量发展政策；</w:t>
      </w:r>
    </w:p>
    <w:p w14:paraId="532FE15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（11）落实政府其他政策；</w:t>
      </w:r>
    </w:p>
    <w:p w14:paraId="7662B32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（12）招标人认为需要考量的其他因素。</w:t>
      </w:r>
    </w:p>
    <w:p w14:paraId="3648A53A">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7.1.2.6定标方法可采用下列方法或者下列方法的组合：</w:t>
      </w:r>
    </w:p>
    <w:p w14:paraId="501620C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（1）票决法。由定标委员会以直接票决或者逐轮票决的方式确定中标人。</w:t>
      </w:r>
    </w:p>
    <w:p w14:paraId="27ACF0F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（2）集体议事法。由定标委员会进行集体商议，定标委员会成员各自发表意见，由定标委员会组长最终确定中标人。所有参加会议的定标委员会成员的意见应当作书面记录，并由定标委员会成员签字确认。</w:t>
      </w:r>
    </w:p>
    <w:p w14:paraId="2F16756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（3）投标人须知前附表7.1.2.6规定的其他定标办法。</w:t>
      </w:r>
    </w:p>
    <w:p w14:paraId="3777EA4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7.1.2.7定标后且中标通知书发出前有下列情形之一的，招标人可以组织原定标委员会从其他中标候选人中按原定标方法确定中标人：</w:t>
      </w:r>
    </w:p>
    <w:p w14:paraId="6C09AFC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（1）中标人放弃中标资格或者拒不签订合同的；</w:t>
      </w:r>
    </w:p>
    <w:p w14:paraId="503741F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（2）中标人被查实存在违法行为影响中标结果的；</w:t>
      </w:r>
    </w:p>
    <w:p w14:paraId="425D8F3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（3）投标人须知前附表7.1.2.7规定的其他情形。</w:t>
      </w:r>
    </w:p>
    <w:p w14:paraId="2762692A">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7.1.2.8定标后有下列情形之一的，应重新定标：</w:t>
      </w:r>
    </w:p>
    <w:p w14:paraId="3804D1E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（1）查实定标委员会未按定标办法公正履职的；</w:t>
      </w:r>
    </w:p>
    <w:p w14:paraId="63AC110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（2）有定标委员会成员与中标候选人有利害关系且未申请回避的；</w:t>
      </w:r>
    </w:p>
    <w:p w14:paraId="58E1698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（3）投标人须知前附表7.1.2.8规定的其他情形。</w:t>
      </w:r>
    </w:p>
    <w:p w14:paraId="09330283">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楷体" w:hAnsi="楷体" w:eastAsia="楷体" w:cs="楷体"/>
          <w:b/>
          <w:bCs/>
          <w:color w:val="auto"/>
          <w:sz w:val="32"/>
          <w:szCs w:val="32"/>
          <w:highlight w:val="none"/>
          <w:lang w:val="en-US" w:eastAsia="zh-CN"/>
        </w:rPr>
      </w:pPr>
      <w:r>
        <w:rPr>
          <w:rFonts w:hint="default" w:ascii="楷体" w:hAnsi="楷体" w:eastAsia="楷体" w:cs="楷体"/>
          <w:b/>
          <w:bCs/>
          <w:color w:val="auto"/>
          <w:sz w:val="32"/>
          <w:szCs w:val="32"/>
          <w:highlight w:val="none"/>
          <w:lang w:val="en-US" w:eastAsia="zh-CN"/>
        </w:rPr>
        <w:t>（三）</w:t>
      </w:r>
      <w:bookmarkStart w:id="0" w:name="_Toc433988610"/>
      <w:bookmarkStart w:id="1" w:name="_Toc419363543"/>
      <w:bookmarkStart w:id="2" w:name="_Toc419364267"/>
      <w:bookmarkStart w:id="3" w:name="_Toc419320140"/>
      <w:bookmarkStart w:id="4" w:name="_Toc419321176"/>
      <w:bookmarkStart w:id="5" w:name="_Toc994784867"/>
      <w:bookmarkStart w:id="6" w:name="_Toc1173877162"/>
      <w:bookmarkStart w:id="7" w:name="_Toc157937784"/>
      <w:bookmarkStart w:id="8" w:name="_Toc1335775281"/>
      <w:bookmarkStart w:id="9" w:name="_Toc115321383"/>
      <w:r>
        <w:rPr>
          <w:rFonts w:hint="default" w:ascii="楷体" w:hAnsi="楷体" w:eastAsia="楷体" w:cs="楷体"/>
          <w:b/>
          <w:bCs/>
          <w:color w:val="auto"/>
          <w:sz w:val="32"/>
          <w:szCs w:val="32"/>
          <w:highlight w:val="none"/>
          <w:lang w:val="en-US" w:eastAsia="zh-CN"/>
        </w:rPr>
        <w:t>“7.2中标通知</w:t>
      </w:r>
      <w:bookmarkEnd w:id="0"/>
      <w:bookmarkEnd w:id="1"/>
      <w:bookmarkEnd w:id="2"/>
      <w:bookmarkEnd w:id="3"/>
      <w:bookmarkEnd w:id="4"/>
      <w:r>
        <w:rPr>
          <w:rFonts w:hint="default" w:ascii="楷体" w:hAnsi="楷体" w:eastAsia="楷体" w:cs="楷体"/>
          <w:b/>
          <w:bCs/>
          <w:color w:val="auto"/>
          <w:sz w:val="32"/>
          <w:szCs w:val="32"/>
          <w:highlight w:val="none"/>
          <w:lang w:val="en-US" w:eastAsia="zh-CN"/>
        </w:rPr>
        <w:t>及中标公告</w:t>
      </w:r>
      <w:bookmarkEnd w:id="5"/>
      <w:bookmarkEnd w:id="6"/>
      <w:bookmarkEnd w:id="7"/>
      <w:bookmarkEnd w:id="8"/>
      <w:bookmarkEnd w:id="9"/>
      <w:r>
        <w:rPr>
          <w:rFonts w:hint="default" w:ascii="楷体" w:hAnsi="楷体" w:eastAsia="楷体" w:cs="楷体"/>
          <w:b/>
          <w:bCs/>
          <w:color w:val="auto"/>
          <w:sz w:val="32"/>
          <w:szCs w:val="32"/>
          <w:highlight w:val="none"/>
          <w:lang w:val="en-US" w:eastAsia="zh-CN"/>
        </w:rPr>
        <w:t>”内容修订为：</w:t>
      </w:r>
    </w:p>
    <w:p w14:paraId="4C71BF5E">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shd w:val="clear" w:color="auto" w:fill="FFFFFF"/>
        </w:rPr>
        <w:t>中标候选人公示期满无异议或异议不成立的，招标人应在公示期结束后，按照招标文件规定的定标办法确定中标人，招标人应当自确定中标人之日起15日内，向工程所在地的县级以上地方人民政府建设行政主管部门提交施工招标投标情况的书面报告，建设行政主管部门自收到书面报告之日起5日内未通知招标人在招标投标活动中有违法行为的，招标人可以向中标人发出中标通知书，同时按规定的格式在发布媒介发出中标公告，将中标结果在全国公共资源交易平台（广西壮族自治区）中通知未中标的投标人。依法必须招标项目的中标结果公示应在广西壮族自治区招标投标公共服务平台上优先发布</w:t>
      </w:r>
      <w:r>
        <w:rPr>
          <w:rFonts w:hint="eastAsia" w:ascii="仿宋_GB2312" w:hAnsi="仿宋_GB2312" w:eastAsia="仿宋_GB2312" w:cs="仿宋_GB2312"/>
          <w:color w:val="auto"/>
          <w:kern w:val="0"/>
          <w:sz w:val="32"/>
          <w:szCs w:val="32"/>
          <w:highlight w:val="none"/>
        </w:rPr>
        <w:t>。</w:t>
      </w:r>
    </w:p>
    <w:p w14:paraId="1DD455FA">
      <w:pPr>
        <w:pStyle w:val="2"/>
        <w:bidi w:val="0"/>
        <w:rPr>
          <w:rFonts w:hint="eastAsia"/>
          <w:color w:val="auto"/>
          <w:highlight w:val="none"/>
        </w:rPr>
      </w:pPr>
      <w:r>
        <w:rPr>
          <w:rFonts w:hint="eastAsia"/>
          <w:color w:val="auto"/>
          <w:highlight w:val="none"/>
        </w:rPr>
        <w:br w:type="textWrapping"/>
      </w:r>
      <w:r>
        <w:rPr>
          <w:rFonts w:hint="eastAsia"/>
          <w:color w:val="auto"/>
          <w:highlight w:val="none"/>
        </w:rPr>
        <w:t>三、目录</w:t>
      </w:r>
    </w:p>
    <w:p w14:paraId="4CB3A6F3">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（一）“第三章 评标办法（经评审的合理低价法）”</w:t>
      </w:r>
    </w:p>
    <w:p w14:paraId="2386074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“第三章 评标办法（经评审的合理低价法）”修订为“第三章 评标和定标办法（经评审的合理低价法）”；</w:t>
      </w:r>
    </w:p>
    <w:p w14:paraId="05DC073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“第三章目录中“评标办法正文部分”修订为“评标和定标办法正文部分”；</w:t>
      </w:r>
    </w:p>
    <w:p w14:paraId="1CBC11B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在“第三章 评标办法（经评审的合理低价法）”目录中增加：“4. 定标办法”和“附件C定标详细方法”。</w:t>
      </w:r>
    </w:p>
    <w:p w14:paraId="1DB63FBF">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楷体" w:hAnsi="楷体" w:eastAsia="楷体" w:cs="楷体"/>
          <w:b/>
          <w:bCs/>
          <w:color w:val="auto"/>
          <w:sz w:val="32"/>
          <w:szCs w:val="32"/>
          <w:highlight w:val="none"/>
        </w:rPr>
      </w:pPr>
      <w:r>
        <w:rPr>
          <w:rFonts w:hint="default" w:ascii="楷体" w:hAnsi="楷体" w:eastAsia="楷体" w:cs="楷体"/>
          <w:b/>
          <w:bCs/>
          <w:color w:val="auto"/>
          <w:sz w:val="32"/>
          <w:szCs w:val="32"/>
          <w:highlight w:val="none"/>
        </w:rPr>
        <w:t>（二）“第三章 评标办法（综合评估法）”：</w:t>
      </w:r>
    </w:p>
    <w:p w14:paraId="3EE6EE2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“第三章 评标办法（综合评估法）”修订为“第三章 评标和定标办法（综合评估法）”；</w:t>
      </w:r>
    </w:p>
    <w:p w14:paraId="4D98187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“第三章目录中“评标办法正文部分”修订为“评标和定标办法正文部分”；</w:t>
      </w:r>
    </w:p>
    <w:p w14:paraId="0E52939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t>3</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在“第三章 评标办法（综合评估法）”目录中增加：“4. 定标办法”和“附件C定标详细方法”。</w:t>
      </w:r>
    </w:p>
    <w:p w14:paraId="252B46E8">
      <w:pPr>
        <w:pStyle w:val="2"/>
        <w:bidi w:val="0"/>
        <w:rPr>
          <w:rFonts w:hint="default" w:ascii="黑体" w:hAnsi="黑体" w:eastAsia="黑体" w:cs="黑体"/>
          <w:b w:val="0"/>
          <w:bCs w:val="0"/>
          <w:color w:val="auto"/>
          <w:sz w:val="32"/>
          <w:szCs w:val="32"/>
          <w:highlight w:val="none"/>
        </w:rPr>
      </w:pPr>
      <w:r>
        <w:rPr>
          <w:rFonts w:hint="default" w:ascii="黑体" w:hAnsi="黑体" w:eastAsia="黑体" w:cs="黑体"/>
          <w:b w:val="0"/>
          <w:bCs w:val="0"/>
          <w:color w:val="auto"/>
          <w:sz w:val="32"/>
          <w:szCs w:val="32"/>
          <w:highlight w:val="none"/>
        </w:rPr>
        <w:br w:type="textWrapping"/>
      </w:r>
      <w:r>
        <w:rPr>
          <w:rFonts w:hint="default" w:ascii="黑体" w:hAnsi="黑体" w:eastAsia="黑体" w:cs="黑体"/>
          <w:b w:val="0"/>
          <w:bCs w:val="0"/>
          <w:color w:val="auto"/>
          <w:sz w:val="32"/>
          <w:szCs w:val="32"/>
          <w:highlight w:val="none"/>
        </w:rPr>
        <w:t>四、第三章 评标办法（经评审的合理低价法）</w:t>
      </w:r>
    </w:p>
    <w:p w14:paraId="66C48D1A">
      <w:pPr>
        <w:pageBreakBefore w:val="0"/>
        <w:kinsoku/>
        <w:wordWrap/>
        <w:overflowPunct/>
        <w:topLinePunct w:val="0"/>
        <w:autoSpaceDE/>
        <w:autoSpaceDN/>
        <w:bidi w:val="0"/>
        <w:adjustRightInd/>
        <w:spacing w:line="540" w:lineRule="exact"/>
        <w:ind w:firstLine="643" w:firstLineChars="200"/>
        <w:textAlignment w:val="auto"/>
        <w:rPr>
          <w:rFonts w:hint="default" w:ascii="楷体" w:hAnsi="楷体" w:eastAsia="楷体" w:cs="楷体"/>
          <w:b/>
          <w:bCs/>
          <w:color w:val="auto"/>
          <w:sz w:val="32"/>
          <w:szCs w:val="32"/>
          <w:highlight w:val="none"/>
        </w:rPr>
      </w:pPr>
      <w:r>
        <w:rPr>
          <w:rFonts w:hint="default" w:ascii="楷体" w:hAnsi="楷体" w:eastAsia="楷体" w:cs="楷体"/>
          <w:b/>
          <w:bCs/>
          <w:color w:val="auto"/>
          <w:sz w:val="32"/>
          <w:szCs w:val="32"/>
          <w:highlight w:val="none"/>
        </w:rPr>
        <w:t>（一）“第三章 评标办法（经评审的合理低价法）”修订为</w:t>
      </w:r>
      <w:r>
        <w:rPr>
          <w:rFonts w:hint="eastAsia" w:ascii="仿宋_GB2312" w:hAnsi="仿宋_GB2312" w:eastAsia="仿宋_GB2312" w:cs="仿宋_GB2312"/>
          <w:b w:val="0"/>
          <w:bCs w:val="0"/>
          <w:color w:val="auto"/>
          <w:sz w:val="32"/>
          <w:szCs w:val="32"/>
          <w:highlight w:val="none"/>
        </w:rPr>
        <w:t>“第三章 评标和定标办法（经评审的合理低价法）”</w:t>
      </w:r>
    </w:p>
    <w:p w14:paraId="37857C05">
      <w:pPr>
        <w:pageBreakBefore w:val="0"/>
        <w:kinsoku/>
        <w:wordWrap/>
        <w:overflowPunct/>
        <w:topLinePunct w:val="0"/>
        <w:autoSpaceDE/>
        <w:autoSpaceDN/>
        <w:bidi w:val="0"/>
        <w:adjustRightInd/>
        <w:spacing w:line="540" w:lineRule="exact"/>
        <w:ind w:firstLine="643" w:firstLineChars="200"/>
        <w:textAlignment w:val="auto"/>
        <w:rPr>
          <w:rFonts w:hint="default" w:ascii="楷体" w:hAnsi="楷体" w:eastAsia="楷体" w:cs="楷体"/>
          <w:b/>
          <w:bCs/>
          <w:color w:val="auto"/>
          <w:sz w:val="32"/>
          <w:szCs w:val="32"/>
          <w:highlight w:val="none"/>
        </w:rPr>
      </w:pPr>
      <w:r>
        <w:rPr>
          <w:rFonts w:hint="default" w:ascii="楷体" w:hAnsi="楷体" w:eastAsia="楷体" w:cs="楷体"/>
          <w:b/>
          <w:bCs/>
          <w:color w:val="auto"/>
          <w:sz w:val="32"/>
          <w:szCs w:val="32"/>
          <w:highlight w:val="none"/>
        </w:rPr>
        <w:t>（二）“A5 推荐中标候选人或者直接确定中标人”修订为：</w:t>
      </w:r>
    </w:p>
    <w:p w14:paraId="22059EAD">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A5.1推荐中标候选人</w:t>
      </w:r>
    </w:p>
    <w:p w14:paraId="3C3475D8">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A5.1.1 除第二章“投标人须知”前附表第7.1款授权直接确定中标人外，评标委员会在推荐中标候选人时，应遵照以下原则：</w:t>
      </w:r>
    </w:p>
    <w:p w14:paraId="56BE8A68">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（1）评标委员会按照最终</w:t>
      </w:r>
      <w:r>
        <w:rPr>
          <w:rFonts w:hint="eastAsia" w:ascii="仿宋_GB2312" w:hAnsi="仿宋_GB2312" w:eastAsia="仿宋_GB2312" w:cs="仿宋_GB2312"/>
          <w:color w:val="auto"/>
          <w:sz w:val="32"/>
          <w:szCs w:val="32"/>
          <w:highlight w:val="none"/>
        </w:rPr>
        <w:t>得分由高至低的次序排列</w:t>
      </w:r>
      <w:r>
        <w:rPr>
          <w:rFonts w:hint="eastAsia" w:ascii="仿宋_GB2312" w:hAnsi="仿宋_GB2312" w:eastAsia="仿宋_GB2312" w:cs="仿宋_GB2312"/>
          <w:color w:val="auto"/>
          <w:sz w:val="32"/>
          <w:szCs w:val="32"/>
          <w:highlight w:val="none"/>
        </w:rPr>
        <w:t>，并根据第二章“投标人须知”前附表第6.3款规定及本章的规定推荐中标候选人。</w:t>
      </w:r>
    </w:p>
    <w:p w14:paraId="599FD2A1">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如果评标委员会根据本章的规定作否决投标处理后，有效投标不足三个，且少于第二章“投标人须知”前附表第6.3款规定的中标候选人数量的，如经评标委员会评定仍具备竞争性的，可以将所有有效投标按投标人汇总得分由高至低的次序作为中标候选人向招标人推荐。如果因评标委员会否决投标后有效投标不足三个且评标委员会评定明显缺乏竞争的，评标委员会可以否决所有投标。</w:t>
      </w:r>
    </w:p>
    <w:p w14:paraId="71A7997A">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A5.1.2 投标截止时间前递交投标文件的投标人数量少于三个或者所有投标被否决的，招标人应当依法重新招标。</w:t>
      </w:r>
    </w:p>
    <w:p w14:paraId="77C1F6CF">
      <w:pPr>
        <w:pageBreakBefore w:val="0"/>
        <w:kinsoku/>
        <w:wordWrap/>
        <w:overflowPunct/>
        <w:topLinePunct w:val="0"/>
        <w:autoSpaceDE/>
        <w:autoSpaceDN/>
        <w:bidi w:val="0"/>
        <w:adjustRightInd/>
        <w:spacing w:line="540" w:lineRule="exact"/>
        <w:ind w:firstLine="643" w:firstLineChars="200"/>
        <w:textAlignment w:val="auto"/>
        <w:rPr>
          <w:rFonts w:hint="default" w:ascii="楷体" w:hAnsi="楷体" w:eastAsia="楷体" w:cs="楷体"/>
          <w:b/>
          <w:bCs/>
          <w:color w:val="auto"/>
          <w:sz w:val="32"/>
          <w:szCs w:val="32"/>
          <w:highlight w:val="none"/>
        </w:rPr>
      </w:pPr>
      <w:r>
        <w:rPr>
          <w:rFonts w:hint="default" w:ascii="楷体" w:hAnsi="楷体" w:eastAsia="楷体" w:cs="楷体"/>
          <w:b/>
          <w:bCs/>
          <w:color w:val="auto"/>
          <w:sz w:val="32"/>
          <w:szCs w:val="32"/>
          <w:highlight w:val="none"/>
        </w:rPr>
        <w:t>（三）“评标和定标办法正文”部分补充：</w:t>
      </w:r>
    </w:p>
    <w:p w14:paraId="684BAC2A">
      <w:pPr>
        <w:pageBreakBefore w:val="0"/>
        <w:kinsoku/>
        <w:wordWrap/>
        <w:overflowPunct/>
        <w:topLinePunct w:val="0"/>
        <w:autoSpaceDE/>
        <w:autoSpaceDN/>
        <w:bidi w:val="0"/>
        <w:adjustRightInd/>
        <w:spacing w:line="54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sz w:val="32"/>
          <w:szCs w:val="32"/>
          <w:highlight w:val="none"/>
        </w:rPr>
        <w:t>4.定标办法（适用于“评定分离”项目）</w:t>
      </w:r>
    </w:p>
    <w:p w14:paraId="2E2739A9">
      <w:pPr>
        <w:pageBreakBefore w:val="0"/>
        <w:kinsoku/>
        <w:wordWrap/>
        <w:overflowPunct/>
        <w:topLinePunct w:val="0"/>
        <w:autoSpaceDE/>
        <w:autoSpaceDN/>
        <w:bidi w:val="0"/>
        <w:adjustRightInd/>
        <w:spacing w:line="54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sz w:val="32"/>
          <w:szCs w:val="32"/>
          <w:highlight w:val="none"/>
        </w:rPr>
        <w:t>4.1定标原则</w:t>
      </w:r>
    </w:p>
    <w:p w14:paraId="12AC3711">
      <w:pPr>
        <w:pageBreakBefore w:val="0"/>
        <w:kinsoku/>
        <w:wordWrap/>
        <w:overflowPunct/>
        <w:topLinePunct w:val="0"/>
        <w:autoSpaceDE/>
        <w:autoSpaceDN/>
        <w:bidi w:val="0"/>
        <w:adjustRightInd/>
        <w:spacing w:line="54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sz w:val="32"/>
          <w:szCs w:val="32"/>
          <w:highlight w:val="none"/>
        </w:rPr>
        <w:t>定标应遵循招标人负责制、公开透明、诚信守约的原则。</w:t>
      </w:r>
    </w:p>
    <w:p w14:paraId="51CFF694">
      <w:pPr>
        <w:pageBreakBefore w:val="0"/>
        <w:kinsoku/>
        <w:wordWrap/>
        <w:overflowPunct/>
        <w:topLinePunct w:val="0"/>
        <w:autoSpaceDE/>
        <w:autoSpaceDN/>
        <w:bidi w:val="0"/>
        <w:adjustRightInd/>
        <w:spacing w:line="54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sz w:val="32"/>
          <w:szCs w:val="32"/>
          <w:highlight w:val="none"/>
        </w:rPr>
        <w:t>4.2定标组织</w:t>
      </w:r>
    </w:p>
    <w:p w14:paraId="4585CA66">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4.2.1.定标工作由招标人组建的定标委员会负责，定标委员会的组建：</w:t>
      </w:r>
    </w:p>
    <w:p w14:paraId="345C4A60">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（1）定标委员会组建人数见投标人须知前附表。</w:t>
      </w:r>
    </w:p>
    <w:p w14:paraId="15F42B15">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（2）定标委员会成员一般由</w:t>
      </w:r>
      <w:r>
        <w:rPr>
          <w:rFonts w:hint="eastAsia" w:ascii="仿宋_GB2312" w:hAnsi="仿宋_GB2312" w:eastAsia="仿宋_GB2312" w:cs="仿宋_GB2312"/>
          <w:color w:val="auto"/>
          <w:sz w:val="32"/>
          <w:szCs w:val="32"/>
          <w:highlight w:val="none"/>
        </w:rPr>
        <w:t>招标人代表、项目业主代表和项目使用单位代表组成</w:t>
      </w:r>
      <w:r>
        <w:rPr>
          <w:rFonts w:hint="eastAsia" w:ascii="仿宋_GB2312" w:hAnsi="仿宋_GB2312" w:eastAsia="仿宋_GB2312" w:cs="仿宋_GB2312"/>
          <w:color w:val="auto"/>
          <w:sz w:val="32"/>
          <w:szCs w:val="32"/>
          <w:highlight w:val="none"/>
        </w:rPr>
        <w:t>。确有需要的，招标人可邀请外部专家担任定标委员会成员，但邀请的外部成员人数不得超过定标委员会成员总人数的二分之一。评标委员会成员原则上不得担任定标委员会成员。</w:t>
      </w:r>
    </w:p>
    <w:p w14:paraId="48C483EB">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w:t>
      </w:r>
      <w:r>
        <w:rPr>
          <w:rFonts w:hint="eastAsia" w:ascii="仿宋_GB2312" w:hAnsi="仿宋_GB2312" w:eastAsia="仿宋_GB2312" w:cs="仿宋_GB2312"/>
          <w:color w:val="auto"/>
          <w:sz w:val="32"/>
          <w:szCs w:val="32"/>
          <w:highlight w:val="none"/>
        </w:rPr>
        <w:t>招标人的法定代表人或主要负责人或分管负责人应进入定标委员会，并担任组长，主持定标会议</w:t>
      </w:r>
      <w:r>
        <w:rPr>
          <w:rFonts w:hint="eastAsia" w:ascii="仿宋_GB2312" w:hAnsi="仿宋_GB2312" w:eastAsia="仿宋_GB2312" w:cs="仿宋_GB2312"/>
          <w:color w:val="auto"/>
          <w:sz w:val="32"/>
          <w:szCs w:val="32"/>
          <w:highlight w:val="none"/>
        </w:rPr>
        <w:t>。招标人的法定代表人、主要负责人、分管负责人均进入定标委员会的，或其中两人进入定标委员会的，应从其中推选一人担任组长。</w:t>
      </w:r>
    </w:p>
    <w:p w14:paraId="537F6FA0">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（4）定标委员会成员与中标候选人有利害关系的应主动说明并申请回避。</w:t>
      </w:r>
    </w:p>
    <w:p w14:paraId="1D5670C7">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（5）定标委员会名单在中标结果确定前应保密。</w:t>
      </w:r>
    </w:p>
    <w:p w14:paraId="0E17D145">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4.2.2.定标委员会应当按照招标文件确定的定标标准和方法，客观、公正定标，招标文件没有规定的定标标准和方法不得作为定标的依据。</w:t>
      </w:r>
    </w:p>
    <w:p w14:paraId="0CBB7A3D">
      <w:pPr>
        <w:pageBreakBefore w:val="0"/>
        <w:kinsoku/>
        <w:wordWrap/>
        <w:overflowPunct/>
        <w:topLinePunct w:val="0"/>
        <w:autoSpaceDE/>
        <w:autoSpaceDN/>
        <w:bidi w:val="0"/>
        <w:adjustRightInd/>
        <w:spacing w:line="540" w:lineRule="exact"/>
        <w:ind w:firstLine="643" w:firstLineChars="200"/>
        <w:textAlignment w:val="auto"/>
        <w:rPr>
          <w:rFonts w:hint="default"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（四）在第三章中增加“附件C详细</w:t>
      </w:r>
      <w:r>
        <w:rPr>
          <w:rFonts w:hint="default" w:ascii="楷体" w:hAnsi="楷体" w:eastAsia="楷体" w:cs="楷体"/>
          <w:b/>
          <w:bCs/>
          <w:color w:val="auto"/>
          <w:sz w:val="32"/>
          <w:szCs w:val="32"/>
          <w:highlight w:val="none"/>
        </w:rPr>
        <w:t>定标方法</w:t>
      </w:r>
      <w:r>
        <w:rPr>
          <w:rFonts w:hint="eastAsia" w:ascii="楷体" w:hAnsi="楷体" w:eastAsia="楷体" w:cs="楷体"/>
          <w:b/>
          <w:bCs/>
          <w:color w:val="auto"/>
          <w:sz w:val="32"/>
          <w:szCs w:val="32"/>
          <w:highlight w:val="none"/>
        </w:rPr>
        <w:t>”</w:t>
      </w:r>
    </w:p>
    <w:p w14:paraId="7244FBD9">
      <w:pPr>
        <w:pageBreakBefore w:val="0"/>
        <w:kinsoku/>
        <w:wordWrap/>
        <w:overflowPunct/>
        <w:topLinePunct w:val="0"/>
        <w:autoSpaceDE/>
        <w:autoSpaceDN/>
        <w:bidi w:val="0"/>
        <w:adjustRightInd/>
        <w:spacing w:line="540" w:lineRule="exact"/>
        <w:ind w:firstLine="643" w:firstLineChars="200"/>
        <w:textAlignment w:val="auto"/>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C0 总则</w:t>
      </w:r>
    </w:p>
    <w:p w14:paraId="2950C382">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附件所集中列示的定标方法，是本章“评标和定标办法”的组成部分，是对第二章“投标人须知”和本章正文部分所规定的定标办法的总结和补充，如果出现相互矛盾的情况，以第二章“投标人须知”和本章正文部分的规定为准。</w:t>
      </w:r>
    </w:p>
    <w:p w14:paraId="0CB51733">
      <w:pPr>
        <w:pageBreakBefore w:val="0"/>
        <w:kinsoku/>
        <w:wordWrap/>
        <w:overflowPunct/>
        <w:topLinePunct w:val="0"/>
        <w:autoSpaceDE/>
        <w:autoSpaceDN/>
        <w:bidi w:val="0"/>
        <w:adjustRightInd/>
        <w:spacing w:line="540" w:lineRule="exact"/>
        <w:ind w:firstLine="643" w:firstLineChars="200"/>
        <w:textAlignment w:val="auto"/>
        <w:rPr>
          <w:rFonts w:hint="default"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C1定标委员会按下列方法确定中标人：</w:t>
      </w:r>
    </w:p>
    <w:p w14:paraId="6877F4ED">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（由试点城市自行拟定）</w:t>
      </w:r>
    </w:p>
    <w:p w14:paraId="1861D191">
      <w:pPr>
        <w:pageBreakBefore w:val="0"/>
        <w:kinsoku/>
        <w:wordWrap/>
        <w:overflowPunct/>
        <w:topLinePunct w:val="0"/>
        <w:autoSpaceDE/>
        <w:autoSpaceDN/>
        <w:bidi w:val="0"/>
        <w:adjustRightInd/>
        <w:spacing w:line="540" w:lineRule="exact"/>
        <w:ind w:firstLine="643" w:firstLineChars="200"/>
        <w:textAlignment w:val="auto"/>
        <w:rPr>
          <w:rFonts w:hint="default"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C2定标报告</w:t>
      </w:r>
    </w:p>
    <w:p w14:paraId="576D34B4">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C2.1.定标委员会应当向招标人提交书面定标报告。定标报告由定标委员会全体成员签字。对定标结果有不同意见的定标委员会成员应当以书面形式说明其不同意见和理由，定标报告应当注明该不同意见。定标委员会成员拒绝在定标报告上签字又不书面说明其不同意见和理由的，视为同意定标结果。</w:t>
      </w:r>
    </w:p>
    <w:p w14:paraId="36D2F8EC">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C2.2.定标报告应包括以下内容：</w:t>
      </w:r>
    </w:p>
    <w:p w14:paraId="5A226251">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（1）定标程序；</w:t>
      </w:r>
    </w:p>
    <w:p w14:paraId="09D60208">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（2）定标委员名单；</w:t>
      </w:r>
    </w:p>
    <w:p w14:paraId="6E5AE9C7">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（3）定标要素；</w:t>
      </w:r>
    </w:p>
    <w:p w14:paraId="449F27D7">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（4）定标办法；</w:t>
      </w:r>
    </w:p>
    <w:p w14:paraId="2F007A8A">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（5）定标结果。</w:t>
      </w:r>
    </w:p>
    <w:p w14:paraId="4929CA91">
      <w:pPr>
        <w:pStyle w:val="2"/>
        <w:bidi w:val="0"/>
        <w:rPr>
          <w:rFonts w:hint="default"/>
          <w:color w:val="auto"/>
          <w:highlight w:val="none"/>
          <w:lang w:val="en-US" w:eastAsia="zh-CN"/>
        </w:rPr>
      </w:pPr>
      <w:r>
        <w:rPr>
          <w:rFonts w:hint="eastAsia"/>
          <w:color w:val="auto"/>
          <w:highlight w:val="none"/>
          <w:lang w:val="en-US" w:eastAsia="zh-CN"/>
        </w:rPr>
        <w:br w:type="textWrapping"/>
      </w:r>
      <w:r>
        <w:rPr>
          <w:rFonts w:hint="eastAsia"/>
          <w:color w:val="auto"/>
          <w:highlight w:val="none"/>
          <w:lang w:val="en-US" w:eastAsia="zh-CN"/>
        </w:rPr>
        <w:t>五、</w:t>
      </w:r>
      <w:bookmarkStart w:id="10" w:name="_Toc1866381689"/>
      <w:bookmarkStart w:id="11" w:name="_Toc433988670"/>
      <w:bookmarkStart w:id="12" w:name="_Toc857391693"/>
      <w:bookmarkStart w:id="13" w:name="_Toc419363638"/>
      <w:bookmarkStart w:id="14" w:name="_Toc1960593354"/>
      <w:bookmarkStart w:id="15" w:name="_Toc419364327"/>
      <w:bookmarkStart w:id="16" w:name="_Toc1266126590"/>
      <w:bookmarkStart w:id="17" w:name="_Toc419321236"/>
      <w:bookmarkStart w:id="18" w:name="_Toc749253163"/>
      <w:bookmarkStart w:id="19" w:name="_Toc419320200"/>
      <w:r>
        <w:rPr>
          <w:rFonts w:hint="eastAsia"/>
          <w:color w:val="auto"/>
          <w:highlight w:val="none"/>
          <w:lang w:val="en-US" w:eastAsia="zh-CN"/>
        </w:rPr>
        <w:t>第三章 评标办法（综合评估法）</w:t>
      </w:r>
    </w:p>
    <w:bookmarkEnd w:id="10"/>
    <w:bookmarkEnd w:id="11"/>
    <w:bookmarkEnd w:id="12"/>
    <w:bookmarkEnd w:id="13"/>
    <w:bookmarkEnd w:id="14"/>
    <w:bookmarkEnd w:id="15"/>
    <w:bookmarkEnd w:id="16"/>
    <w:bookmarkEnd w:id="17"/>
    <w:bookmarkEnd w:id="18"/>
    <w:bookmarkEnd w:id="19"/>
    <w:p w14:paraId="32A41114">
      <w:pPr>
        <w:pageBreakBefore w:val="0"/>
        <w:kinsoku/>
        <w:wordWrap/>
        <w:overflowPunct/>
        <w:topLinePunct w:val="0"/>
        <w:autoSpaceDE/>
        <w:autoSpaceDN/>
        <w:bidi w:val="0"/>
        <w:adjustRightInd/>
        <w:spacing w:line="540" w:lineRule="exact"/>
        <w:ind w:firstLine="643" w:firstLineChars="200"/>
        <w:textAlignment w:val="auto"/>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（一）“第三章 评标办法（综合评估法）”</w:t>
      </w:r>
      <w:r>
        <w:rPr>
          <w:rFonts w:hint="eastAsia" w:ascii="仿宋_GB2312" w:hAnsi="仿宋_GB2312" w:eastAsia="仿宋_GB2312" w:cs="仿宋_GB2312"/>
          <w:b w:val="0"/>
          <w:bCs w:val="0"/>
          <w:color w:val="auto"/>
          <w:sz w:val="32"/>
          <w:szCs w:val="32"/>
          <w:highlight w:val="none"/>
        </w:rPr>
        <w:t>修订为“第三章 评标和定标办法（综合评估法）”</w:t>
      </w:r>
    </w:p>
    <w:p w14:paraId="721578E6">
      <w:pPr>
        <w:pageBreakBefore w:val="0"/>
        <w:kinsoku/>
        <w:wordWrap/>
        <w:overflowPunct/>
        <w:topLinePunct w:val="0"/>
        <w:autoSpaceDE/>
        <w:autoSpaceDN/>
        <w:bidi w:val="0"/>
        <w:adjustRightInd/>
        <w:spacing w:line="54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楷体" w:hAnsi="楷体" w:eastAsia="楷体" w:cs="楷体"/>
          <w:b/>
          <w:bCs/>
          <w:color w:val="auto"/>
          <w:sz w:val="32"/>
          <w:szCs w:val="32"/>
          <w:highlight w:val="none"/>
        </w:rPr>
        <w:t>（二</w:t>
      </w:r>
      <w:r>
        <w:rPr>
          <w:rFonts w:hint="eastAsia" w:ascii="楷体" w:hAnsi="楷体" w:eastAsia="楷体" w:cs="楷体"/>
          <w:b/>
          <w:bCs/>
          <w:color w:val="auto"/>
          <w:sz w:val="32"/>
          <w:szCs w:val="32"/>
          <w:highlight w:val="none"/>
          <w:lang w:eastAsia="zh-CN"/>
        </w:rPr>
        <w:t>）</w:t>
      </w:r>
      <w:r>
        <w:rPr>
          <w:rFonts w:hint="eastAsia" w:ascii="楷体" w:hAnsi="楷体" w:eastAsia="楷体" w:cs="楷体"/>
          <w:b/>
          <w:bCs/>
          <w:color w:val="auto"/>
          <w:sz w:val="32"/>
          <w:szCs w:val="32"/>
          <w:highlight w:val="none"/>
        </w:rPr>
        <w:t>“A5 推荐中标候选人或者直接确定中标人”</w:t>
      </w:r>
      <w:r>
        <w:rPr>
          <w:rFonts w:hint="eastAsia" w:ascii="仿宋_GB2312" w:hAnsi="仿宋_GB2312" w:eastAsia="仿宋_GB2312" w:cs="仿宋_GB2312"/>
          <w:color w:val="auto"/>
          <w:sz w:val="32"/>
          <w:szCs w:val="32"/>
          <w:highlight w:val="none"/>
        </w:rPr>
        <w:t>修订为：</w:t>
      </w:r>
    </w:p>
    <w:p w14:paraId="52174675">
      <w:pPr>
        <w:pageBreakBefore w:val="0"/>
        <w:kinsoku/>
        <w:wordWrap/>
        <w:overflowPunct/>
        <w:topLinePunct w:val="0"/>
        <w:autoSpaceDE/>
        <w:autoSpaceDN/>
        <w:bidi w:val="0"/>
        <w:adjustRightInd/>
        <w:spacing w:line="540" w:lineRule="exact"/>
        <w:ind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A5.1推荐中标候选人</w:t>
      </w:r>
    </w:p>
    <w:p w14:paraId="6B69B837">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bookmarkStart w:id="20" w:name="_Toc433988672"/>
      <w:r>
        <w:rPr>
          <w:rFonts w:hint="eastAsia" w:ascii="仿宋_GB2312" w:hAnsi="仿宋_GB2312" w:eastAsia="仿宋_GB2312" w:cs="仿宋_GB2312"/>
          <w:color w:val="auto"/>
          <w:sz w:val="32"/>
          <w:szCs w:val="32"/>
          <w:highlight w:val="none"/>
        </w:rPr>
        <w:t>A5.1.1 除第二章“投标人须知”前附表第7.1款授权直接确定中标人外，评标委员会在推荐中标候选人时，应遵照以下原则：</w:t>
      </w:r>
      <w:bookmarkEnd w:id="20"/>
    </w:p>
    <w:p w14:paraId="28030B84">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bookmarkStart w:id="21" w:name="_Toc433988673"/>
      <w:r>
        <w:rPr>
          <w:rFonts w:hint="eastAsia" w:ascii="仿宋_GB2312" w:hAnsi="仿宋_GB2312" w:eastAsia="仿宋_GB2312" w:cs="仿宋_GB2312"/>
          <w:color w:val="auto"/>
          <w:sz w:val="32"/>
          <w:szCs w:val="32"/>
          <w:highlight w:val="none"/>
        </w:rPr>
        <w:t>（1）评标委员会按照最终得分由高至低的次序排列，并根据第二章“投标人须知”前附表第6.3款规定及本章的规定推荐中标候选人。</w:t>
      </w:r>
      <w:bookmarkEnd w:id="21"/>
    </w:p>
    <w:p w14:paraId="448003A5">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bookmarkStart w:id="22" w:name="_Toc433988674"/>
      <w:r>
        <w:rPr>
          <w:rFonts w:hint="eastAsia" w:ascii="仿宋_GB2312" w:hAnsi="仿宋_GB2312" w:eastAsia="仿宋_GB2312" w:cs="仿宋_GB2312"/>
          <w:color w:val="auto"/>
          <w:sz w:val="32"/>
          <w:szCs w:val="32"/>
          <w:highlight w:val="none"/>
        </w:rPr>
        <w:t>（2）如果评标委员会根据本章的规定作否决投标处理后，有效投标不足三个，且少于第二章“投标人须知”前附表第6.3款规定的中标候选人数量的，如经评标委员会评定仍具备竞争性的，可以将所有有效投标按投标人汇总得分由高至低的次序作为中标候选人向招标人推荐。如果因评标委员会否决投标后有效投标不足三个且评标委员会评定明显缺乏竞争的，评标委员会可以否决所有投标。</w:t>
      </w:r>
    </w:p>
    <w:bookmarkEnd w:id="22"/>
    <w:p w14:paraId="4395A9E8">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bookmarkStart w:id="23" w:name="_Toc433988675"/>
      <w:r>
        <w:rPr>
          <w:rFonts w:hint="eastAsia" w:ascii="仿宋_GB2312" w:hAnsi="仿宋_GB2312" w:eastAsia="仿宋_GB2312" w:cs="仿宋_GB2312"/>
          <w:color w:val="auto"/>
          <w:sz w:val="32"/>
          <w:szCs w:val="32"/>
          <w:highlight w:val="none"/>
        </w:rPr>
        <w:t>A5.1.2 投标截止时间前递交投标文件的投标人数量少于三个或者所有投标被否决的，招标人应当依法重新招标。</w:t>
      </w:r>
      <w:bookmarkEnd w:id="23"/>
    </w:p>
    <w:p w14:paraId="2034DE32">
      <w:pPr>
        <w:pageBreakBefore w:val="0"/>
        <w:kinsoku/>
        <w:wordWrap/>
        <w:overflowPunct/>
        <w:topLinePunct w:val="0"/>
        <w:autoSpaceDE/>
        <w:autoSpaceDN/>
        <w:bidi w:val="0"/>
        <w:adjustRightInd/>
        <w:spacing w:line="540" w:lineRule="exact"/>
        <w:ind w:firstLine="643" w:firstLineChars="200"/>
        <w:textAlignment w:val="auto"/>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（三）“评标和定标办法正文”部分补充：</w:t>
      </w:r>
    </w:p>
    <w:p w14:paraId="18B80A6C">
      <w:pPr>
        <w:pageBreakBefore w:val="0"/>
        <w:kinsoku/>
        <w:wordWrap/>
        <w:overflowPunct/>
        <w:topLinePunct w:val="0"/>
        <w:autoSpaceDE/>
        <w:autoSpaceDN/>
        <w:bidi w:val="0"/>
        <w:adjustRightInd/>
        <w:spacing w:line="540" w:lineRule="exact"/>
        <w:ind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4.定标办法（适用于“评定分离”项目）</w:t>
      </w:r>
    </w:p>
    <w:p w14:paraId="24D44515">
      <w:pPr>
        <w:pageBreakBefore w:val="0"/>
        <w:kinsoku/>
        <w:wordWrap/>
        <w:overflowPunct/>
        <w:topLinePunct w:val="0"/>
        <w:autoSpaceDE/>
        <w:autoSpaceDN/>
        <w:bidi w:val="0"/>
        <w:adjustRightInd/>
        <w:spacing w:line="540" w:lineRule="exact"/>
        <w:ind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4.1定标原则</w:t>
      </w:r>
    </w:p>
    <w:p w14:paraId="68086D05">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定标应遵循招标人负责制、公开透明、诚信守约的原则。</w:t>
      </w:r>
    </w:p>
    <w:p w14:paraId="17782C00">
      <w:pPr>
        <w:pageBreakBefore w:val="0"/>
        <w:kinsoku/>
        <w:wordWrap/>
        <w:overflowPunct/>
        <w:topLinePunct w:val="0"/>
        <w:autoSpaceDE/>
        <w:autoSpaceDN/>
        <w:bidi w:val="0"/>
        <w:adjustRightInd/>
        <w:spacing w:line="540" w:lineRule="exact"/>
        <w:ind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4.2定标组织</w:t>
      </w:r>
    </w:p>
    <w:p w14:paraId="64C408B5">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4.2.1.定标工作由招标人组建的定标委员会负责，定标委员会的组建：</w:t>
      </w:r>
    </w:p>
    <w:p w14:paraId="2B57C875">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（1）定标委员会组建人数见投标人须知前附表。</w:t>
      </w:r>
    </w:p>
    <w:p w14:paraId="0972481F">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（2）定标委员会成员一般由招标人代表、项目业主代表和项目使用单位代表组成。</w:t>
      </w:r>
      <w:r>
        <w:rPr>
          <w:rFonts w:hint="eastAsia" w:ascii="仿宋_GB2312" w:hAnsi="仿宋_GB2312" w:eastAsia="仿宋_GB2312" w:cs="仿宋_GB2312"/>
          <w:color w:val="auto"/>
          <w:sz w:val="32"/>
          <w:szCs w:val="32"/>
          <w:highlight w:val="none"/>
        </w:rPr>
        <w:t>确有需要的，招标人可邀请外部专家担任定标委员会成员，但邀请的外部成员人数不得超过定标委员会成员总人数的二分之一</w:t>
      </w:r>
      <w:r>
        <w:rPr>
          <w:rFonts w:hint="eastAsia" w:ascii="仿宋_GB2312" w:hAnsi="仿宋_GB2312" w:eastAsia="仿宋_GB2312" w:cs="仿宋_GB2312"/>
          <w:color w:val="auto"/>
          <w:sz w:val="32"/>
          <w:szCs w:val="32"/>
          <w:highlight w:val="none"/>
        </w:rPr>
        <w:t>。评标委员会成员原则上不得担任定标委员会成员。</w:t>
      </w:r>
    </w:p>
    <w:p w14:paraId="506DBE5F">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招标人的法定代表人或主要负责人或分管负责人应进入定标委员会，并担任组长，主持定标会议。招标人的法定代表人、主要负责人、分管负责人均进入定标委员会的，或其中两人进入定标委员会的，应从其中推选一人担任组长。</w:t>
      </w:r>
    </w:p>
    <w:p w14:paraId="59561D46">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（4）定标委员会成员与中标候选人有利害关系的应主动说明并申请回避。</w:t>
      </w:r>
    </w:p>
    <w:p w14:paraId="5C6B6423">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（5）定标委员会名单在中标结果确定前应保密。</w:t>
      </w:r>
    </w:p>
    <w:p w14:paraId="42875A80">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4.2.2.定标委员会应当按照招标文件确定的定标标准和方法，客观、公正定标，招标文件没有规定的定标标准和方法不得作为定标的依据。</w:t>
      </w:r>
    </w:p>
    <w:p w14:paraId="62D4CBBF">
      <w:pPr>
        <w:pageBreakBefore w:val="0"/>
        <w:kinsoku/>
        <w:wordWrap/>
        <w:overflowPunct/>
        <w:topLinePunct w:val="0"/>
        <w:autoSpaceDE/>
        <w:autoSpaceDN/>
        <w:bidi w:val="0"/>
        <w:adjustRightInd/>
        <w:spacing w:line="540" w:lineRule="exact"/>
        <w:ind w:firstLine="643" w:firstLineChars="200"/>
        <w:textAlignment w:val="auto"/>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（四）在第三章中增加“附件C详细定标方法”</w:t>
      </w:r>
    </w:p>
    <w:p w14:paraId="08FF85C5">
      <w:pPr>
        <w:pageBreakBefore w:val="0"/>
        <w:kinsoku/>
        <w:wordWrap/>
        <w:overflowPunct/>
        <w:topLinePunct w:val="0"/>
        <w:autoSpaceDE/>
        <w:autoSpaceDN/>
        <w:bidi w:val="0"/>
        <w:adjustRightInd/>
        <w:spacing w:line="540" w:lineRule="exact"/>
        <w:ind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C0 总则</w:t>
      </w:r>
    </w:p>
    <w:p w14:paraId="78BD7EF1">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附件所集中列示的定标方法，是本章“评标和定标办法”的组成部分，是对第二章“投标人须知”和本章正文部分所规定的定标办法的总结和补充，如果出现相互矛盾的情况，以第二章“投标人须知”和本章正文部分的规定为准。</w:t>
      </w:r>
    </w:p>
    <w:p w14:paraId="29113C24">
      <w:pPr>
        <w:pageBreakBefore w:val="0"/>
        <w:kinsoku/>
        <w:wordWrap/>
        <w:overflowPunct/>
        <w:topLinePunct w:val="0"/>
        <w:autoSpaceDE/>
        <w:autoSpaceDN/>
        <w:bidi w:val="0"/>
        <w:adjustRightInd/>
        <w:spacing w:line="540" w:lineRule="exact"/>
        <w:ind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C1定标委员会按下列方法确定中标人：</w:t>
      </w:r>
    </w:p>
    <w:p w14:paraId="328F7998">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由试点城市自行拟定</w:t>
      </w:r>
    </w:p>
    <w:p w14:paraId="259C0393">
      <w:pPr>
        <w:pageBreakBefore w:val="0"/>
        <w:kinsoku/>
        <w:wordWrap/>
        <w:overflowPunct/>
        <w:topLinePunct w:val="0"/>
        <w:autoSpaceDE/>
        <w:autoSpaceDN/>
        <w:bidi w:val="0"/>
        <w:adjustRightInd/>
        <w:spacing w:line="540" w:lineRule="exact"/>
        <w:ind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C2定标报告</w:t>
      </w:r>
    </w:p>
    <w:p w14:paraId="47564A24">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C2.1.定标委员会应当向招标人提交书面定标报告。定标报告由定标委员会全体成员签字。对定标结果有不同意见的定标委员会成员应当以书面形式说明其不同意见和理由，定标报告应当注明该不同意见。定标委员会成员拒绝在定标报告上签字又不书面说明其不同意见和理由的，视为同意定标结果。</w:t>
      </w:r>
    </w:p>
    <w:p w14:paraId="401191C3">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C2.2.定标报告应包括以下内容：</w:t>
      </w:r>
    </w:p>
    <w:p w14:paraId="1A6A8A98">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（1）定标程序；</w:t>
      </w:r>
    </w:p>
    <w:p w14:paraId="089C52F5">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（2）定标委员名单；</w:t>
      </w:r>
    </w:p>
    <w:p w14:paraId="2AE16D14">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（3）定标要素；</w:t>
      </w:r>
    </w:p>
    <w:p w14:paraId="5C62C067">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（4）定标办法；</w:t>
      </w:r>
    </w:p>
    <w:p w14:paraId="0CE32FD3">
      <w:pPr>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（5）定标结果。</w:t>
      </w:r>
    </w:p>
    <w:p w14:paraId="5DBCB350">
      <w:pPr>
        <w:pageBreakBefore w:val="0"/>
        <w:kinsoku/>
        <w:wordWrap/>
        <w:overflowPunct/>
        <w:topLinePunct w:val="0"/>
        <w:autoSpaceDE/>
        <w:autoSpaceDN/>
        <w:bidi w:val="0"/>
        <w:adjustRightInd/>
        <w:spacing w:line="540" w:lineRule="exact"/>
        <w:ind w:firstLine="640" w:firstLineChars="200"/>
        <w:textAlignment w:val="auto"/>
        <w:rPr>
          <w:rFonts w:hint="eastAsia" w:ascii="Times New Roman" w:hAnsi="Times New Roman" w:eastAsia="方正仿宋_GBK" w:cs="Times New Roman"/>
          <w:color w:val="auto"/>
          <w:sz w:val="32"/>
          <w:szCs w:val="32"/>
          <w:highlight w:val="none"/>
        </w:rPr>
        <w:sectPr>
          <w:headerReference r:id="rId3" w:type="default"/>
          <w:footerReference r:id="rId4" w:type="default"/>
          <w:pgSz w:w="11906" w:h="16838"/>
          <w:pgMar w:top="1814" w:right="1417" w:bottom="1928" w:left="1417" w:header="851" w:footer="992" w:gutter="0"/>
          <w:pgNumType w:start="1"/>
          <w:cols w:space="425" w:num="1"/>
          <w:docGrid w:type="lines" w:linePitch="312" w:charSpace="0"/>
        </w:sectPr>
      </w:pPr>
    </w:p>
    <w:p w14:paraId="04F39893">
      <w:pPr>
        <w:pageBreakBefore w:val="0"/>
        <w:kinsoku/>
        <w:wordWrap/>
        <w:overflowPunct/>
        <w:topLinePunct w:val="0"/>
        <w:autoSpaceDE/>
        <w:autoSpaceDN/>
        <w:bidi w:val="0"/>
        <w:adjustRightInd/>
        <w:spacing w:line="540" w:lineRule="exact"/>
        <w:ind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六、第三章增加：附表A-28：中标候选人公示（适用于评定分离）</w:t>
      </w:r>
    </w:p>
    <w:p w14:paraId="0365081F">
      <w:pPr>
        <w:jc w:val="center"/>
        <w:rPr>
          <w:rFonts w:hint="eastAsia" w:ascii="Calibri" w:hAnsi="Calibri" w:eastAsia="黑体" w:cs="黑体"/>
          <w:color w:val="auto"/>
          <w:sz w:val="28"/>
          <w:szCs w:val="28"/>
          <w:highlight w:val="none"/>
        </w:rPr>
      </w:pPr>
    </w:p>
    <w:p w14:paraId="72E592CA">
      <w:pPr>
        <w:pageBreakBefore w:val="0"/>
        <w:kinsoku/>
        <w:wordWrap/>
        <w:overflowPunct/>
        <w:topLinePunct w:val="0"/>
        <w:autoSpaceDE/>
        <w:autoSpaceDN/>
        <w:bidi w:val="0"/>
        <w:adjustRightInd/>
        <w:spacing w:line="560" w:lineRule="exact"/>
        <w:jc w:val="center"/>
        <w:textAlignment w:val="auto"/>
        <w:rPr>
          <w:rFonts w:hint="eastAsia" w:ascii="方正黑体_GBK" w:hAnsi="方正黑体_GBK" w:eastAsia="方正黑体_GBK" w:cs="方正黑体_GBK"/>
          <w:b w:val="0"/>
          <w:bCs w:val="0"/>
          <w:color w:val="auto"/>
          <w:sz w:val="32"/>
          <w:szCs w:val="32"/>
          <w:highlight w:val="none"/>
          <w:lang w:val="en-US" w:eastAsia="zh-CN"/>
        </w:rPr>
      </w:pPr>
      <w:r>
        <w:rPr>
          <w:rFonts w:hint="eastAsia" w:ascii="方正黑体_GBK" w:hAnsi="方正黑体_GBK" w:eastAsia="方正黑体_GBK" w:cs="方正黑体_GBK"/>
          <w:b w:val="0"/>
          <w:bCs w:val="0"/>
          <w:color w:val="auto"/>
          <w:sz w:val="32"/>
          <w:szCs w:val="32"/>
          <w:highlight w:val="none"/>
          <w:lang w:val="en-US" w:eastAsia="zh-CN"/>
        </w:rPr>
        <w:t>中标候选人公示（适用于评定分离）</w:t>
      </w:r>
    </w:p>
    <w:tbl>
      <w:tblPr>
        <w:tblStyle w:val="14"/>
        <w:tblW w:w="9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03"/>
        <w:gridCol w:w="1206"/>
        <w:gridCol w:w="2359"/>
        <w:gridCol w:w="935"/>
        <w:gridCol w:w="766"/>
        <w:gridCol w:w="674"/>
        <w:gridCol w:w="3006"/>
      </w:tblGrid>
      <w:tr w14:paraId="15CC1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 w:hRule="atLeast"/>
          <w:jc w:val="center"/>
        </w:trPr>
        <w:tc>
          <w:tcPr>
            <w:tcW w:w="2009" w:type="dxa"/>
            <w:gridSpan w:val="2"/>
            <w:noWrap w:val="0"/>
            <w:vAlign w:val="center"/>
          </w:tcPr>
          <w:p w14:paraId="763965EA">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项目名称</w:t>
            </w:r>
          </w:p>
        </w:tc>
        <w:tc>
          <w:tcPr>
            <w:tcW w:w="3294" w:type="dxa"/>
            <w:gridSpan w:val="2"/>
            <w:noWrap w:val="0"/>
            <w:tcMar>
              <w:top w:w="0" w:type="dxa"/>
              <w:left w:w="75" w:type="dxa"/>
              <w:bottom w:w="0" w:type="dxa"/>
              <w:right w:w="0" w:type="dxa"/>
            </w:tcMar>
            <w:vAlign w:val="center"/>
          </w:tcPr>
          <w:p w14:paraId="7CD3BC27">
            <w:pPr>
              <w:widowControl/>
              <w:spacing w:line="440" w:lineRule="exact"/>
              <w:jc w:val="center"/>
              <w:rPr>
                <w:rFonts w:hint="eastAsia" w:ascii="仿宋_GB2312" w:hAnsi="仿宋_GB2312" w:eastAsia="仿宋_GB2312" w:cs="仿宋_GB2312"/>
                <w:color w:val="auto"/>
                <w:kern w:val="0"/>
                <w:szCs w:val="24"/>
                <w:highlight w:val="none"/>
              </w:rPr>
            </w:pPr>
          </w:p>
        </w:tc>
        <w:tc>
          <w:tcPr>
            <w:tcW w:w="1440" w:type="dxa"/>
            <w:gridSpan w:val="2"/>
            <w:noWrap w:val="0"/>
            <w:vAlign w:val="center"/>
          </w:tcPr>
          <w:p w14:paraId="2E6CA8A9">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szCs w:val="24"/>
                <w:highlight w:val="none"/>
              </w:rPr>
              <w:t>项目招标编号</w:t>
            </w:r>
          </w:p>
        </w:tc>
        <w:tc>
          <w:tcPr>
            <w:tcW w:w="3006" w:type="dxa"/>
            <w:noWrap w:val="0"/>
            <w:tcMar>
              <w:top w:w="0" w:type="dxa"/>
              <w:left w:w="75" w:type="dxa"/>
              <w:bottom w:w="0" w:type="dxa"/>
              <w:right w:w="0" w:type="dxa"/>
            </w:tcMar>
            <w:vAlign w:val="center"/>
          </w:tcPr>
          <w:p w14:paraId="0C63BD05">
            <w:pPr>
              <w:widowControl/>
              <w:spacing w:line="440" w:lineRule="exact"/>
              <w:jc w:val="center"/>
              <w:rPr>
                <w:rFonts w:hint="eastAsia" w:ascii="仿宋_GB2312" w:hAnsi="仿宋_GB2312" w:eastAsia="仿宋_GB2312" w:cs="仿宋_GB2312"/>
                <w:color w:val="auto"/>
                <w:kern w:val="0"/>
                <w:szCs w:val="24"/>
                <w:highlight w:val="none"/>
              </w:rPr>
            </w:pPr>
          </w:p>
        </w:tc>
      </w:tr>
      <w:tr w14:paraId="2737C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 w:hRule="atLeast"/>
          <w:jc w:val="center"/>
        </w:trPr>
        <w:tc>
          <w:tcPr>
            <w:tcW w:w="2009" w:type="dxa"/>
            <w:gridSpan w:val="2"/>
            <w:noWrap w:val="0"/>
            <w:vAlign w:val="center"/>
          </w:tcPr>
          <w:p w14:paraId="709D37C0">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招标人</w:t>
            </w:r>
          </w:p>
        </w:tc>
        <w:tc>
          <w:tcPr>
            <w:tcW w:w="7740" w:type="dxa"/>
            <w:gridSpan w:val="5"/>
            <w:noWrap w:val="0"/>
            <w:tcMar>
              <w:top w:w="0" w:type="dxa"/>
              <w:left w:w="75" w:type="dxa"/>
              <w:bottom w:w="0" w:type="dxa"/>
              <w:right w:w="0" w:type="dxa"/>
            </w:tcMar>
            <w:vAlign w:val="center"/>
          </w:tcPr>
          <w:p w14:paraId="1EC044A8">
            <w:pPr>
              <w:widowControl/>
              <w:spacing w:line="440" w:lineRule="exact"/>
              <w:jc w:val="left"/>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szCs w:val="24"/>
                <w:highlight w:val="none"/>
                <w:u w:val="single"/>
              </w:rPr>
              <w:t>名称（</w:t>
            </w:r>
            <w:r>
              <w:rPr>
                <w:rFonts w:hint="eastAsia" w:ascii="仿宋_GB2312" w:hAnsi="仿宋_GB2312" w:eastAsia="仿宋_GB2312" w:cs="仿宋_GB2312"/>
                <w:color w:val="auto"/>
                <w:szCs w:val="24"/>
                <w:highlight w:val="none"/>
                <w:u w:val="single"/>
                <w:lang w:eastAsia="zh-CN"/>
              </w:rPr>
              <w:t>需</w:t>
            </w:r>
            <w:r>
              <w:rPr>
                <w:rFonts w:hint="eastAsia" w:ascii="仿宋_GB2312" w:hAnsi="仿宋_GB2312" w:eastAsia="仿宋_GB2312" w:cs="仿宋_GB2312"/>
                <w:color w:val="auto"/>
                <w:szCs w:val="24"/>
                <w:highlight w:val="none"/>
                <w:u w:val="single"/>
              </w:rPr>
              <w:t>盖</w:t>
            </w:r>
            <w:r>
              <w:rPr>
                <w:rFonts w:hint="eastAsia" w:ascii="仿宋_GB2312" w:hAnsi="仿宋_GB2312" w:eastAsia="仿宋_GB2312" w:cs="仿宋_GB2312"/>
                <w:color w:val="auto"/>
                <w:szCs w:val="24"/>
                <w:highlight w:val="none"/>
                <w:u w:val="single"/>
                <w:lang w:eastAsia="zh-CN"/>
              </w:rPr>
              <w:t>企业</w:t>
            </w:r>
            <w:r>
              <w:rPr>
                <w:rFonts w:hint="eastAsia" w:ascii="仿宋_GB2312" w:hAnsi="仿宋_GB2312" w:eastAsia="仿宋_GB2312" w:cs="仿宋_GB2312"/>
                <w:color w:val="auto"/>
                <w:szCs w:val="24"/>
                <w:highlight w:val="none"/>
                <w:u w:val="single"/>
              </w:rPr>
              <w:t>章</w:t>
            </w:r>
            <w:r>
              <w:rPr>
                <w:rFonts w:hint="eastAsia" w:ascii="仿宋_GB2312" w:hAnsi="仿宋_GB2312" w:eastAsia="仿宋_GB2312" w:cs="仿宋_GB2312"/>
                <w:color w:val="auto"/>
                <w:szCs w:val="24"/>
                <w:highlight w:val="none"/>
                <w:u w:val="single"/>
                <w:lang w:eastAsia="zh-CN"/>
              </w:rPr>
              <w:t>及法人签字</w:t>
            </w:r>
            <w:r>
              <w:rPr>
                <w:rFonts w:hint="eastAsia" w:ascii="仿宋_GB2312" w:hAnsi="仿宋_GB2312" w:eastAsia="仿宋_GB2312" w:cs="仿宋_GB2312"/>
                <w:color w:val="auto"/>
                <w:szCs w:val="24"/>
                <w:highlight w:val="none"/>
                <w:u w:val="single"/>
              </w:rPr>
              <w:t>）</w:t>
            </w:r>
          </w:p>
        </w:tc>
      </w:tr>
      <w:tr w14:paraId="5A3FF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 w:hRule="atLeast"/>
          <w:jc w:val="center"/>
        </w:trPr>
        <w:tc>
          <w:tcPr>
            <w:tcW w:w="2009" w:type="dxa"/>
            <w:gridSpan w:val="2"/>
            <w:noWrap w:val="0"/>
            <w:vAlign w:val="center"/>
          </w:tcPr>
          <w:p w14:paraId="6E26D4CF">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建设单位</w:t>
            </w:r>
          </w:p>
        </w:tc>
        <w:tc>
          <w:tcPr>
            <w:tcW w:w="7740" w:type="dxa"/>
            <w:gridSpan w:val="5"/>
            <w:noWrap w:val="0"/>
            <w:tcMar>
              <w:top w:w="0" w:type="dxa"/>
              <w:left w:w="75" w:type="dxa"/>
              <w:bottom w:w="0" w:type="dxa"/>
              <w:right w:w="0" w:type="dxa"/>
            </w:tcMar>
            <w:vAlign w:val="center"/>
          </w:tcPr>
          <w:p w14:paraId="2B76C215">
            <w:pPr>
              <w:widowControl/>
              <w:spacing w:line="440" w:lineRule="exact"/>
              <w:jc w:val="center"/>
              <w:rPr>
                <w:rFonts w:hint="eastAsia" w:ascii="仿宋_GB2312" w:hAnsi="仿宋_GB2312" w:eastAsia="仿宋_GB2312" w:cs="仿宋_GB2312"/>
                <w:color w:val="auto"/>
                <w:kern w:val="0"/>
                <w:szCs w:val="24"/>
                <w:highlight w:val="none"/>
              </w:rPr>
            </w:pPr>
          </w:p>
        </w:tc>
      </w:tr>
      <w:tr w14:paraId="6C50B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 w:hRule="atLeast"/>
          <w:jc w:val="center"/>
        </w:trPr>
        <w:tc>
          <w:tcPr>
            <w:tcW w:w="2009" w:type="dxa"/>
            <w:gridSpan w:val="2"/>
            <w:noWrap w:val="0"/>
            <w:vAlign w:val="center"/>
          </w:tcPr>
          <w:p w14:paraId="6CE7CE37">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代建单位（如有）</w:t>
            </w:r>
          </w:p>
        </w:tc>
        <w:tc>
          <w:tcPr>
            <w:tcW w:w="7740" w:type="dxa"/>
            <w:gridSpan w:val="5"/>
            <w:noWrap w:val="0"/>
            <w:tcMar>
              <w:top w:w="0" w:type="dxa"/>
              <w:left w:w="75" w:type="dxa"/>
              <w:bottom w:w="0" w:type="dxa"/>
              <w:right w:w="0" w:type="dxa"/>
            </w:tcMar>
            <w:vAlign w:val="center"/>
          </w:tcPr>
          <w:p w14:paraId="6C9EBE17">
            <w:pPr>
              <w:widowControl/>
              <w:spacing w:line="440" w:lineRule="exact"/>
              <w:rPr>
                <w:rFonts w:hint="eastAsia" w:ascii="仿宋_GB2312" w:hAnsi="仿宋_GB2312" w:eastAsia="仿宋_GB2312" w:cs="仿宋_GB2312"/>
                <w:color w:val="auto"/>
                <w:kern w:val="0"/>
                <w:szCs w:val="24"/>
                <w:highlight w:val="none"/>
              </w:rPr>
            </w:pPr>
          </w:p>
        </w:tc>
      </w:tr>
      <w:tr w14:paraId="42108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 w:hRule="atLeast"/>
          <w:jc w:val="center"/>
        </w:trPr>
        <w:tc>
          <w:tcPr>
            <w:tcW w:w="2009" w:type="dxa"/>
            <w:gridSpan w:val="2"/>
            <w:noWrap w:val="0"/>
            <w:vAlign w:val="center"/>
          </w:tcPr>
          <w:p w14:paraId="1ED4BF89">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招标类别</w:t>
            </w:r>
          </w:p>
        </w:tc>
        <w:tc>
          <w:tcPr>
            <w:tcW w:w="3294" w:type="dxa"/>
            <w:gridSpan w:val="2"/>
            <w:noWrap w:val="0"/>
            <w:tcMar>
              <w:top w:w="0" w:type="dxa"/>
              <w:left w:w="75" w:type="dxa"/>
              <w:bottom w:w="0" w:type="dxa"/>
              <w:right w:w="0" w:type="dxa"/>
            </w:tcMar>
            <w:vAlign w:val="center"/>
          </w:tcPr>
          <w:p w14:paraId="17EA43A6">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□委托招标    □自行招标</w:t>
            </w:r>
          </w:p>
        </w:tc>
        <w:tc>
          <w:tcPr>
            <w:tcW w:w="1440" w:type="dxa"/>
            <w:gridSpan w:val="2"/>
            <w:noWrap w:val="0"/>
            <w:vAlign w:val="center"/>
          </w:tcPr>
          <w:p w14:paraId="4E0869E2">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招标方式</w:t>
            </w:r>
          </w:p>
        </w:tc>
        <w:tc>
          <w:tcPr>
            <w:tcW w:w="3006" w:type="dxa"/>
            <w:noWrap w:val="0"/>
            <w:tcMar>
              <w:top w:w="0" w:type="dxa"/>
              <w:left w:w="75" w:type="dxa"/>
              <w:bottom w:w="0" w:type="dxa"/>
              <w:right w:w="0" w:type="dxa"/>
            </w:tcMar>
            <w:vAlign w:val="center"/>
          </w:tcPr>
          <w:p w14:paraId="3F65B615">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□公开招标    □邀请招标</w:t>
            </w:r>
          </w:p>
        </w:tc>
      </w:tr>
      <w:tr w14:paraId="2191C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 w:hRule="atLeast"/>
          <w:jc w:val="center"/>
        </w:trPr>
        <w:tc>
          <w:tcPr>
            <w:tcW w:w="2009" w:type="dxa"/>
            <w:gridSpan w:val="2"/>
            <w:noWrap w:val="0"/>
            <w:vAlign w:val="center"/>
          </w:tcPr>
          <w:p w14:paraId="73FE41C6">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招标代理机构</w:t>
            </w:r>
          </w:p>
        </w:tc>
        <w:tc>
          <w:tcPr>
            <w:tcW w:w="7740" w:type="dxa"/>
            <w:gridSpan w:val="5"/>
            <w:noWrap w:val="0"/>
            <w:tcMar>
              <w:top w:w="0" w:type="dxa"/>
              <w:left w:w="75" w:type="dxa"/>
              <w:bottom w:w="0" w:type="dxa"/>
              <w:right w:w="0" w:type="dxa"/>
            </w:tcMar>
            <w:vAlign w:val="center"/>
          </w:tcPr>
          <w:p w14:paraId="5EAFFA4E">
            <w:pPr>
              <w:widowControl/>
              <w:spacing w:line="440" w:lineRule="exact"/>
              <w:jc w:val="left"/>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szCs w:val="24"/>
                <w:highlight w:val="none"/>
                <w:u w:val="single"/>
              </w:rPr>
              <w:t>名称（</w:t>
            </w:r>
            <w:r>
              <w:rPr>
                <w:rFonts w:hint="eastAsia" w:ascii="仿宋_GB2312" w:hAnsi="仿宋_GB2312" w:eastAsia="仿宋_GB2312" w:cs="仿宋_GB2312"/>
                <w:color w:val="auto"/>
                <w:szCs w:val="24"/>
                <w:highlight w:val="none"/>
                <w:u w:val="single"/>
                <w:lang w:eastAsia="zh-CN"/>
              </w:rPr>
              <w:t>需</w:t>
            </w:r>
            <w:r>
              <w:rPr>
                <w:rFonts w:hint="eastAsia" w:ascii="仿宋_GB2312" w:hAnsi="仿宋_GB2312" w:eastAsia="仿宋_GB2312" w:cs="仿宋_GB2312"/>
                <w:color w:val="auto"/>
                <w:szCs w:val="24"/>
                <w:highlight w:val="none"/>
                <w:u w:val="single"/>
              </w:rPr>
              <w:t>盖</w:t>
            </w:r>
            <w:r>
              <w:rPr>
                <w:rFonts w:hint="eastAsia" w:ascii="仿宋_GB2312" w:hAnsi="仿宋_GB2312" w:eastAsia="仿宋_GB2312" w:cs="仿宋_GB2312"/>
                <w:color w:val="auto"/>
                <w:szCs w:val="24"/>
                <w:highlight w:val="none"/>
                <w:u w:val="single"/>
                <w:lang w:eastAsia="zh-CN"/>
              </w:rPr>
              <w:t>企业</w:t>
            </w:r>
            <w:r>
              <w:rPr>
                <w:rFonts w:hint="eastAsia" w:ascii="仿宋_GB2312" w:hAnsi="仿宋_GB2312" w:eastAsia="仿宋_GB2312" w:cs="仿宋_GB2312"/>
                <w:color w:val="auto"/>
                <w:szCs w:val="24"/>
                <w:highlight w:val="none"/>
                <w:u w:val="single"/>
              </w:rPr>
              <w:t>章</w:t>
            </w:r>
            <w:r>
              <w:rPr>
                <w:rFonts w:hint="eastAsia" w:ascii="仿宋_GB2312" w:hAnsi="仿宋_GB2312" w:eastAsia="仿宋_GB2312" w:cs="仿宋_GB2312"/>
                <w:color w:val="auto"/>
                <w:szCs w:val="24"/>
                <w:highlight w:val="none"/>
                <w:u w:val="single"/>
                <w:lang w:eastAsia="zh-CN"/>
              </w:rPr>
              <w:t>及法人签字</w:t>
            </w:r>
            <w:r>
              <w:rPr>
                <w:rFonts w:hint="eastAsia" w:ascii="仿宋_GB2312" w:hAnsi="仿宋_GB2312" w:eastAsia="仿宋_GB2312" w:cs="仿宋_GB2312"/>
                <w:color w:val="auto"/>
                <w:szCs w:val="24"/>
                <w:highlight w:val="none"/>
                <w:u w:val="single"/>
              </w:rPr>
              <w:t>）</w:t>
            </w:r>
          </w:p>
        </w:tc>
      </w:tr>
      <w:tr w14:paraId="1CC81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 w:hRule="atLeast"/>
          <w:jc w:val="center"/>
        </w:trPr>
        <w:tc>
          <w:tcPr>
            <w:tcW w:w="2009" w:type="dxa"/>
            <w:gridSpan w:val="2"/>
            <w:noWrap w:val="0"/>
            <w:vAlign w:val="center"/>
          </w:tcPr>
          <w:p w14:paraId="6F5C57C3">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结构类型及规模</w:t>
            </w:r>
          </w:p>
        </w:tc>
        <w:tc>
          <w:tcPr>
            <w:tcW w:w="7740" w:type="dxa"/>
            <w:gridSpan w:val="5"/>
            <w:noWrap w:val="0"/>
            <w:tcMar>
              <w:top w:w="0" w:type="dxa"/>
              <w:left w:w="75" w:type="dxa"/>
              <w:bottom w:w="0" w:type="dxa"/>
              <w:right w:w="0" w:type="dxa"/>
            </w:tcMar>
            <w:vAlign w:val="center"/>
          </w:tcPr>
          <w:p w14:paraId="055D3F58">
            <w:pPr>
              <w:widowControl/>
              <w:spacing w:line="440" w:lineRule="exact"/>
              <w:ind w:right="185" w:rightChars="88"/>
              <w:jc w:val="left"/>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szCs w:val="24"/>
                <w:highlight w:val="none"/>
              </w:rPr>
              <w:t>（房建项目应注明结构、层数、最大单跨、建筑高度、建筑面积、是否为装配式建筑等；桥梁应注明长度、最大单跨、宽度等；市政道路应注明道路类型、长度、宽度等）</w:t>
            </w:r>
          </w:p>
        </w:tc>
      </w:tr>
      <w:tr w14:paraId="3896D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 w:hRule="atLeast"/>
          <w:jc w:val="center"/>
        </w:trPr>
        <w:tc>
          <w:tcPr>
            <w:tcW w:w="2009" w:type="dxa"/>
            <w:gridSpan w:val="2"/>
            <w:noWrap w:val="0"/>
            <w:vAlign w:val="center"/>
          </w:tcPr>
          <w:p w14:paraId="1A9CFAF0">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开标时间</w:t>
            </w:r>
          </w:p>
        </w:tc>
        <w:tc>
          <w:tcPr>
            <w:tcW w:w="3294" w:type="dxa"/>
            <w:gridSpan w:val="2"/>
            <w:noWrap w:val="0"/>
            <w:tcMar>
              <w:top w:w="0" w:type="dxa"/>
              <w:left w:w="75" w:type="dxa"/>
              <w:bottom w:w="0" w:type="dxa"/>
              <w:right w:w="0" w:type="dxa"/>
            </w:tcMar>
            <w:vAlign w:val="center"/>
          </w:tcPr>
          <w:p w14:paraId="5A419918">
            <w:pPr>
              <w:widowControl/>
              <w:spacing w:line="440" w:lineRule="exact"/>
              <w:ind w:firstLine="1050" w:firstLineChars="500"/>
              <w:jc w:val="center"/>
              <w:rPr>
                <w:rFonts w:hint="eastAsia" w:ascii="仿宋_GB2312" w:hAnsi="仿宋_GB2312" w:eastAsia="仿宋_GB2312" w:cs="仿宋_GB2312"/>
                <w:color w:val="auto"/>
                <w:kern w:val="0"/>
                <w:szCs w:val="24"/>
                <w:highlight w:val="none"/>
              </w:rPr>
            </w:pPr>
          </w:p>
        </w:tc>
        <w:tc>
          <w:tcPr>
            <w:tcW w:w="1440" w:type="dxa"/>
            <w:gridSpan w:val="2"/>
            <w:noWrap w:val="0"/>
            <w:vAlign w:val="center"/>
          </w:tcPr>
          <w:p w14:paraId="600684B8">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开标地点</w:t>
            </w:r>
          </w:p>
        </w:tc>
        <w:tc>
          <w:tcPr>
            <w:tcW w:w="3006" w:type="dxa"/>
            <w:noWrap w:val="0"/>
            <w:tcMar>
              <w:top w:w="0" w:type="dxa"/>
              <w:left w:w="75" w:type="dxa"/>
              <w:bottom w:w="0" w:type="dxa"/>
              <w:right w:w="0" w:type="dxa"/>
            </w:tcMar>
            <w:vAlign w:val="center"/>
          </w:tcPr>
          <w:p w14:paraId="5CF94911">
            <w:pPr>
              <w:widowControl/>
              <w:spacing w:line="440" w:lineRule="exact"/>
              <w:jc w:val="center"/>
              <w:rPr>
                <w:rFonts w:hint="eastAsia" w:ascii="仿宋_GB2312" w:hAnsi="仿宋_GB2312" w:eastAsia="仿宋_GB2312" w:cs="仿宋_GB2312"/>
                <w:color w:val="auto"/>
                <w:kern w:val="0"/>
                <w:szCs w:val="24"/>
                <w:highlight w:val="none"/>
              </w:rPr>
            </w:pPr>
          </w:p>
        </w:tc>
      </w:tr>
      <w:tr w14:paraId="11504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 w:hRule="atLeast"/>
          <w:jc w:val="center"/>
        </w:trPr>
        <w:tc>
          <w:tcPr>
            <w:tcW w:w="2009" w:type="dxa"/>
            <w:gridSpan w:val="2"/>
            <w:noWrap w:val="0"/>
            <w:vAlign w:val="center"/>
          </w:tcPr>
          <w:p w14:paraId="09A0AEC9">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公示开始时间</w:t>
            </w:r>
          </w:p>
        </w:tc>
        <w:tc>
          <w:tcPr>
            <w:tcW w:w="3294" w:type="dxa"/>
            <w:gridSpan w:val="2"/>
            <w:noWrap w:val="0"/>
            <w:tcMar>
              <w:top w:w="0" w:type="dxa"/>
              <w:left w:w="75" w:type="dxa"/>
              <w:bottom w:w="0" w:type="dxa"/>
              <w:right w:w="0" w:type="dxa"/>
            </w:tcMar>
            <w:vAlign w:val="center"/>
          </w:tcPr>
          <w:p w14:paraId="14958EA7">
            <w:pPr>
              <w:widowControl/>
              <w:spacing w:line="440" w:lineRule="exact"/>
              <w:ind w:firstLine="1050" w:firstLineChars="500"/>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年    月    日</w:t>
            </w:r>
          </w:p>
        </w:tc>
        <w:tc>
          <w:tcPr>
            <w:tcW w:w="1440" w:type="dxa"/>
            <w:gridSpan w:val="2"/>
            <w:noWrap w:val="0"/>
            <w:vAlign w:val="center"/>
          </w:tcPr>
          <w:p w14:paraId="1C318BAC">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公示截止时间</w:t>
            </w:r>
          </w:p>
        </w:tc>
        <w:tc>
          <w:tcPr>
            <w:tcW w:w="3006" w:type="dxa"/>
            <w:noWrap w:val="0"/>
            <w:tcMar>
              <w:top w:w="0" w:type="dxa"/>
              <w:left w:w="75" w:type="dxa"/>
              <w:bottom w:w="0" w:type="dxa"/>
              <w:right w:w="0" w:type="dxa"/>
            </w:tcMar>
            <w:vAlign w:val="center"/>
          </w:tcPr>
          <w:p w14:paraId="3A19609D">
            <w:pPr>
              <w:widowControl/>
              <w:spacing w:line="440" w:lineRule="exact"/>
              <w:ind w:firstLine="1050" w:firstLineChars="500"/>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年    月    日</w:t>
            </w:r>
          </w:p>
        </w:tc>
      </w:tr>
      <w:tr w14:paraId="1FFDB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8" w:hRule="atLeast"/>
          <w:jc w:val="center"/>
        </w:trPr>
        <w:tc>
          <w:tcPr>
            <w:tcW w:w="2009" w:type="dxa"/>
            <w:gridSpan w:val="2"/>
            <w:vMerge w:val="restart"/>
            <w:noWrap w:val="0"/>
            <w:vAlign w:val="center"/>
          </w:tcPr>
          <w:p w14:paraId="07DE2B15">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预中标人</w:t>
            </w:r>
          </w:p>
        </w:tc>
        <w:tc>
          <w:tcPr>
            <w:tcW w:w="2359" w:type="dxa"/>
            <w:vMerge w:val="restart"/>
            <w:noWrap w:val="0"/>
            <w:tcMar>
              <w:top w:w="0" w:type="dxa"/>
              <w:left w:w="75" w:type="dxa"/>
              <w:bottom w:w="0" w:type="dxa"/>
              <w:right w:w="0" w:type="dxa"/>
            </w:tcMar>
            <w:vAlign w:val="center"/>
          </w:tcPr>
          <w:p w14:paraId="2FFD7BC1">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szCs w:val="24"/>
                <w:highlight w:val="none"/>
              </w:rPr>
              <w:t>（非联合体）</w:t>
            </w:r>
          </w:p>
        </w:tc>
        <w:tc>
          <w:tcPr>
            <w:tcW w:w="1701" w:type="dxa"/>
            <w:gridSpan w:val="2"/>
            <w:vMerge w:val="restart"/>
            <w:noWrap w:val="0"/>
            <w:vAlign w:val="center"/>
          </w:tcPr>
          <w:p w14:paraId="133F1C2B">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szCs w:val="24"/>
                <w:highlight w:val="none"/>
              </w:rPr>
              <w:t>联合体</w:t>
            </w:r>
          </w:p>
        </w:tc>
        <w:tc>
          <w:tcPr>
            <w:tcW w:w="3680" w:type="dxa"/>
            <w:gridSpan w:val="2"/>
            <w:noWrap w:val="0"/>
            <w:vAlign w:val="center"/>
          </w:tcPr>
          <w:p w14:paraId="1A8B3291">
            <w:pPr>
              <w:widowControl/>
              <w:spacing w:line="440" w:lineRule="exact"/>
              <w:jc w:val="left"/>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szCs w:val="24"/>
                <w:highlight w:val="none"/>
              </w:rPr>
              <w:t>牵头人：</w:t>
            </w:r>
          </w:p>
        </w:tc>
      </w:tr>
      <w:tr w14:paraId="1F311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7" w:hRule="atLeast"/>
          <w:jc w:val="center"/>
        </w:trPr>
        <w:tc>
          <w:tcPr>
            <w:tcW w:w="2009" w:type="dxa"/>
            <w:gridSpan w:val="2"/>
            <w:vMerge w:val="continue"/>
            <w:noWrap w:val="0"/>
            <w:vAlign w:val="center"/>
          </w:tcPr>
          <w:p w14:paraId="19D6EDB2">
            <w:pPr>
              <w:widowControl/>
              <w:spacing w:line="440" w:lineRule="exact"/>
              <w:jc w:val="center"/>
              <w:rPr>
                <w:rFonts w:hint="eastAsia" w:ascii="仿宋_GB2312" w:hAnsi="仿宋_GB2312" w:eastAsia="仿宋_GB2312" w:cs="仿宋_GB2312"/>
                <w:color w:val="auto"/>
                <w:kern w:val="0"/>
                <w:szCs w:val="24"/>
                <w:highlight w:val="none"/>
              </w:rPr>
            </w:pPr>
          </w:p>
        </w:tc>
        <w:tc>
          <w:tcPr>
            <w:tcW w:w="2359" w:type="dxa"/>
            <w:vMerge w:val="continue"/>
            <w:noWrap w:val="0"/>
            <w:tcMar>
              <w:top w:w="0" w:type="dxa"/>
              <w:left w:w="75" w:type="dxa"/>
              <w:bottom w:w="0" w:type="dxa"/>
              <w:right w:w="0" w:type="dxa"/>
            </w:tcMar>
            <w:vAlign w:val="center"/>
          </w:tcPr>
          <w:p w14:paraId="32DA7A1D">
            <w:pPr>
              <w:widowControl/>
              <w:spacing w:line="440" w:lineRule="exact"/>
              <w:jc w:val="left"/>
              <w:rPr>
                <w:rFonts w:hint="eastAsia" w:ascii="仿宋_GB2312" w:hAnsi="仿宋_GB2312" w:eastAsia="仿宋_GB2312" w:cs="仿宋_GB2312"/>
                <w:color w:val="auto"/>
                <w:kern w:val="0"/>
                <w:szCs w:val="24"/>
                <w:highlight w:val="none"/>
              </w:rPr>
            </w:pPr>
          </w:p>
        </w:tc>
        <w:tc>
          <w:tcPr>
            <w:tcW w:w="1701" w:type="dxa"/>
            <w:gridSpan w:val="2"/>
            <w:vMerge w:val="continue"/>
            <w:noWrap w:val="0"/>
            <w:vAlign w:val="center"/>
          </w:tcPr>
          <w:p w14:paraId="67A12E4C">
            <w:pPr>
              <w:widowControl/>
              <w:spacing w:line="440" w:lineRule="exact"/>
              <w:jc w:val="left"/>
              <w:rPr>
                <w:rFonts w:hint="eastAsia" w:ascii="仿宋_GB2312" w:hAnsi="仿宋_GB2312" w:eastAsia="仿宋_GB2312" w:cs="仿宋_GB2312"/>
                <w:color w:val="auto"/>
                <w:kern w:val="0"/>
                <w:szCs w:val="24"/>
                <w:highlight w:val="none"/>
              </w:rPr>
            </w:pPr>
          </w:p>
        </w:tc>
        <w:tc>
          <w:tcPr>
            <w:tcW w:w="3680" w:type="dxa"/>
            <w:gridSpan w:val="2"/>
            <w:noWrap w:val="0"/>
            <w:vAlign w:val="center"/>
          </w:tcPr>
          <w:p w14:paraId="2C0EE460">
            <w:pPr>
              <w:widowControl/>
              <w:spacing w:line="440" w:lineRule="exact"/>
              <w:jc w:val="left"/>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szCs w:val="24"/>
                <w:highlight w:val="none"/>
              </w:rPr>
              <w:t>成员单位：</w:t>
            </w:r>
          </w:p>
        </w:tc>
      </w:tr>
      <w:tr w14:paraId="5B6D4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 w:hRule="atLeast"/>
          <w:jc w:val="center"/>
        </w:trPr>
        <w:tc>
          <w:tcPr>
            <w:tcW w:w="803" w:type="dxa"/>
            <w:vMerge w:val="restart"/>
            <w:noWrap w:val="0"/>
            <w:vAlign w:val="center"/>
          </w:tcPr>
          <w:p w14:paraId="4BA03389">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中标候选人情况</w:t>
            </w:r>
          </w:p>
        </w:tc>
        <w:tc>
          <w:tcPr>
            <w:tcW w:w="1206" w:type="dxa"/>
            <w:vMerge w:val="restart"/>
            <w:noWrap w:val="0"/>
            <w:vAlign w:val="center"/>
          </w:tcPr>
          <w:p w14:paraId="5FA517C6">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中标</w:t>
            </w:r>
          </w:p>
          <w:p w14:paraId="7F5CA029">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候选人</w:t>
            </w:r>
          </w:p>
        </w:tc>
        <w:tc>
          <w:tcPr>
            <w:tcW w:w="2359" w:type="dxa"/>
            <w:noWrap w:val="0"/>
            <w:tcMar>
              <w:top w:w="0" w:type="dxa"/>
              <w:left w:w="75" w:type="dxa"/>
              <w:bottom w:w="0" w:type="dxa"/>
              <w:right w:w="0" w:type="dxa"/>
            </w:tcMar>
            <w:vAlign w:val="center"/>
          </w:tcPr>
          <w:p w14:paraId="7F2B1030">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单位名称</w:t>
            </w:r>
          </w:p>
        </w:tc>
        <w:tc>
          <w:tcPr>
            <w:tcW w:w="5381" w:type="dxa"/>
            <w:gridSpan w:val="4"/>
            <w:noWrap w:val="0"/>
            <w:tcMar>
              <w:top w:w="0" w:type="dxa"/>
              <w:left w:w="75" w:type="dxa"/>
              <w:bottom w:w="0" w:type="dxa"/>
              <w:right w:w="0" w:type="dxa"/>
            </w:tcMar>
            <w:vAlign w:val="center"/>
          </w:tcPr>
          <w:p w14:paraId="6362E2CC">
            <w:pPr>
              <w:widowControl/>
              <w:spacing w:line="440" w:lineRule="exact"/>
              <w:jc w:val="left"/>
              <w:rPr>
                <w:rFonts w:hint="eastAsia" w:ascii="仿宋_GB2312" w:hAnsi="仿宋_GB2312" w:eastAsia="仿宋_GB2312" w:cs="仿宋_GB2312"/>
                <w:color w:val="auto"/>
                <w:kern w:val="0"/>
                <w:szCs w:val="24"/>
                <w:highlight w:val="none"/>
              </w:rPr>
            </w:pPr>
          </w:p>
        </w:tc>
      </w:tr>
      <w:tr w14:paraId="36EFF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 w:hRule="atLeast"/>
          <w:jc w:val="center"/>
        </w:trPr>
        <w:tc>
          <w:tcPr>
            <w:tcW w:w="803" w:type="dxa"/>
            <w:vMerge w:val="continue"/>
            <w:noWrap w:val="0"/>
            <w:vAlign w:val="center"/>
          </w:tcPr>
          <w:p w14:paraId="53284031">
            <w:pPr>
              <w:widowControl/>
              <w:spacing w:line="440" w:lineRule="exact"/>
              <w:jc w:val="center"/>
              <w:rPr>
                <w:rFonts w:hint="eastAsia" w:ascii="仿宋_GB2312" w:hAnsi="仿宋_GB2312" w:eastAsia="仿宋_GB2312" w:cs="仿宋_GB2312"/>
                <w:color w:val="auto"/>
                <w:kern w:val="0"/>
                <w:szCs w:val="24"/>
                <w:highlight w:val="none"/>
              </w:rPr>
            </w:pPr>
          </w:p>
        </w:tc>
        <w:tc>
          <w:tcPr>
            <w:tcW w:w="1206" w:type="dxa"/>
            <w:vMerge w:val="continue"/>
            <w:noWrap w:val="0"/>
            <w:vAlign w:val="center"/>
          </w:tcPr>
          <w:p w14:paraId="341CC141">
            <w:pPr>
              <w:widowControl/>
              <w:spacing w:line="440" w:lineRule="exact"/>
              <w:jc w:val="center"/>
              <w:rPr>
                <w:rFonts w:hint="eastAsia" w:ascii="仿宋_GB2312" w:hAnsi="仿宋_GB2312" w:eastAsia="仿宋_GB2312" w:cs="仿宋_GB2312"/>
                <w:color w:val="auto"/>
                <w:kern w:val="0"/>
                <w:szCs w:val="24"/>
                <w:highlight w:val="none"/>
              </w:rPr>
            </w:pPr>
          </w:p>
        </w:tc>
        <w:tc>
          <w:tcPr>
            <w:tcW w:w="2359" w:type="dxa"/>
            <w:noWrap w:val="0"/>
            <w:tcMar>
              <w:top w:w="0" w:type="dxa"/>
              <w:left w:w="75" w:type="dxa"/>
              <w:bottom w:w="0" w:type="dxa"/>
              <w:right w:w="0" w:type="dxa"/>
            </w:tcMar>
            <w:vAlign w:val="center"/>
          </w:tcPr>
          <w:p w14:paraId="1EC76333">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单位资质</w:t>
            </w:r>
          </w:p>
        </w:tc>
        <w:tc>
          <w:tcPr>
            <w:tcW w:w="5381" w:type="dxa"/>
            <w:gridSpan w:val="4"/>
            <w:noWrap w:val="0"/>
            <w:tcMar>
              <w:top w:w="0" w:type="dxa"/>
              <w:left w:w="75" w:type="dxa"/>
              <w:bottom w:w="0" w:type="dxa"/>
              <w:right w:w="0" w:type="dxa"/>
            </w:tcMar>
            <w:vAlign w:val="center"/>
          </w:tcPr>
          <w:p w14:paraId="08B66880">
            <w:pPr>
              <w:widowControl/>
              <w:spacing w:line="440" w:lineRule="exact"/>
              <w:jc w:val="left"/>
              <w:rPr>
                <w:rFonts w:hint="eastAsia" w:ascii="仿宋_GB2312" w:hAnsi="仿宋_GB2312" w:eastAsia="仿宋_GB2312" w:cs="仿宋_GB2312"/>
                <w:color w:val="auto"/>
                <w:kern w:val="0"/>
                <w:szCs w:val="24"/>
                <w:highlight w:val="none"/>
              </w:rPr>
            </w:pPr>
          </w:p>
        </w:tc>
      </w:tr>
      <w:tr w14:paraId="64393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 w:hRule="atLeast"/>
          <w:jc w:val="center"/>
        </w:trPr>
        <w:tc>
          <w:tcPr>
            <w:tcW w:w="803" w:type="dxa"/>
            <w:vMerge w:val="continue"/>
            <w:noWrap w:val="0"/>
            <w:vAlign w:val="center"/>
          </w:tcPr>
          <w:p w14:paraId="4A57EF9B">
            <w:pPr>
              <w:widowControl/>
              <w:spacing w:line="440" w:lineRule="exact"/>
              <w:jc w:val="left"/>
              <w:rPr>
                <w:rFonts w:hint="eastAsia" w:ascii="仿宋_GB2312" w:hAnsi="仿宋_GB2312" w:eastAsia="仿宋_GB2312" w:cs="仿宋_GB2312"/>
                <w:color w:val="auto"/>
                <w:kern w:val="0"/>
                <w:szCs w:val="24"/>
                <w:highlight w:val="none"/>
              </w:rPr>
            </w:pPr>
          </w:p>
        </w:tc>
        <w:tc>
          <w:tcPr>
            <w:tcW w:w="1206" w:type="dxa"/>
            <w:vMerge w:val="continue"/>
            <w:noWrap w:val="0"/>
            <w:vAlign w:val="center"/>
          </w:tcPr>
          <w:p w14:paraId="4DEB0D89">
            <w:pPr>
              <w:widowControl/>
              <w:spacing w:line="440" w:lineRule="exact"/>
              <w:jc w:val="left"/>
              <w:rPr>
                <w:rFonts w:hint="eastAsia" w:ascii="仿宋_GB2312" w:hAnsi="仿宋_GB2312" w:eastAsia="仿宋_GB2312" w:cs="仿宋_GB2312"/>
                <w:color w:val="auto"/>
                <w:kern w:val="0"/>
                <w:szCs w:val="24"/>
                <w:highlight w:val="none"/>
              </w:rPr>
            </w:pPr>
          </w:p>
        </w:tc>
        <w:tc>
          <w:tcPr>
            <w:tcW w:w="2359" w:type="dxa"/>
            <w:noWrap w:val="0"/>
            <w:tcMar>
              <w:top w:w="0" w:type="dxa"/>
              <w:left w:w="75" w:type="dxa"/>
              <w:bottom w:w="0" w:type="dxa"/>
              <w:right w:w="0" w:type="dxa"/>
            </w:tcMar>
            <w:vAlign w:val="center"/>
          </w:tcPr>
          <w:p w14:paraId="0367330F">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投标总价</w:t>
            </w:r>
          </w:p>
        </w:tc>
        <w:tc>
          <w:tcPr>
            <w:tcW w:w="5381" w:type="dxa"/>
            <w:gridSpan w:val="4"/>
            <w:noWrap w:val="0"/>
            <w:tcMar>
              <w:top w:w="0" w:type="dxa"/>
              <w:left w:w="75" w:type="dxa"/>
              <w:bottom w:w="0" w:type="dxa"/>
              <w:right w:w="0" w:type="dxa"/>
            </w:tcMar>
            <w:vAlign w:val="center"/>
          </w:tcPr>
          <w:p w14:paraId="3E20CADD">
            <w:pPr>
              <w:widowControl/>
              <w:spacing w:line="440" w:lineRule="exact"/>
              <w:jc w:val="left"/>
              <w:rPr>
                <w:rFonts w:hint="eastAsia" w:ascii="仿宋_GB2312" w:hAnsi="仿宋_GB2312" w:eastAsia="仿宋_GB2312" w:cs="仿宋_GB2312"/>
                <w:color w:val="auto"/>
                <w:kern w:val="0"/>
                <w:szCs w:val="24"/>
                <w:highlight w:val="none"/>
              </w:rPr>
            </w:pPr>
          </w:p>
        </w:tc>
      </w:tr>
      <w:tr w14:paraId="5A3AA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 w:hRule="atLeast"/>
          <w:jc w:val="center"/>
        </w:trPr>
        <w:tc>
          <w:tcPr>
            <w:tcW w:w="803" w:type="dxa"/>
            <w:vMerge w:val="continue"/>
            <w:noWrap w:val="0"/>
            <w:vAlign w:val="center"/>
          </w:tcPr>
          <w:p w14:paraId="63764625">
            <w:pPr>
              <w:widowControl/>
              <w:spacing w:line="440" w:lineRule="exact"/>
              <w:jc w:val="left"/>
              <w:rPr>
                <w:rFonts w:hint="eastAsia" w:ascii="仿宋_GB2312" w:hAnsi="仿宋_GB2312" w:eastAsia="仿宋_GB2312" w:cs="仿宋_GB2312"/>
                <w:color w:val="auto"/>
                <w:kern w:val="0"/>
                <w:szCs w:val="24"/>
                <w:highlight w:val="none"/>
              </w:rPr>
            </w:pPr>
          </w:p>
        </w:tc>
        <w:tc>
          <w:tcPr>
            <w:tcW w:w="1206" w:type="dxa"/>
            <w:vMerge w:val="continue"/>
            <w:noWrap w:val="0"/>
            <w:vAlign w:val="center"/>
          </w:tcPr>
          <w:p w14:paraId="7C782B2A">
            <w:pPr>
              <w:widowControl/>
              <w:spacing w:line="440" w:lineRule="exact"/>
              <w:jc w:val="left"/>
              <w:rPr>
                <w:rFonts w:hint="eastAsia" w:ascii="仿宋_GB2312" w:hAnsi="仿宋_GB2312" w:eastAsia="仿宋_GB2312" w:cs="仿宋_GB2312"/>
                <w:color w:val="auto"/>
                <w:kern w:val="0"/>
                <w:szCs w:val="24"/>
                <w:highlight w:val="none"/>
              </w:rPr>
            </w:pPr>
          </w:p>
        </w:tc>
        <w:tc>
          <w:tcPr>
            <w:tcW w:w="2359" w:type="dxa"/>
            <w:noWrap w:val="0"/>
            <w:tcMar>
              <w:top w:w="0" w:type="dxa"/>
              <w:left w:w="75" w:type="dxa"/>
              <w:bottom w:w="0" w:type="dxa"/>
              <w:right w:w="0" w:type="dxa"/>
            </w:tcMar>
            <w:vAlign w:val="center"/>
          </w:tcPr>
          <w:p w14:paraId="1CD99E43">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工期</w:t>
            </w:r>
          </w:p>
        </w:tc>
        <w:tc>
          <w:tcPr>
            <w:tcW w:w="935" w:type="dxa"/>
            <w:noWrap w:val="0"/>
            <w:tcMar>
              <w:top w:w="0" w:type="dxa"/>
              <w:left w:w="75" w:type="dxa"/>
              <w:bottom w:w="0" w:type="dxa"/>
              <w:right w:w="0" w:type="dxa"/>
            </w:tcMar>
            <w:vAlign w:val="center"/>
          </w:tcPr>
          <w:p w14:paraId="2A955F06">
            <w:pPr>
              <w:widowControl/>
              <w:spacing w:line="440" w:lineRule="exact"/>
              <w:jc w:val="left"/>
              <w:rPr>
                <w:rFonts w:hint="eastAsia" w:ascii="仿宋_GB2312" w:hAnsi="仿宋_GB2312" w:eastAsia="仿宋_GB2312" w:cs="仿宋_GB2312"/>
                <w:color w:val="auto"/>
                <w:kern w:val="0"/>
                <w:szCs w:val="24"/>
                <w:highlight w:val="none"/>
              </w:rPr>
            </w:pPr>
          </w:p>
        </w:tc>
        <w:tc>
          <w:tcPr>
            <w:tcW w:w="1440" w:type="dxa"/>
            <w:gridSpan w:val="2"/>
            <w:noWrap w:val="0"/>
            <w:tcMar>
              <w:top w:w="0" w:type="dxa"/>
              <w:left w:w="75" w:type="dxa"/>
              <w:bottom w:w="0" w:type="dxa"/>
              <w:right w:w="0" w:type="dxa"/>
            </w:tcMar>
            <w:vAlign w:val="center"/>
          </w:tcPr>
          <w:p w14:paraId="05BD7763">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质量等级</w:t>
            </w:r>
          </w:p>
        </w:tc>
        <w:tc>
          <w:tcPr>
            <w:tcW w:w="3006" w:type="dxa"/>
            <w:noWrap w:val="0"/>
            <w:tcMar>
              <w:top w:w="0" w:type="dxa"/>
              <w:left w:w="75" w:type="dxa"/>
              <w:bottom w:w="0" w:type="dxa"/>
              <w:right w:w="0" w:type="dxa"/>
            </w:tcMar>
            <w:vAlign w:val="center"/>
          </w:tcPr>
          <w:p w14:paraId="1B52C925">
            <w:pPr>
              <w:widowControl/>
              <w:spacing w:line="440" w:lineRule="exact"/>
              <w:jc w:val="center"/>
              <w:rPr>
                <w:rFonts w:hint="eastAsia" w:ascii="仿宋_GB2312" w:hAnsi="仿宋_GB2312" w:eastAsia="仿宋_GB2312" w:cs="仿宋_GB2312"/>
                <w:color w:val="auto"/>
                <w:kern w:val="0"/>
                <w:szCs w:val="24"/>
                <w:highlight w:val="none"/>
              </w:rPr>
            </w:pPr>
          </w:p>
        </w:tc>
      </w:tr>
      <w:tr w14:paraId="4E25F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 w:hRule="atLeast"/>
          <w:jc w:val="center"/>
        </w:trPr>
        <w:tc>
          <w:tcPr>
            <w:tcW w:w="803" w:type="dxa"/>
            <w:vMerge w:val="continue"/>
            <w:noWrap w:val="0"/>
            <w:vAlign w:val="center"/>
          </w:tcPr>
          <w:p w14:paraId="30256E22">
            <w:pPr>
              <w:widowControl/>
              <w:spacing w:line="440" w:lineRule="exact"/>
              <w:jc w:val="left"/>
              <w:rPr>
                <w:rFonts w:hint="eastAsia" w:ascii="仿宋_GB2312" w:hAnsi="仿宋_GB2312" w:eastAsia="仿宋_GB2312" w:cs="仿宋_GB2312"/>
                <w:color w:val="auto"/>
                <w:kern w:val="0"/>
                <w:szCs w:val="24"/>
                <w:highlight w:val="none"/>
              </w:rPr>
            </w:pPr>
          </w:p>
        </w:tc>
        <w:tc>
          <w:tcPr>
            <w:tcW w:w="1206" w:type="dxa"/>
            <w:vMerge w:val="continue"/>
            <w:noWrap w:val="0"/>
            <w:vAlign w:val="center"/>
          </w:tcPr>
          <w:p w14:paraId="396EC9B8">
            <w:pPr>
              <w:widowControl/>
              <w:spacing w:line="440" w:lineRule="exact"/>
              <w:jc w:val="left"/>
              <w:rPr>
                <w:rFonts w:hint="eastAsia" w:ascii="仿宋_GB2312" w:hAnsi="仿宋_GB2312" w:eastAsia="仿宋_GB2312" w:cs="仿宋_GB2312"/>
                <w:color w:val="auto"/>
                <w:kern w:val="0"/>
                <w:szCs w:val="24"/>
                <w:highlight w:val="none"/>
              </w:rPr>
            </w:pPr>
          </w:p>
        </w:tc>
        <w:tc>
          <w:tcPr>
            <w:tcW w:w="2359" w:type="dxa"/>
            <w:noWrap w:val="0"/>
            <w:tcMar>
              <w:top w:w="0" w:type="dxa"/>
              <w:left w:w="75" w:type="dxa"/>
              <w:bottom w:w="0" w:type="dxa"/>
              <w:right w:w="0" w:type="dxa"/>
            </w:tcMar>
            <w:vAlign w:val="center"/>
          </w:tcPr>
          <w:p w14:paraId="3A9BDB48">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项目经理</w:t>
            </w:r>
          </w:p>
        </w:tc>
        <w:tc>
          <w:tcPr>
            <w:tcW w:w="5381" w:type="dxa"/>
            <w:gridSpan w:val="4"/>
            <w:noWrap w:val="0"/>
            <w:tcMar>
              <w:top w:w="0" w:type="dxa"/>
              <w:left w:w="75" w:type="dxa"/>
              <w:bottom w:w="0" w:type="dxa"/>
              <w:right w:w="0" w:type="dxa"/>
            </w:tcMar>
            <w:vAlign w:val="center"/>
          </w:tcPr>
          <w:p w14:paraId="25644760">
            <w:pPr>
              <w:widowControl/>
              <w:spacing w:line="440" w:lineRule="exact"/>
              <w:jc w:val="right"/>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（注册编号：</w:t>
            </w:r>
            <w:r>
              <w:rPr>
                <w:rFonts w:hint="eastAsia" w:ascii="仿宋_GB2312" w:hAnsi="仿宋_GB2312" w:eastAsia="仿宋_GB2312" w:cs="仿宋_GB2312"/>
                <w:color w:val="auto"/>
                <w:kern w:val="0"/>
                <w:szCs w:val="24"/>
                <w:highlight w:val="none"/>
                <w:u w:val="single"/>
              </w:rPr>
              <w:t xml:space="preserve">       </w:t>
            </w:r>
            <w:r>
              <w:rPr>
                <w:rFonts w:hint="eastAsia" w:ascii="仿宋_GB2312" w:hAnsi="仿宋_GB2312" w:eastAsia="仿宋_GB2312" w:cs="仿宋_GB2312"/>
                <w:color w:val="auto"/>
                <w:kern w:val="0"/>
                <w:szCs w:val="24"/>
                <w:highlight w:val="none"/>
              </w:rPr>
              <w:t xml:space="preserve"> ；身份证号：</w:t>
            </w:r>
            <w:r>
              <w:rPr>
                <w:rFonts w:hint="eastAsia" w:ascii="仿宋_GB2312" w:hAnsi="仿宋_GB2312" w:eastAsia="仿宋_GB2312" w:cs="仿宋_GB2312"/>
                <w:color w:val="auto"/>
                <w:kern w:val="0"/>
                <w:szCs w:val="24"/>
                <w:highlight w:val="none"/>
                <w:u w:val="single"/>
              </w:rPr>
              <w:t xml:space="preserve">        </w:t>
            </w:r>
            <w:r>
              <w:rPr>
                <w:rFonts w:hint="eastAsia" w:ascii="仿宋_GB2312" w:hAnsi="仿宋_GB2312" w:eastAsia="仿宋_GB2312" w:cs="仿宋_GB2312"/>
                <w:color w:val="auto"/>
                <w:kern w:val="0"/>
                <w:szCs w:val="24"/>
                <w:highlight w:val="none"/>
              </w:rPr>
              <w:t>）</w:t>
            </w:r>
          </w:p>
        </w:tc>
      </w:tr>
      <w:tr w14:paraId="6E872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 w:hRule="atLeast"/>
          <w:jc w:val="center"/>
        </w:trPr>
        <w:tc>
          <w:tcPr>
            <w:tcW w:w="803" w:type="dxa"/>
            <w:vMerge w:val="continue"/>
            <w:noWrap w:val="0"/>
            <w:vAlign w:val="center"/>
          </w:tcPr>
          <w:p w14:paraId="0DA2BEEF">
            <w:pPr>
              <w:widowControl/>
              <w:spacing w:line="440" w:lineRule="exact"/>
              <w:jc w:val="left"/>
              <w:rPr>
                <w:rFonts w:hint="eastAsia" w:ascii="仿宋_GB2312" w:hAnsi="仿宋_GB2312" w:eastAsia="仿宋_GB2312" w:cs="仿宋_GB2312"/>
                <w:color w:val="auto"/>
                <w:kern w:val="0"/>
                <w:szCs w:val="24"/>
                <w:highlight w:val="none"/>
              </w:rPr>
            </w:pPr>
          </w:p>
        </w:tc>
        <w:tc>
          <w:tcPr>
            <w:tcW w:w="1206" w:type="dxa"/>
            <w:vMerge w:val="continue"/>
            <w:noWrap w:val="0"/>
            <w:vAlign w:val="center"/>
          </w:tcPr>
          <w:p w14:paraId="71453136">
            <w:pPr>
              <w:widowControl/>
              <w:spacing w:line="440" w:lineRule="exact"/>
              <w:jc w:val="left"/>
              <w:rPr>
                <w:rFonts w:hint="eastAsia" w:ascii="仿宋_GB2312" w:hAnsi="仿宋_GB2312" w:eastAsia="仿宋_GB2312" w:cs="仿宋_GB2312"/>
                <w:color w:val="auto"/>
                <w:kern w:val="0"/>
                <w:szCs w:val="24"/>
                <w:highlight w:val="none"/>
              </w:rPr>
            </w:pPr>
          </w:p>
        </w:tc>
        <w:tc>
          <w:tcPr>
            <w:tcW w:w="2359" w:type="dxa"/>
            <w:noWrap w:val="0"/>
            <w:tcMar>
              <w:top w:w="0" w:type="dxa"/>
              <w:left w:w="75" w:type="dxa"/>
              <w:bottom w:w="0" w:type="dxa"/>
              <w:right w:w="0" w:type="dxa"/>
            </w:tcMar>
            <w:vAlign w:val="center"/>
          </w:tcPr>
          <w:p w14:paraId="0D9A4733">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专职安全生产管理人员</w:t>
            </w:r>
          </w:p>
        </w:tc>
        <w:tc>
          <w:tcPr>
            <w:tcW w:w="5381" w:type="dxa"/>
            <w:gridSpan w:val="4"/>
            <w:noWrap w:val="0"/>
            <w:tcMar>
              <w:top w:w="0" w:type="dxa"/>
              <w:left w:w="75" w:type="dxa"/>
              <w:bottom w:w="0" w:type="dxa"/>
              <w:right w:w="0" w:type="dxa"/>
            </w:tcMar>
            <w:vAlign w:val="center"/>
          </w:tcPr>
          <w:p w14:paraId="061A26F4">
            <w:pPr>
              <w:widowControl/>
              <w:spacing w:line="440" w:lineRule="exact"/>
              <w:jc w:val="right"/>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（身份证号：</w:t>
            </w:r>
            <w:r>
              <w:rPr>
                <w:rFonts w:hint="eastAsia" w:ascii="仿宋_GB2312" w:hAnsi="仿宋_GB2312" w:eastAsia="仿宋_GB2312" w:cs="仿宋_GB2312"/>
                <w:color w:val="auto"/>
                <w:kern w:val="0"/>
                <w:szCs w:val="24"/>
                <w:highlight w:val="none"/>
                <w:u w:val="single"/>
              </w:rPr>
              <w:t xml:space="preserve">         </w:t>
            </w:r>
            <w:r>
              <w:rPr>
                <w:rFonts w:hint="eastAsia" w:ascii="仿宋_GB2312" w:hAnsi="仿宋_GB2312" w:eastAsia="仿宋_GB2312" w:cs="仿宋_GB2312"/>
                <w:color w:val="auto"/>
                <w:kern w:val="0"/>
                <w:szCs w:val="24"/>
                <w:highlight w:val="none"/>
              </w:rPr>
              <w:t>）【全部拟投入专职安全生产管理人员】</w:t>
            </w:r>
          </w:p>
        </w:tc>
      </w:tr>
      <w:tr w14:paraId="17B9D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 w:hRule="atLeast"/>
          <w:jc w:val="center"/>
        </w:trPr>
        <w:tc>
          <w:tcPr>
            <w:tcW w:w="803" w:type="dxa"/>
            <w:vMerge w:val="continue"/>
            <w:noWrap w:val="0"/>
            <w:vAlign w:val="center"/>
          </w:tcPr>
          <w:p w14:paraId="644E9A7E">
            <w:pPr>
              <w:widowControl/>
              <w:spacing w:line="440" w:lineRule="exact"/>
              <w:jc w:val="left"/>
              <w:rPr>
                <w:rFonts w:hint="eastAsia" w:ascii="仿宋_GB2312" w:hAnsi="仿宋_GB2312" w:eastAsia="仿宋_GB2312" w:cs="仿宋_GB2312"/>
                <w:color w:val="auto"/>
                <w:kern w:val="0"/>
                <w:szCs w:val="24"/>
                <w:highlight w:val="none"/>
              </w:rPr>
            </w:pPr>
          </w:p>
        </w:tc>
        <w:tc>
          <w:tcPr>
            <w:tcW w:w="1206" w:type="dxa"/>
            <w:vMerge w:val="continue"/>
            <w:noWrap w:val="0"/>
            <w:vAlign w:val="center"/>
          </w:tcPr>
          <w:p w14:paraId="656279E2">
            <w:pPr>
              <w:widowControl/>
              <w:spacing w:line="440" w:lineRule="exact"/>
              <w:jc w:val="left"/>
              <w:rPr>
                <w:rFonts w:hint="eastAsia" w:ascii="仿宋_GB2312" w:hAnsi="仿宋_GB2312" w:eastAsia="仿宋_GB2312" w:cs="仿宋_GB2312"/>
                <w:color w:val="auto"/>
                <w:kern w:val="0"/>
                <w:szCs w:val="24"/>
                <w:highlight w:val="none"/>
              </w:rPr>
            </w:pPr>
          </w:p>
        </w:tc>
        <w:tc>
          <w:tcPr>
            <w:tcW w:w="2359" w:type="dxa"/>
            <w:noWrap w:val="0"/>
            <w:tcMar>
              <w:top w:w="0" w:type="dxa"/>
              <w:left w:w="75" w:type="dxa"/>
              <w:bottom w:w="0" w:type="dxa"/>
              <w:right w:w="0" w:type="dxa"/>
            </w:tcMar>
            <w:vAlign w:val="center"/>
          </w:tcPr>
          <w:p w14:paraId="0B603B30">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投标所用企业业绩、奖项、企业</w:t>
            </w:r>
            <w:r>
              <w:rPr>
                <w:rFonts w:hint="eastAsia" w:ascii="仿宋_GB2312" w:hAnsi="仿宋_GB2312" w:eastAsia="仿宋_GB2312" w:cs="仿宋_GB2312"/>
                <w:color w:val="auto"/>
                <w:kern w:val="0"/>
                <w:szCs w:val="24"/>
                <w:highlight w:val="none"/>
                <w:lang w:eastAsia="zh-CN"/>
              </w:rPr>
              <w:t>诚信综合评价分</w:t>
            </w:r>
            <w:r>
              <w:rPr>
                <w:rFonts w:hint="eastAsia" w:ascii="仿宋_GB2312" w:hAnsi="仿宋_GB2312" w:eastAsia="仿宋_GB2312" w:cs="仿宋_GB2312"/>
                <w:color w:val="auto"/>
                <w:kern w:val="0"/>
                <w:szCs w:val="24"/>
                <w:highlight w:val="none"/>
              </w:rPr>
              <w:t>（包括资格要求和加分业绩、奖项）</w:t>
            </w:r>
          </w:p>
        </w:tc>
        <w:tc>
          <w:tcPr>
            <w:tcW w:w="5381" w:type="dxa"/>
            <w:gridSpan w:val="4"/>
            <w:noWrap w:val="0"/>
            <w:tcMar>
              <w:top w:w="0" w:type="dxa"/>
              <w:left w:w="75" w:type="dxa"/>
              <w:bottom w:w="0" w:type="dxa"/>
              <w:right w:w="0" w:type="dxa"/>
            </w:tcMar>
            <w:vAlign w:val="center"/>
          </w:tcPr>
          <w:p w14:paraId="345CC152">
            <w:pPr>
              <w:widowControl/>
              <w:spacing w:line="440" w:lineRule="exact"/>
              <w:jc w:val="right"/>
              <w:rPr>
                <w:rFonts w:hint="eastAsia" w:ascii="仿宋_GB2312" w:hAnsi="仿宋_GB2312" w:eastAsia="仿宋_GB2312" w:cs="仿宋_GB2312"/>
                <w:color w:val="auto"/>
                <w:kern w:val="0"/>
                <w:szCs w:val="24"/>
                <w:highlight w:val="none"/>
              </w:rPr>
            </w:pPr>
          </w:p>
        </w:tc>
      </w:tr>
      <w:tr w14:paraId="17875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 w:hRule="atLeast"/>
          <w:jc w:val="center"/>
        </w:trPr>
        <w:tc>
          <w:tcPr>
            <w:tcW w:w="803" w:type="dxa"/>
            <w:vMerge w:val="continue"/>
            <w:noWrap w:val="0"/>
            <w:vAlign w:val="center"/>
          </w:tcPr>
          <w:p w14:paraId="6C8AC423">
            <w:pPr>
              <w:widowControl/>
              <w:spacing w:line="440" w:lineRule="exact"/>
              <w:jc w:val="left"/>
              <w:rPr>
                <w:rFonts w:hint="eastAsia" w:ascii="仿宋_GB2312" w:hAnsi="仿宋_GB2312" w:eastAsia="仿宋_GB2312" w:cs="仿宋_GB2312"/>
                <w:color w:val="auto"/>
                <w:kern w:val="0"/>
                <w:szCs w:val="24"/>
                <w:highlight w:val="none"/>
              </w:rPr>
            </w:pPr>
          </w:p>
        </w:tc>
        <w:tc>
          <w:tcPr>
            <w:tcW w:w="1206" w:type="dxa"/>
            <w:vMerge w:val="restart"/>
            <w:noWrap w:val="0"/>
            <w:vAlign w:val="center"/>
          </w:tcPr>
          <w:p w14:paraId="7A7D0A25">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中标</w:t>
            </w:r>
          </w:p>
          <w:p w14:paraId="17198392">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候选人</w:t>
            </w:r>
          </w:p>
        </w:tc>
        <w:tc>
          <w:tcPr>
            <w:tcW w:w="2359" w:type="dxa"/>
            <w:noWrap w:val="0"/>
            <w:tcMar>
              <w:top w:w="0" w:type="dxa"/>
              <w:left w:w="75" w:type="dxa"/>
              <w:bottom w:w="0" w:type="dxa"/>
              <w:right w:w="0" w:type="dxa"/>
            </w:tcMar>
            <w:vAlign w:val="center"/>
          </w:tcPr>
          <w:p w14:paraId="5C45094D">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单位名称</w:t>
            </w:r>
          </w:p>
        </w:tc>
        <w:tc>
          <w:tcPr>
            <w:tcW w:w="5381" w:type="dxa"/>
            <w:gridSpan w:val="4"/>
            <w:noWrap w:val="0"/>
            <w:tcMar>
              <w:top w:w="0" w:type="dxa"/>
              <w:left w:w="75" w:type="dxa"/>
              <w:bottom w:w="0" w:type="dxa"/>
              <w:right w:w="0" w:type="dxa"/>
            </w:tcMar>
            <w:vAlign w:val="center"/>
          </w:tcPr>
          <w:p w14:paraId="3B2B1D39">
            <w:pPr>
              <w:widowControl/>
              <w:spacing w:line="440" w:lineRule="exact"/>
              <w:jc w:val="left"/>
              <w:rPr>
                <w:rFonts w:hint="eastAsia" w:ascii="仿宋_GB2312" w:hAnsi="仿宋_GB2312" w:eastAsia="仿宋_GB2312" w:cs="仿宋_GB2312"/>
                <w:color w:val="auto"/>
                <w:kern w:val="0"/>
                <w:szCs w:val="24"/>
                <w:highlight w:val="none"/>
              </w:rPr>
            </w:pPr>
          </w:p>
        </w:tc>
      </w:tr>
      <w:tr w14:paraId="2E2CB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 w:hRule="atLeast"/>
          <w:jc w:val="center"/>
        </w:trPr>
        <w:tc>
          <w:tcPr>
            <w:tcW w:w="803" w:type="dxa"/>
            <w:vMerge w:val="continue"/>
            <w:noWrap w:val="0"/>
            <w:vAlign w:val="center"/>
          </w:tcPr>
          <w:p w14:paraId="0E549B0F">
            <w:pPr>
              <w:widowControl/>
              <w:spacing w:line="440" w:lineRule="exact"/>
              <w:jc w:val="left"/>
              <w:rPr>
                <w:rFonts w:hint="eastAsia" w:ascii="仿宋_GB2312" w:hAnsi="仿宋_GB2312" w:eastAsia="仿宋_GB2312" w:cs="仿宋_GB2312"/>
                <w:color w:val="auto"/>
                <w:kern w:val="0"/>
                <w:szCs w:val="24"/>
                <w:highlight w:val="none"/>
              </w:rPr>
            </w:pPr>
          </w:p>
        </w:tc>
        <w:tc>
          <w:tcPr>
            <w:tcW w:w="1206" w:type="dxa"/>
            <w:vMerge w:val="continue"/>
            <w:noWrap w:val="0"/>
            <w:vAlign w:val="center"/>
          </w:tcPr>
          <w:p w14:paraId="799B1AFE">
            <w:pPr>
              <w:widowControl/>
              <w:spacing w:line="440" w:lineRule="exact"/>
              <w:jc w:val="center"/>
              <w:rPr>
                <w:rFonts w:hint="eastAsia" w:ascii="仿宋_GB2312" w:hAnsi="仿宋_GB2312" w:eastAsia="仿宋_GB2312" w:cs="仿宋_GB2312"/>
                <w:color w:val="auto"/>
                <w:kern w:val="0"/>
                <w:szCs w:val="24"/>
                <w:highlight w:val="none"/>
              </w:rPr>
            </w:pPr>
          </w:p>
        </w:tc>
        <w:tc>
          <w:tcPr>
            <w:tcW w:w="2359" w:type="dxa"/>
            <w:noWrap w:val="0"/>
            <w:tcMar>
              <w:top w:w="0" w:type="dxa"/>
              <w:left w:w="75" w:type="dxa"/>
              <w:bottom w:w="0" w:type="dxa"/>
              <w:right w:w="0" w:type="dxa"/>
            </w:tcMar>
            <w:vAlign w:val="center"/>
          </w:tcPr>
          <w:p w14:paraId="1DCDF195">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单位资质</w:t>
            </w:r>
          </w:p>
        </w:tc>
        <w:tc>
          <w:tcPr>
            <w:tcW w:w="5381" w:type="dxa"/>
            <w:gridSpan w:val="4"/>
            <w:noWrap w:val="0"/>
            <w:tcMar>
              <w:top w:w="0" w:type="dxa"/>
              <w:left w:w="75" w:type="dxa"/>
              <w:bottom w:w="0" w:type="dxa"/>
              <w:right w:w="0" w:type="dxa"/>
            </w:tcMar>
            <w:vAlign w:val="center"/>
          </w:tcPr>
          <w:p w14:paraId="189B194C">
            <w:pPr>
              <w:widowControl/>
              <w:spacing w:line="440" w:lineRule="exact"/>
              <w:jc w:val="left"/>
              <w:rPr>
                <w:rFonts w:hint="eastAsia" w:ascii="仿宋_GB2312" w:hAnsi="仿宋_GB2312" w:eastAsia="仿宋_GB2312" w:cs="仿宋_GB2312"/>
                <w:color w:val="auto"/>
                <w:kern w:val="0"/>
                <w:szCs w:val="24"/>
                <w:highlight w:val="none"/>
              </w:rPr>
            </w:pPr>
          </w:p>
        </w:tc>
      </w:tr>
      <w:tr w14:paraId="5C77F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 w:hRule="atLeast"/>
          <w:jc w:val="center"/>
        </w:trPr>
        <w:tc>
          <w:tcPr>
            <w:tcW w:w="803" w:type="dxa"/>
            <w:vMerge w:val="continue"/>
            <w:noWrap w:val="0"/>
            <w:vAlign w:val="center"/>
          </w:tcPr>
          <w:p w14:paraId="1601F230">
            <w:pPr>
              <w:widowControl/>
              <w:spacing w:line="440" w:lineRule="exact"/>
              <w:jc w:val="left"/>
              <w:rPr>
                <w:rFonts w:hint="eastAsia" w:ascii="仿宋_GB2312" w:hAnsi="仿宋_GB2312" w:eastAsia="仿宋_GB2312" w:cs="仿宋_GB2312"/>
                <w:color w:val="auto"/>
                <w:kern w:val="0"/>
                <w:szCs w:val="24"/>
                <w:highlight w:val="none"/>
              </w:rPr>
            </w:pPr>
          </w:p>
        </w:tc>
        <w:tc>
          <w:tcPr>
            <w:tcW w:w="1206" w:type="dxa"/>
            <w:vMerge w:val="continue"/>
            <w:noWrap w:val="0"/>
            <w:vAlign w:val="center"/>
          </w:tcPr>
          <w:p w14:paraId="69570042">
            <w:pPr>
              <w:widowControl/>
              <w:spacing w:line="440" w:lineRule="exact"/>
              <w:jc w:val="left"/>
              <w:rPr>
                <w:rFonts w:hint="eastAsia" w:ascii="仿宋_GB2312" w:hAnsi="仿宋_GB2312" w:eastAsia="仿宋_GB2312" w:cs="仿宋_GB2312"/>
                <w:color w:val="auto"/>
                <w:kern w:val="0"/>
                <w:szCs w:val="24"/>
                <w:highlight w:val="none"/>
              </w:rPr>
            </w:pPr>
          </w:p>
        </w:tc>
        <w:tc>
          <w:tcPr>
            <w:tcW w:w="2359" w:type="dxa"/>
            <w:noWrap w:val="0"/>
            <w:tcMar>
              <w:top w:w="0" w:type="dxa"/>
              <w:left w:w="75" w:type="dxa"/>
              <w:bottom w:w="0" w:type="dxa"/>
              <w:right w:w="0" w:type="dxa"/>
            </w:tcMar>
            <w:vAlign w:val="center"/>
          </w:tcPr>
          <w:p w14:paraId="70170C8F">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投标总价</w:t>
            </w:r>
          </w:p>
        </w:tc>
        <w:tc>
          <w:tcPr>
            <w:tcW w:w="5381" w:type="dxa"/>
            <w:gridSpan w:val="4"/>
            <w:noWrap w:val="0"/>
            <w:tcMar>
              <w:top w:w="0" w:type="dxa"/>
              <w:left w:w="75" w:type="dxa"/>
              <w:bottom w:w="0" w:type="dxa"/>
              <w:right w:w="0" w:type="dxa"/>
            </w:tcMar>
            <w:vAlign w:val="center"/>
          </w:tcPr>
          <w:p w14:paraId="03A7E6BE">
            <w:pPr>
              <w:widowControl/>
              <w:spacing w:line="440" w:lineRule="exact"/>
              <w:jc w:val="left"/>
              <w:rPr>
                <w:rFonts w:hint="eastAsia" w:ascii="仿宋_GB2312" w:hAnsi="仿宋_GB2312" w:eastAsia="仿宋_GB2312" w:cs="仿宋_GB2312"/>
                <w:color w:val="auto"/>
                <w:kern w:val="0"/>
                <w:szCs w:val="24"/>
                <w:highlight w:val="none"/>
              </w:rPr>
            </w:pPr>
          </w:p>
        </w:tc>
      </w:tr>
      <w:tr w14:paraId="1D275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 w:hRule="atLeast"/>
          <w:jc w:val="center"/>
        </w:trPr>
        <w:tc>
          <w:tcPr>
            <w:tcW w:w="803" w:type="dxa"/>
            <w:vMerge w:val="continue"/>
            <w:noWrap w:val="0"/>
            <w:vAlign w:val="center"/>
          </w:tcPr>
          <w:p w14:paraId="4EF805D1">
            <w:pPr>
              <w:widowControl/>
              <w:spacing w:line="440" w:lineRule="exact"/>
              <w:jc w:val="left"/>
              <w:rPr>
                <w:rFonts w:hint="eastAsia" w:ascii="仿宋_GB2312" w:hAnsi="仿宋_GB2312" w:eastAsia="仿宋_GB2312" w:cs="仿宋_GB2312"/>
                <w:color w:val="auto"/>
                <w:kern w:val="0"/>
                <w:szCs w:val="24"/>
                <w:highlight w:val="none"/>
              </w:rPr>
            </w:pPr>
          </w:p>
        </w:tc>
        <w:tc>
          <w:tcPr>
            <w:tcW w:w="1206" w:type="dxa"/>
            <w:vMerge w:val="continue"/>
            <w:noWrap w:val="0"/>
            <w:vAlign w:val="center"/>
          </w:tcPr>
          <w:p w14:paraId="0B642306">
            <w:pPr>
              <w:widowControl/>
              <w:spacing w:line="440" w:lineRule="exact"/>
              <w:jc w:val="left"/>
              <w:rPr>
                <w:rFonts w:hint="eastAsia" w:ascii="仿宋_GB2312" w:hAnsi="仿宋_GB2312" w:eastAsia="仿宋_GB2312" w:cs="仿宋_GB2312"/>
                <w:color w:val="auto"/>
                <w:kern w:val="0"/>
                <w:szCs w:val="24"/>
                <w:highlight w:val="none"/>
              </w:rPr>
            </w:pPr>
          </w:p>
        </w:tc>
        <w:tc>
          <w:tcPr>
            <w:tcW w:w="2359" w:type="dxa"/>
            <w:noWrap w:val="0"/>
            <w:tcMar>
              <w:top w:w="0" w:type="dxa"/>
              <w:left w:w="75" w:type="dxa"/>
              <w:bottom w:w="0" w:type="dxa"/>
              <w:right w:w="0" w:type="dxa"/>
            </w:tcMar>
            <w:vAlign w:val="center"/>
          </w:tcPr>
          <w:p w14:paraId="29907403">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工期</w:t>
            </w:r>
          </w:p>
        </w:tc>
        <w:tc>
          <w:tcPr>
            <w:tcW w:w="935" w:type="dxa"/>
            <w:noWrap w:val="0"/>
            <w:tcMar>
              <w:top w:w="0" w:type="dxa"/>
              <w:left w:w="75" w:type="dxa"/>
              <w:bottom w:w="0" w:type="dxa"/>
              <w:right w:w="0" w:type="dxa"/>
            </w:tcMar>
            <w:vAlign w:val="center"/>
          </w:tcPr>
          <w:p w14:paraId="18639E5A">
            <w:pPr>
              <w:widowControl/>
              <w:spacing w:line="440" w:lineRule="exact"/>
              <w:jc w:val="left"/>
              <w:rPr>
                <w:rFonts w:hint="eastAsia" w:ascii="仿宋_GB2312" w:hAnsi="仿宋_GB2312" w:eastAsia="仿宋_GB2312" w:cs="仿宋_GB2312"/>
                <w:color w:val="auto"/>
                <w:kern w:val="0"/>
                <w:szCs w:val="24"/>
                <w:highlight w:val="none"/>
              </w:rPr>
            </w:pPr>
          </w:p>
        </w:tc>
        <w:tc>
          <w:tcPr>
            <w:tcW w:w="1440" w:type="dxa"/>
            <w:gridSpan w:val="2"/>
            <w:noWrap w:val="0"/>
            <w:tcMar>
              <w:top w:w="0" w:type="dxa"/>
              <w:left w:w="75" w:type="dxa"/>
              <w:bottom w:w="0" w:type="dxa"/>
              <w:right w:w="0" w:type="dxa"/>
            </w:tcMar>
            <w:vAlign w:val="center"/>
          </w:tcPr>
          <w:p w14:paraId="0F857081">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质量等级</w:t>
            </w:r>
          </w:p>
        </w:tc>
        <w:tc>
          <w:tcPr>
            <w:tcW w:w="3006" w:type="dxa"/>
            <w:noWrap w:val="0"/>
            <w:tcMar>
              <w:top w:w="0" w:type="dxa"/>
              <w:left w:w="75" w:type="dxa"/>
              <w:bottom w:w="0" w:type="dxa"/>
              <w:right w:w="0" w:type="dxa"/>
            </w:tcMar>
            <w:vAlign w:val="center"/>
          </w:tcPr>
          <w:p w14:paraId="47C85B2C">
            <w:pPr>
              <w:widowControl/>
              <w:spacing w:line="440" w:lineRule="exact"/>
              <w:jc w:val="center"/>
              <w:rPr>
                <w:rFonts w:hint="eastAsia" w:ascii="仿宋_GB2312" w:hAnsi="仿宋_GB2312" w:eastAsia="仿宋_GB2312" w:cs="仿宋_GB2312"/>
                <w:color w:val="auto"/>
                <w:kern w:val="0"/>
                <w:szCs w:val="24"/>
                <w:highlight w:val="none"/>
              </w:rPr>
            </w:pPr>
          </w:p>
        </w:tc>
      </w:tr>
      <w:tr w14:paraId="2FE64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 w:hRule="atLeast"/>
          <w:jc w:val="center"/>
        </w:trPr>
        <w:tc>
          <w:tcPr>
            <w:tcW w:w="803" w:type="dxa"/>
            <w:vMerge w:val="continue"/>
            <w:noWrap w:val="0"/>
            <w:vAlign w:val="center"/>
          </w:tcPr>
          <w:p w14:paraId="2D7E775A">
            <w:pPr>
              <w:widowControl/>
              <w:spacing w:line="440" w:lineRule="exact"/>
              <w:jc w:val="left"/>
              <w:rPr>
                <w:rFonts w:hint="eastAsia" w:ascii="仿宋_GB2312" w:hAnsi="仿宋_GB2312" w:eastAsia="仿宋_GB2312" w:cs="仿宋_GB2312"/>
                <w:color w:val="auto"/>
                <w:kern w:val="0"/>
                <w:szCs w:val="24"/>
                <w:highlight w:val="none"/>
              </w:rPr>
            </w:pPr>
          </w:p>
        </w:tc>
        <w:tc>
          <w:tcPr>
            <w:tcW w:w="1206" w:type="dxa"/>
            <w:vMerge w:val="continue"/>
            <w:noWrap w:val="0"/>
            <w:vAlign w:val="center"/>
          </w:tcPr>
          <w:p w14:paraId="22DC627B">
            <w:pPr>
              <w:widowControl/>
              <w:spacing w:line="440" w:lineRule="exact"/>
              <w:jc w:val="left"/>
              <w:rPr>
                <w:rFonts w:hint="eastAsia" w:ascii="仿宋_GB2312" w:hAnsi="仿宋_GB2312" w:eastAsia="仿宋_GB2312" w:cs="仿宋_GB2312"/>
                <w:color w:val="auto"/>
                <w:kern w:val="0"/>
                <w:szCs w:val="24"/>
                <w:highlight w:val="none"/>
              </w:rPr>
            </w:pPr>
          </w:p>
        </w:tc>
        <w:tc>
          <w:tcPr>
            <w:tcW w:w="2359" w:type="dxa"/>
            <w:noWrap w:val="0"/>
            <w:tcMar>
              <w:top w:w="0" w:type="dxa"/>
              <w:left w:w="75" w:type="dxa"/>
              <w:bottom w:w="0" w:type="dxa"/>
              <w:right w:w="0" w:type="dxa"/>
            </w:tcMar>
            <w:vAlign w:val="center"/>
          </w:tcPr>
          <w:p w14:paraId="36BFA43E">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项目经理</w:t>
            </w:r>
          </w:p>
        </w:tc>
        <w:tc>
          <w:tcPr>
            <w:tcW w:w="5381" w:type="dxa"/>
            <w:gridSpan w:val="4"/>
            <w:noWrap w:val="0"/>
            <w:tcMar>
              <w:top w:w="0" w:type="dxa"/>
              <w:left w:w="75" w:type="dxa"/>
              <w:bottom w:w="0" w:type="dxa"/>
              <w:right w:w="0" w:type="dxa"/>
            </w:tcMar>
            <w:vAlign w:val="center"/>
          </w:tcPr>
          <w:p w14:paraId="02C29158">
            <w:pPr>
              <w:widowControl/>
              <w:spacing w:line="440" w:lineRule="exact"/>
              <w:jc w:val="right"/>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（注册编号：</w:t>
            </w:r>
            <w:r>
              <w:rPr>
                <w:rFonts w:hint="eastAsia" w:ascii="仿宋_GB2312" w:hAnsi="仿宋_GB2312" w:eastAsia="仿宋_GB2312" w:cs="仿宋_GB2312"/>
                <w:color w:val="auto"/>
                <w:kern w:val="0"/>
                <w:szCs w:val="24"/>
                <w:highlight w:val="none"/>
                <w:u w:val="single"/>
              </w:rPr>
              <w:t xml:space="preserve">        </w:t>
            </w:r>
            <w:r>
              <w:rPr>
                <w:rFonts w:hint="eastAsia" w:ascii="仿宋_GB2312" w:hAnsi="仿宋_GB2312" w:eastAsia="仿宋_GB2312" w:cs="仿宋_GB2312"/>
                <w:color w:val="auto"/>
                <w:kern w:val="0"/>
                <w:szCs w:val="24"/>
                <w:highlight w:val="none"/>
              </w:rPr>
              <w:t xml:space="preserve">；身份证号： </w:t>
            </w:r>
            <w:r>
              <w:rPr>
                <w:rFonts w:hint="eastAsia" w:ascii="仿宋_GB2312" w:hAnsi="仿宋_GB2312" w:eastAsia="仿宋_GB2312" w:cs="仿宋_GB2312"/>
                <w:color w:val="auto"/>
                <w:kern w:val="0"/>
                <w:szCs w:val="24"/>
                <w:highlight w:val="none"/>
                <w:u w:val="single"/>
              </w:rPr>
              <w:t xml:space="preserve">      </w:t>
            </w:r>
            <w:r>
              <w:rPr>
                <w:rFonts w:hint="eastAsia" w:ascii="仿宋_GB2312" w:hAnsi="仿宋_GB2312" w:eastAsia="仿宋_GB2312" w:cs="仿宋_GB2312"/>
                <w:color w:val="auto"/>
                <w:kern w:val="0"/>
                <w:szCs w:val="24"/>
                <w:highlight w:val="none"/>
              </w:rPr>
              <w:t xml:space="preserve"> ）</w:t>
            </w:r>
          </w:p>
        </w:tc>
      </w:tr>
      <w:tr w14:paraId="0A740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 w:hRule="atLeast"/>
          <w:jc w:val="center"/>
        </w:trPr>
        <w:tc>
          <w:tcPr>
            <w:tcW w:w="803" w:type="dxa"/>
            <w:vMerge w:val="continue"/>
            <w:noWrap w:val="0"/>
            <w:vAlign w:val="center"/>
          </w:tcPr>
          <w:p w14:paraId="128D7F80">
            <w:pPr>
              <w:widowControl/>
              <w:spacing w:line="440" w:lineRule="exact"/>
              <w:jc w:val="left"/>
              <w:rPr>
                <w:rFonts w:hint="eastAsia" w:ascii="仿宋_GB2312" w:hAnsi="仿宋_GB2312" w:eastAsia="仿宋_GB2312" w:cs="仿宋_GB2312"/>
                <w:color w:val="auto"/>
                <w:kern w:val="0"/>
                <w:szCs w:val="24"/>
                <w:highlight w:val="none"/>
              </w:rPr>
            </w:pPr>
          </w:p>
        </w:tc>
        <w:tc>
          <w:tcPr>
            <w:tcW w:w="1206" w:type="dxa"/>
            <w:vMerge w:val="continue"/>
            <w:noWrap w:val="0"/>
            <w:vAlign w:val="center"/>
          </w:tcPr>
          <w:p w14:paraId="41A17E05">
            <w:pPr>
              <w:widowControl/>
              <w:spacing w:line="440" w:lineRule="exact"/>
              <w:jc w:val="left"/>
              <w:rPr>
                <w:rFonts w:hint="eastAsia" w:ascii="仿宋_GB2312" w:hAnsi="仿宋_GB2312" w:eastAsia="仿宋_GB2312" w:cs="仿宋_GB2312"/>
                <w:color w:val="auto"/>
                <w:kern w:val="0"/>
                <w:szCs w:val="24"/>
                <w:highlight w:val="none"/>
              </w:rPr>
            </w:pPr>
          </w:p>
        </w:tc>
        <w:tc>
          <w:tcPr>
            <w:tcW w:w="2359" w:type="dxa"/>
            <w:noWrap w:val="0"/>
            <w:tcMar>
              <w:top w:w="0" w:type="dxa"/>
              <w:left w:w="75" w:type="dxa"/>
              <w:bottom w:w="0" w:type="dxa"/>
              <w:right w:w="0" w:type="dxa"/>
            </w:tcMar>
            <w:vAlign w:val="center"/>
          </w:tcPr>
          <w:p w14:paraId="14A4AA16">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专职安全生产管理人员</w:t>
            </w:r>
          </w:p>
        </w:tc>
        <w:tc>
          <w:tcPr>
            <w:tcW w:w="5381" w:type="dxa"/>
            <w:gridSpan w:val="4"/>
            <w:noWrap w:val="0"/>
            <w:tcMar>
              <w:top w:w="0" w:type="dxa"/>
              <w:left w:w="75" w:type="dxa"/>
              <w:bottom w:w="0" w:type="dxa"/>
              <w:right w:w="0" w:type="dxa"/>
            </w:tcMar>
            <w:vAlign w:val="center"/>
          </w:tcPr>
          <w:p w14:paraId="36C24962">
            <w:pPr>
              <w:widowControl/>
              <w:spacing w:line="440" w:lineRule="exact"/>
              <w:jc w:val="right"/>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（身份证号：</w:t>
            </w:r>
            <w:r>
              <w:rPr>
                <w:rFonts w:hint="eastAsia" w:ascii="仿宋_GB2312" w:hAnsi="仿宋_GB2312" w:eastAsia="仿宋_GB2312" w:cs="仿宋_GB2312"/>
                <w:color w:val="auto"/>
                <w:kern w:val="0"/>
                <w:szCs w:val="24"/>
                <w:highlight w:val="none"/>
                <w:u w:val="single"/>
              </w:rPr>
              <w:t xml:space="preserve">        </w:t>
            </w:r>
            <w:r>
              <w:rPr>
                <w:rFonts w:hint="eastAsia" w:ascii="仿宋_GB2312" w:hAnsi="仿宋_GB2312" w:eastAsia="仿宋_GB2312" w:cs="仿宋_GB2312"/>
                <w:color w:val="auto"/>
                <w:kern w:val="0"/>
                <w:szCs w:val="24"/>
                <w:highlight w:val="none"/>
              </w:rPr>
              <w:t xml:space="preserve"> ）【全部拟投入专职安全生产管理人员】</w:t>
            </w:r>
          </w:p>
        </w:tc>
      </w:tr>
      <w:tr w14:paraId="05A68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 w:hRule="atLeast"/>
          <w:jc w:val="center"/>
        </w:trPr>
        <w:tc>
          <w:tcPr>
            <w:tcW w:w="803" w:type="dxa"/>
            <w:vMerge w:val="continue"/>
            <w:noWrap w:val="0"/>
            <w:vAlign w:val="center"/>
          </w:tcPr>
          <w:p w14:paraId="15A5E153">
            <w:pPr>
              <w:widowControl/>
              <w:spacing w:line="440" w:lineRule="exact"/>
              <w:jc w:val="left"/>
              <w:rPr>
                <w:rFonts w:hint="eastAsia" w:ascii="仿宋_GB2312" w:hAnsi="仿宋_GB2312" w:eastAsia="仿宋_GB2312" w:cs="仿宋_GB2312"/>
                <w:color w:val="auto"/>
                <w:kern w:val="0"/>
                <w:szCs w:val="24"/>
                <w:highlight w:val="none"/>
              </w:rPr>
            </w:pPr>
          </w:p>
        </w:tc>
        <w:tc>
          <w:tcPr>
            <w:tcW w:w="1206" w:type="dxa"/>
            <w:vMerge w:val="continue"/>
            <w:noWrap w:val="0"/>
            <w:vAlign w:val="center"/>
          </w:tcPr>
          <w:p w14:paraId="62A09B25">
            <w:pPr>
              <w:widowControl/>
              <w:spacing w:line="440" w:lineRule="exact"/>
              <w:jc w:val="left"/>
              <w:rPr>
                <w:rFonts w:hint="eastAsia" w:ascii="仿宋_GB2312" w:hAnsi="仿宋_GB2312" w:eastAsia="仿宋_GB2312" w:cs="仿宋_GB2312"/>
                <w:color w:val="auto"/>
                <w:kern w:val="0"/>
                <w:szCs w:val="24"/>
                <w:highlight w:val="none"/>
              </w:rPr>
            </w:pPr>
          </w:p>
        </w:tc>
        <w:tc>
          <w:tcPr>
            <w:tcW w:w="2359" w:type="dxa"/>
            <w:noWrap w:val="0"/>
            <w:tcMar>
              <w:top w:w="0" w:type="dxa"/>
              <w:left w:w="75" w:type="dxa"/>
              <w:bottom w:w="0" w:type="dxa"/>
              <w:right w:w="0" w:type="dxa"/>
            </w:tcMar>
            <w:vAlign w:val="center"/>
          </w:tcPr>
          <w:p w14:paraId="67C72552">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投标所用企业业绩、奖项、企业</w:t>
            </w:r>
            <w:r>
              <w:rPr>
                <w:rFonts w:hint="eastAsia" w:ascii="仿宋_GB2312" w:hAnsi="仿宋_GB2312" w:eastAsia="仿宋_GB2312" w:cs="仿宋_GB2312"/>
                <w:color w:val="auto"/>
                <w:kern w:val="0"/>
                <w:szCs w:val="24"/>
                <w:highlight w:val="none"/>
                <w:lang w:eastAsia="zh-CN"/>
              </w:rPr>
              <w:t>诚信综合评价分</w:t>
            </w:r>
            <w:r>
              <w:rPr>
                <w:rFonts w:hint="eastAsia" w:ascii="仿宋_GB2312" w:hAnsi="仿宋_GB2312" w:eastAsia="仿宋_GB2312" w:cs="仿宋_GB2312"/>
                <w:color w:val="auto"/>
                <w:kern w:val="0"/>
                <w:szCs w:val="24"/>
                <w:highlight w:val="none"/>
              </w:rPr>
              <w:t>（包括资格要求和加分业绩、奖项）</w:t>
            </w:r>
          </w:p>
        </w:tc>
        <w:tc>
          <w:tcPr>
            <w:tcW w:w="5381" w:type="dxa"/>
            <w:gridSpan w:val="4"/>
            <w:noWrap w:val="0"/>
            <w:tcMar>
              <w:top w:w="0" w:type="dxa"/>
              <w:left w:w="75" w:type="dxa"/>
              <w:bottom w:w="0" w:type="dxa"/>
              <w:right w:w="0" w:type="dxa"/>
            </w:tcMar>
            <w:vAlign w:val="center"/>
          </w:tcPr>
          <w:p w14:paraId="626D58E0">
            <w:pPr>
              <w:widowControl/>
              <w:spacing w:line="440" w:lineRule="exact"/>
              <w:jc w:val="right"/>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 xml:space="preserve"> </w:t>
            </w:r>
          </w:p>
        </w:tc>
      </w:tr>
      <w:tr w14:paraId="5B236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3" w:hRule="atLeast"/>
          <w:jc w:val="center"/>
        </w:trPr>
        <w:tc>
          <w:tcPr>
            <w:tcW w:w="803" w:type="dxa"/>
            <w:vMerge w:val="continue"/>
            <w:noWrap w:val="0"/>
            <w:vAlign w:val="center"/>
          </w:tcPr>
          <w:p w14:paraId="44C5C216">
            <w:pPr>
              <w:widowControl/>
              <w:spacing w:line="440" w:lineRule="exact"/>
              <w:jc w:val="left"/>
              <w:rPr>
                <w:rFonts w:hint="eastAsia" w:ascii="仿宋_GB2312" w:hAnsi="仿宋_GB2312" w:eastAsia="仿宋_GB2312" w:cs="仿宋_GB2312"/>
                <w:color w:val="auto"/>
                <w:kern w:val="0"/>
                <w:szCs w:val="24"/>
                <w:highlight w:val="none"/>
              </w:rPr>
            </w:pPr>
          </w:p>
        </w:tc>
        <w:tc>
          <w:tcPr>
            <w:tcW w:w="1206" w:type="dxa"/>
            <w:noWrap w:val="0"/>
            <w:vAlign w:val="center"/>
          </w:tcPr>
          <w:p w14:paraId="322791FF">
            <w:pPr>
              <w:widowControl/>
              <w:spacing w:line="440" w:lineRule="exact"/>
              <w:jc w:val="center"/>
              <w:rPr>
                <w:rFonts w:hint="eastAsia" w:ascii="仿宋_GB2312" w:hAnsi="仿宋_GB2312" w:eastAsia="仿宋_GB2312" w:cs="仿宋_GB2312"/>
                <w:color w:val="auto"/>
                <w:kern w:val="0"/>
                <w:szCs w:val="24"/>
                <w:highlight w:val="none"/>
                <w:lang w:eastAsia="zh-CN"/>
              </w:rPr>
            </w:pPr>
            <w:r>
              <w:rPr>
                <w:rFonts w:hint="eastAsia" w:ascii="仿宋_GB2312" w:hAnsi="仿宋_GB2312" w:eastAsia="仿宋_GB2312" w:cs="仿宋_GB2312"/>
                <w:color w:val="auto"/>
                <w:kern w:val="0"/>
                <w:szCs w:val="24"/>
                <w:highlight w:val="none"/>
                <w:lang w:eastAsia="zh-CN"/>
              </w:rPr>
              <w:t>……</w:t>
            </w:r>
          </w:p>
        </w:tc>
        <w:tc>
          <w:tcPr>
            <w:tcW w:w="2359" w:type="dxa"/>
            <w:noWrap w:val="0"/>
            <w:tcMar>
              <w:top w:w="0" w:type="dxa"/>
              <w:left w:w="75" w:type="dxa"/>
              <w:bottom w:w="0" w:type="dxa"/>
              <w:right w:w="0" w:type="dxa"/>
            </w:tcMar>
            <w:vAlign w:val="center"/>
          </w:tcPr>
          <w:p w14:paraId="4AFB8EDF">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lang w:eastAsia="zh-CN"/>
              </w:rPr>
              <w:t>……</w:t>
            </w:r>
          </w:p>
        </w:tc>
        <w:tc>
          <w:tcPr>
            <w:tcW w:w="5381" w:type="dxa"/>
            <w:gridSpan w:val="4"/>
            <w:noWrap w:val="0"/>
            <w:tcMar>
              <w:top w:w="0" w:type="dxa"/>
              <w:left w:w="75" w:type="dxa"/>
              <w:bottom w:w="0" w:type="dxa"/>
              <w:right w:w="0" w:type="dxa"/>
            </w:tcMar>
            <w:vAlign w:val="center"/>
          </w:tcPr>
          <w:p w14:paraId="0655FEA4">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lang w:eastAsia="zh-CN"/>
              </w:rPr>
              <w:t>……</w:t>
            </w:r>
          </w:p>
        </w:tc>
      </w:tr>
      <w:tr w14:paraId="68B43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8" w:hRule="atLeast"/>
          <w:jc w:val="center"/>
        </w:trPr>
        <w:tc>
          <w:tcPr>
            <w:tcW w:w="2009" w:type="dxa"/>
            <w:gridSpan w:val="2"/>
            <w:noWrap w:val="0"/>
            <w:vAlign w:val="center"/>
          </w:tcPr>
          <w:p w14:paraId="0B19CCBF">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被否决投标或不合格的投标人名称、否决原因及依据</w:t>
            </w:r>
          </w:p>
        </w:tc>
        <w:tc>
          <w:tcPr>
            <w:tcW w:w="7740" w:type="dxa"/>
            <w:gridSpan w:val="5"/>
            <w:noWrap w:val="0"/>
            <w:tcMar>
              <w:top w:w="0" w:type="dxa"/>
              <w:left w:w="75" w:type="dxa"/>
              <w:bottom w:w="0" w:type="dxa"/>
              <w:right w:w="0" w:type="dxa"/>
            </w:tcMar>
            <w:vAlign w:val="center"/>
          </w:tcPr>
          <w:p w14:paraId="12AF4B6E">
            <w:pPr>
              <w:widowControl/>
              <w:spacing w:line="440" w:lineRule="exact"/>
              <w:ind w:right="178" w:rightChars="85"/>
              <w:rPr>
                <w:rFonts w:hint="eastAsia" w:ascii="仿宋_GB2312" w:hAnsi="仿宋_GB2312" w:eastAsia="仿宋_GB2312" w:cs="仿宋_GB2312"/>
                <w:color w:val="auto"/>
                <w:kern w:val="0"/>
                <w:szCs w:val="24"/>
                <w:highlight w:val="none"/>
              </w:rPr>
            </w:pPr>
          </w:p>
        </w:tc>
      </w:tr>
      <w:tr w14:paraId="274E0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8" w:hRule="atLeast"/>
          <w:jc w:val="center"/>
        </w:trPr>
        <w:tc>
          <w:tcPr>
            <w:tcW w:w="2009" w:type="dxa"/>
            <w:gridSpan w:val="2"/>
            <w:noWrap w:val="0"/>
            <w:vAlign w:val="center"/>
          </w:tcPr>
          <w:p w14:paraId="623275DB">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其他公示内容（如有）</w:t>
            </w:r>
          </w:p>
        </w:tc>
        <w:tc>
          <w:tcPr>
            <w:tcW w:w="7740" w:type="dxa"/>
            <w:gridSpan w:val="5"/>
            <w:noWrap w:val="0"/>
            <w:tcMar>
              <w:top w:w="0" w:type="dxa"/>
              <w:left w:w="75" w:type="dxa"/>
              <w:bottom w:w="0" w:type="dxa"/>
              <w:right w:w="0" w:type="dxa"/>
            </w:tcMar>
            <w:vAlign w:val="center"/>
          </w:tcPr>
          <w:p w14:paraId="060B3285">
            <w:pPr>
              <w:widowControl/>
              <w:spacing w:line="440" w:lineRule="exact"/>
              <w:ind w:right="178" w:rightChars="85"/>
              <w:rPr>
                <w:rFonts w:hint="eastAsia" w:ascii="仿宋_GB2312" w:hAnsi="仿宋_GB2312" w:eastAsia="仿宋_GB2312" w:cs="仿宋_GB2312"/>
                <w:color w:val="auto"/>
                <w:kern w:val="0"/>
                <w:szCs w:val="24"/>
                <w:highlight w:val="none"/>
              </w:rPr>
            </w:pPr>
          </w:p>
        </w:tc>
      </w:tr>
      <w:tr w14:paraId="7C008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 w:hRule="atLeast"/>
          <w:jc w:val="center"/>
        </w:trPr>
        <w:tc>
          <w:tcPr>
            <w:tcW w:w="2009" w:type="dxa"/>
            <w:gridSpan w:val="2"/>
            <w:noWrap w:val="0"/>
            <w:vAlign w:val="center"/>
          </w:tcPr>
          <w:p w14:paraId="7292757E">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公示媒介</w:t>
            </w:r>
          </w:p>
        </w:tc>
        <w:tc>
          <w:tcPr>
            <w:tcW w:w="7740" w:type="dxa"/>
            <w:gridSpan w:val="5"/>
            <w:noWrap w:val="0"/>
            <w:tcMar>
              <w:top w:w="0" w:type="dxa"/>
              <w:left w:w="75" w:type="dxa"/>
              <w:bottom w:w="0" w:type="dxa"/>
              <w:right w:w="0" w:type="dxa"/>
            </w:tcMar>
            <w:vAlign w:val="center"/>
          </w:tcPr>
          <w:p w14:paraId="6BDC1CAB">
            <w:pPr>
              <w:widowControl/>
              <w:spacing w:line="440" w:lineRule="exact"/>
              <w:ind w:right="178" w:rightChars="85"/>
              <w:rPr>
                <w:rFonts w:hint="eastAsia" w:ascii="仿宋_GB2312" w:hAnsi="仿宋_GB2312" w:eastAsia="仿宋_GB2312" w:cs="仿宋_GB2312"/>
                <w:color w:val="auto"/>
                <w:szCs w:val="24"/>
                <w:highlight w:val="none"/>
              </w:rPr>
            </w:pPr>
          </w:p>
        </w:tc>
      </w:tr>
      <w:tr w14:paraId="4E091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 w:hRule="atLeast"/>
          <w:jc w:val="center"/>
        </w:trPr>
        <w:tc>
          <w:tcPr>
            <w:tcW w:w="2009" w:type="dxa"/>
            <w:gridSpan w:val="2"/>
            <w:noWrap w:val="0"/>
            <w:vAlign w:val="center"/>
          </w:tcPr>
          <w:p w14:paraId="7BB490E8">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异议和投诉</w:t>
            </w:r>
          </w:p>
        </w:tc>
        <w:tc>
          <w:tcPr>
            <w:tcW w:w="7740" w:type="dxa"/>
            <w:gridSpan w:val="5"/>
            <w:noWrap w:val="0"/>
            <w:tcMar>
              <w:top w:w="0" w:type="dxa"/>
              <w:left w:w="75" w:type="dxa"/>
              <w:bottom w:w="0" w:type="dxa"/>
              <w:right w:w="0" w:type="dxa"/>
            </w:tcMar>
            <w:vAlign w:val="center"/>
          </w:tcPr>
          <w:p w14:paraId="0BFF08D3">
            <w:pPr>
              <w:widowControl/>
              <w:spacing w:line="320" w:lineRule="exact"/>
              <w:ind w:right="178" w:rightChars="85"/>
              <w:rPr>
                <w:rFonts w:hint="eastAsia" w:ascii="仿宋_GB2312" w:hAnsi="仿宋_GB2312" w:eastAsia="仿宋_GB2312" w:cs="仿宋_GB2312"/>
                <w:color w:val="auto"/>
                <w:szCs w:val="24"/>
                <w:highlight w:val="none"/>
              </w:rPr>
            </w:pPr>
            <w:r>
              <w:rPr>
                <w:rFonts w:hint="eastAsia" w:ascii="仿宋_GB2312" w:hAnsi="仿宋_GB2312" w:eastAsia="仿宋_GB2312" w:cs="仿宋_GB2312"/>
                <w:color w:val="auto"/>
                <w:kern w:val="0"/>
                <w:szCs w:val="24"/>
                <w:highlight w:val="none"/>
              </w:rPr>
              <w:t>投标人或者其他利害关系人对评标结果有异议的，应当在中标候选人公示期间提出，</w:t>
            </w:r>
            <w:r>
              <w:rPr>
                <w:rFonts w:hint="eastAsia" w:ascii="仿宋_GB2312" w:hAnsi="仿宋_GB2312" w:eastAsia="仿宋_GB2312" w:cs="仿宋_GB2312"/>
                <w:color w:val="auto"/>
                <w:szCs w:val="24"/>
                <w:highlight w:val="none"/>
              </w:rPr>
              <w:t>招标人应当自收到异议之日起3日内作出答复；若招标人拒不答复或认为招标人答复内容不符合法律、法规和规章规定或认为权益受到侵害的，请在自知道或应当知道</w:t>
            </w:r>
            <w:r>
              <w:rPr>
                <w:rFonts w:hint="eastAsia" w:ascii="仿宋_GB2312" w:hAnsi="仿宋_GB2312" w:eastAsia="仿宋_GB2312" w:cs="仿宋_GB2312"/>
                <w:color w:val="auto"/>
                <w:kern w:val="0"/>
                <w:szCs w:val="24"/>
                <w:highlight w:val="none"/>
              </w:rPr>
              <w:t>之日起10日内通过全国公共资源交易平台（广西壮族自治区）或提交纸质书面材料向投诉受理部门提出书面投诉书，逾期不予受理。若招标人对项目评标结果有异议的，可在</w:t>
            </w:r>
            <w:r>
              <w:rPr>
                <w:rFonts w:hint="eastAsia" w:ascii="仿宋_GB2312" w:hAnsi="仿宋_GB2312" w:eastAsia="仿宋_GB2312" w:cs="仿宋_GB2312"/>
                <w:color w:val="auto"/>
                <w:szCs w:val="24"/>
                <w:highlight w:val="none"/>
              </w:rPr>
              <w:t>公示开始日起10日内通过全国公共资源交易平台（广西壮族自治区）或提交纸质书面材料直接向投诉受理部门提交书面投诉书。</w:t>
            </w:r>
          </w:p>
        </w:tc>
      </w:tr>
      <w:tr w14:paraId="64370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2009" w:type="dxa"/>
            <w:gridSpan w:val="2"/>
            <w:noWrap w:val="0"/>
            <w:vAlign w:val="center"/>
          </w:tcPr>
          <w:p w14:paraId="4D6D731D">
            <w:pPr>
              <w:widowControl/>
              <w:spacing w:line="440" w:lineRule="exact"/>
              <w:jc w:val="center"/>
              <w:rPr>
                <w:rFonts w:hint="eastAsia" w:ascii="仿宋_GB2312" w:hAnsi="仿宋_GB2312" w:eastAsia="仿宋_GB2312" w:cs="仿宋_GB2312"/>
                <w:color w:val="auto"/>
                <w:kern w:val="0"/>
                <w:szCs w:val="24"/>
                <w:highlight w:val="none"/>
              </w:rPr>
            </w:pPr>
            <w:r>
              <w:rPr>
                <w:rFonts w:hint="eastAsia" w:ascii="仿宋_GB2312" w:hAnsi="仿宋_GB2312" w:eastAsia="仿宋_GB2312" w:cs="仿宋_GB2312"/>
                <w:color w:val="auto"/>
                <w:kern w:val="0"/>
                <w:szCs w:val="24"/>
                <w:highlight w:val="none"/>
              </w:rPr>
              <w:t>投诉受理部门</w:t>
            </w:r>
          </w:p>
        </w:tc>
        <w:tc>
          <w:tcPr>
            <w:tcW w:w="3294" w:type="dxa"/>
            <w:gridSpan w:val="2"/>
            <w:noWrap w:val="0"/>
            <w:tcMar>
              <w:top w:w="30" w:type="dxa"/>
              <w:left w:w="30" w:type="dxa"/>
              <w:bottom w:w="30" w:type="dxa"/>
              <w:right w:w="30" w:type="dxa"/>
            </w:tcMar>
            <w:vAlign w:val="center"/>
          </w:tcPr>
          <w:p w14:paraId="5FC5F7F2">
            <w:pPr>
              <w:widowControl/>
              <w:spacing w:line="440" w:lineRule="exact"/>
              <w:jc w:val="left"/>
              <w:rPr>
                <w:rFonts w:hint="eastAsia" w:ascii="仿宋_GB2312" w:hAnsi="仿宋_GB2312" w:eastAsia="仿宋_GB2312" w:cs="仿宋_GB2312"/>
                <w:color w:val="auto"/>
                <w:szCs w:val="24"/>
                <w:highlight w:val="none"/>
              </w:rPr>
            </w:pPr>
          </w:p>
        </w:tc>
        <w:tc>
          <w:tcPr>
            <w:tcW w:w="1440" w:type="dxa"/>
            <w:gridSpan w:val="2"/>
            <w:noWrap w:val="0"/>
            <w:vAlign w:val="center"/>
          </w:tcPr>
          <w:p w14:paraId="05B1F9B7">
            <w:pPr>
              <w:widowControl/>
              <w:spacing w:line="440" w:lineRule="exact"/>
              <w:jc w:val="center"/>
              <w:rPr>
                <w:rFonts w:hint="eastAsia" w:ascii="仿宋_GB2312" w:hAnsi="仿宋_GB2312" w:eastAsia="仿宋_GB2312" w:cs="仿宋_GB2312"/>
                <w:color w:val="auto"/>
                <w:szCs w:val="24"/>
                <w:highlight w:val="none"/>
              </w:rPr>
            </w:pPr>
            <w:r>
              <w:rPr>
                <w:rFonts w:hint="eastAsia" w:ascii="仿宋_GB2312" w:hAnsi="仿宋_GB2312" w:eastAsia="仿宋_GB2312" w:cs="仿宋_GB2312"/>
                <w:color w:val="auto"/>
                <w:szCs w:val="24"/>
                <w:highlight w:val="none"/>
              </w:rPr>
              <w:t>投诉受理电话</w:t>
            </w:r>
          </w:p>
        </w:tc>
        <w:tc>
          <w:tcPr>
            <w:tcW w:w="3006" w:type="dxa"/>
            <w:noWrap w:val="0"/>
            <w:vAlign w:val="center"/>
          </w:tcPr>
          <w:p w14:paraId="1609110C">
            <w:pPr>
              <w:widowControl/>
              <w:spacing w:line="440" w:lineRule="exact"/>
              <w:jc w:val="left"/>
              <w:rPr>
                <w:rFonts w:hint="eastAsia" w:ascii="仿宋_GB2312" w:hAnsi="仿宋_GB2312" w:eastAsia="仿宋_GB2312" w:cs="仿宋_GB2312"/>
                <w:color w:val="auto"/>
                <w:szCs w:val="24"/>
                <w:highlight w:val="none"/>
              </w:rPr>
            </w:pPr>
          </w:p>
        </w:tc>
      </w:tr>
    </w:tbl>
    <w:p w14:paraId="2D609D13">
      <w:pPr>
        <w:spacing w:before="120" w:beforeLines="50"/>
        <w:ind w:firstLine="420" w:firstLineChars="200"/>
        <w:rPr>
          <w:rFonts w:hint="eastAsia" w:ascii="仿宋_GB2312" w:hAnsi="仿宋_GB2312" w:eastAsia="仿宋_GB2312" w:cs="仿宋_GB2312"/>
          <w:color w:val="auto"/>
          <w:szCs w:val="24"/>
          <w:highlight w:val="none"/>
        </w:rPr>
      </w:pPr>
      <w:r>
        <w:rPr>
          <w:rFonts w:hint="eastAsia" w:ascii="仿宋_GB2312" w:hAnsi="仿宋_GB2312" w:eastAsia="仿宋_GB2312" w:cs="仿宋_GB2312"/>
          <w:color w:val="auto"/>
          <w:szCs w:val="24"/>
          <w:highlight w:val="none"/>
          <w:lang w:val="en-US" w:eastAsia="zh-CN"/>
        </w:rPr>
        <w:t>1</w:t>
      </w:r>
      <w:r>
        <w:rPr>
          <w:rFonts w:hint="eastAsia" w:ascii="仿宋_GB2312" w:hAnsi="仿宋_GB2312" w:eastAsia="仿宋_GB2312" w:cs="仿宋_GB2312"/>
          <w:color w:val="auto"/>
          <w:szCs w:val="24"/>
          <w:highlight w:val="none"/>
        </w:rPr>
        <w:t>. 以上身份证号在公示时应隐藏中间部分数字。</w:t>
      </w:r>
    </w:p>
    <w:p w14:paraId="09C4561E">
      <w:pPr>
        <w:spacing w:before="120" w:beforeLines="50"/>
        <w:ind w:firstLine="420" w:firstLineChars="200"/>
        <w:rPr>
          <w:rFonts w:hint="eastAsia" w:ascii="仿宋_GB2312" w:hAnsi="仿宋_GB2312" w:eastAsia="仿宋_GB2312" w:cs="仿宋_GB2312"/>
          <w:color w:val="auto"/>
          <w:szCs w:val="24"/>
          <w:highlight w:val="none"/>
        </w:rPr>
      </w:pPr>
      <w:r>
        <w:rPr>
          <w:rFonts w:hint="eastAsia" w:ascii="仿宋_GB2312" w:hAnsi="仿宋_GB2312" w:eastAsia="仿宋_GB2312" w:cs="仿宋_GB2312"/>
          <w:color w:val="auto"/>
          <w:szCs w:val="24"/>
          <w:highlight w:val="none"/>
          <w:lang w:val="en-US" w:eastAsia="zh-CN"/>
        </w:rPr>
        <w:t>2.</w:t>
      </w:r>
      <w:r>
        <w:rPr>
          <w:rFonts w:hint="eastAsia" w:ascii="仿宋_GB2312" w:hAnsi="仿宋_GB2312" w:eastAsia="仿宋_GB2312" w:cs="仿宋_GB2312"/>
          <w:color w:val="auto"/>
          <w:szCs w:val="24"/>
          <w:highlight w:val="none"/>
        </w:rPr>
        <w:t>中标候选人享受《政府采购促进中小企业发展管理办法》（财库〔2020〕46号）规定的中小企业扶持政策的，招标人应当在公示中标候选人时公开中标候选人的《中小企业声明函》。</w:t>
      </w:r>
    </w:p>
    <w:p w14:paraId="752D47BA">
      <w:pPr>
        <w:spacing w:line="360" w:lineRule="auto"/>
        <w:ind w:firstLine="42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Cs w:val="24"/>
          <w:highlight w:val="none"/>
          <w:lang w:val="en-US" w:eastAsia="zh-CN"/>
        </w:rPr>
        <w:t>3.</w:t>
      </w:r>
      <w:r>
        <w:rPr>
          <w:rFonts w:hint="eastAsia" w:ascii="仿宋_GB2312" w:hAnsi="仿宋_GB2312" w:eastAsia="仿宋_GB2312" w:cs="仿宋_GB2312"/>
          <w:color w:val="auto"/>
          <w:szCs w:val="24"/>
          <w:highlight w:val="none"/>
        </w:rPr>
        <w:t>中标候选人为残疾人福利性单位的，招标人或者其委托的招标代理机构应当在中标候选人公示时公开中标候选人的《残疾人福利性单位声明函》。</w:t>
      </w:r>
    </w:p>
    <w:p w14:paraId="17D6350D">
      <w:pPr>
        <w:pStyle w:val="7"/>
        <w:spacing w:line="440" w:lineRule="exact"/>
        <w:ind w:left="0" w:leftChars="0" w:firstLine="0" w:firstLineChars="0"/>
        <w:jc w:val="both"/>
        <w:rPr>
          <w:rFonts w:hint="eastAsia" w:ascii="仿宋_GB2312" w:hAnsi="仿宋_GB2312" w:eastAsia="仿宋_GB2312" w:cs="仿宋_GB2312"/>
          <w:color w:val="auto"/>
          <w:kern w:val="2"/>
          <w:sz w:val="28"/>
          <w:szCs w:val="28"/>
          <w:highlight w:val="none"/>
          <w:lang w:bidi="ar"/>
        </w:rPr>
      </w:pPr>
    </w:p>
    <w:sectPr>
      <w:headerReference r:id="rId5" w:type="default"/>
      <w:footerReference r:id="rId6" w:type="default"/>
      <w:pgSz w:w="11906" w:h="16838"/>
      <w:pgMar w:top="1417" w:right="1474" w:bottom="1701"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F3CDF26-4924-41A7-BB96-BEC92C428D1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F6746076-624E-4FB5-91A5-BB6E55DCB0A7}"/>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小标宋简体">
    <w:panose1 w:val="02010600010101010101"/>
    <w:charset w:val="86"/>
    <w:family w:val="auto"/>
    <w:pitch w:val="default"/>
    <w:sig w:usb0="00000001" w:usb1="080E0000" w:usb2="00000000" w:usb3="00000000" w:csb0="00040000" w:csb1="00000000"/>
    <w:embedRegular r:id="rId3" w:fontKey="{A8060982-DC7B-4E1C-A3C8-D0282931573C}"/>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_GB2312">
    <w:panose1 w:val="02010609030101010101"/>
    <w:charset w:val="86"/>
    <w:family w:val="modern"/>
    <w:pitch w:val="default"/>
    <w:sig w:usb0="00000001" w:usb1="080E0000" w:usb2="00000000" w:usb3="00000000" w:csb0="00040000" w:csb1="00000000"/>
    <w:embedRegular r:id="rId4" w:fontKey="{9C754CEB-AFFF-4437-8A94-59789AEC613C}"/>
  </w:font>
  <w:font w:name="楷体">
    <w:panose1 w:val="02010609060101010101"/>
    <w:charset w:val="86"/>
    <w:family w:val="auto"/>
    <w:pitch w:val="default"/>
    <w:sig w:usb0="800002BF" w:usb1="38CF7CFA" w:usb2="00000016" w:usb3="00000000" w:csb0="00040001" w:csb1="00000000"/>
    <w:embedRegular r:id="rId5" w:fontKey="{B4C4D61F-AC64-4DE1-861E-48F91AD9AB35}"/>
  </w:font>
  <w:font w:name="方正仿宋_GBK">
    <w:altName w:val="Arial Unicode MS"/>
    <w:panose1 w:val="03000509000000000000"/>
    <w:charset w:val="86"/>
    <w:family w:val="script"/>
    <w:pitch w:val="default"/>
    <w:sig w:usb0="00000000" w:usb1="00000000" w:usb2="00000000" w:usb3="00000000" w:csb0="00040000" w:csb1="00000000"/>
    <w:embedRegular r:id="rId6" w:fontKey="{C1B60810-864A-4CCE-8AD5-3E21215F461C}"/>
  </w:font>
  <w:font w:name="Arial Unicode MS">
    <w:panose1 w:val="020B0604020202020204"/>
    <w:charset w:val="86"/>
    <w:family w:val="auto"/>
    <w:pitch w:val="default"/>
    <w:sig w:usb0="FFFFFFFF" w:usb1="E9FFFFFF" w:usb2="0000003F" w:usb3="00000000" w:csb0="603F01FF" w:csb1="FFFF0000"/>
  </w:font>
  <w:font w:name="方正黑体_GBK">
    <w:altName w:val="微软雅黑"/>
    <w:panose1 w:val="03000509000000000000"/>
    <w:charset w:val="86"/>
    <w:family w:val="auto"/>
    <w:pitch w:val="default"/>
    <w:sig w:usb0="00000000" w:usb1="00000000" w:usb2="00000000" w:usb3="00000000" w:csb0="00040000" w:csb1="00000000"/>
    <w:embedRegular r:id="rId7" w:fontKey="{6EE8350F-FE6C-4318-95AF-59B9D6756C72}"/>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2797C">
    <w:pPr>
      <w:widowControl w:val="0"/>
      <w:tabs>
        <w:tab w:val="center" w:pos="4153"/>
        <w:tab w:val="right" w:pos="8306"/>
      </w:tabs>
      <w:snapToGrid w:val="0"/>
      <w:jc w:val="left"/>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BF2123D">
                          <w:pPr>
                            <w:widowControl w:val="0"/>
                            <w:tabs>
                              <w:tab w:val="center" w:pos="4153"/>
                              <w:tab w:val="right" w:pos="8306"/>
                            </w:tabs>
                            <w:snapToGrid w:val="0"/>
                            <w:jc w:val="left"/>
                            <w:rPr>
                              <w:rFonts w:ascii="Calibri" w:hAnsi="Calibri" w:eastAsia="宋体" w:cs="Times New Roman"/>
                              <w:kern w:val="2"/>
                              <w:sz w:val="18"/>
                              <w:szCs w:val="24"/>
                              <w:lang w:val="en-US" w:eastAsia="zh-CN" w:bidi="ar-SA"/>
                            </w:rPr>
                          </w:pPr>
                          <w:r>
                            <w:rPr>
                              <w:rFonts w:hint="eastAsia" w:ascii="Calibri" w:hAnsi="Calibri" w:eastAsia="宋体" w:cs="Times New Roman"/>
                              <w:kern w:val="2"/>
                              <w:sz w:val="18"/>
                              <w:szCs w:val="24"/>
                              <w:lang w:val="en-US" w:eastAsia="zh-CN" w:bidi="ar-SA"/>
                            </w:rPr>
                            <w:fldChar w:fldCharType="begin"/>
                          </w:r>
                          <w:r>
                            <w:rPr>
                              <w:rFonts w:hint="eastAsia" w:ascii="Calibri" w:hAnsi="Calibri" w:eastAsia="宋体" w:cs="Times New Roman"/>
                              <w:kern w:val="2"/>
                              <w:sz w:val="18"/>
                              <w:szCs w:val="24"/>
                              <w:lang w:val="en-US" w:eastAsia="zh-CN" w:bidi="ar-SA"/>
                            </w:rPr>
                            <w:instrText xml:space="preserve"> PAGE  \* MERGEFORMAT </w:instrText>
                          </w:r>
                          <w:r>
                            <w:rPr>
                              <w:rFonts w:hint="eastAsia" w:ascii="Calibri" w:hAnsi="Calibri" w:eastAsia="宋体" w:cs="Times New Roman"/>
                              <w:kern w:val="2"/>
                              <w:sz w:val="18"/>
                              <w:szCs w:val="24"/>
                              <w:lang w:val="en-US" w:eastAsia="zh-CN" w:bidi="ar-SA"/>
                            </w:rPr>
                            <w:fldChar w:fldCharType="separate"/>
                          </w:r>
                          <w:r>
                            <w:rPr>
                              <w:rFonts w:ascii="Calibri" w:hAnsi="Calibri" w:eastAsia="宋体" w:cs="Times New Roman"/>
                              <w:kern w:val="2"/>
                              <w:sz w:val="18"/>
                              <w:szCs w:val="24"/>
                              <w:lang w:val="en-US" w:eastAsia="zh-CN" w:bidi="ar-SA"/>
                            </w:rPr>
                            <w:t>13</w:t>
                          </w:r>
                          <w:r>
                            <w:rPr>
                              <w:rFonts w:hint="eastAsia" w:ascii="Calibri" w:hAnsi="Calibri" w:eastAsia="宋体" w:cs="Times New Roman"/>
                              <w:kern w:val="2"/>
                              <w:sz w:val="18"/>
                              <w:szCs w:val="24"/>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fill on="f" focussize="0,0"/>
              <v:stroke on="f" weight="0.5pt"/>
              <v:imagedata o:title=""/>
              <o:lock v:ext="edit" aspectratio="f"/>
              <v:textbox inset="0mm,0mm,0mm,0mm" style="mso-fit-shape-to-text:t;">
                <w:txbxContent>
                  <w:p w14:paraId="3BF2123D">
                    <w:pPr>
                      <w:widowControl w:val="0"/>
                      <w:tabs>
                        <w:tab w:val="center" w:pos="4153"/>
                        <w:tab w:val="right" w:pos="8306"/>
                      </w:tabs>
                      <w:snapToGrid w:val="0"/>
                      <w:jc w:val="left"/>
                      <w:rPr>
                        <w:rFonts w:ascii="Calibri" w:hAnsi="Calibri" w:eastAsia="宋体" w:cs="Times New Roman"/>
                        <w:kern w:val="2"/>
                        <w:sz w:val="18"/>
                        <w:szCs w:val="24"/>
                        <w:lang w:val="en-US" w:eastAsia="zh-CN" w:bidi="ar-SA"/>
                      </w:rPr>
                    </w:pPr>
                    <w:r>
                      <w:rPr>
                        <w:rFonts w:hint="eastAsia" w:ascii="Calibri" w:hAnsi="Calibri" w:eastAsia="宋体" w:cs="Times New Roman"/>
                        <w:kern w:val="2"/>
                        <w:sz w:val="18"/>
                        <w:szCs w:val="24"/>
                        <w:lang w:val="en-US" w:eastAsia="zh-CN" w:bidi="ar-SA"/>
                      </w:rPr>
                      <w:fldChar w:fldCharType="begin"/>
                    </w:r>
                    <w:r>
                      <w:rPr>
                        <w:rFonts w:hint="eastAsia" w:ascii="Calibri" w:hAnsi="Calibri" w:eastAsia="宋体" w:cs="Times New Roman"/>
                        <w:kern w:val="2"/>
                        <w:sz w:val="18"/>
                        <w:szCs w:val="24"/>
                        <w:lang w:val="en-US" w:eastAsia="zh-CN" w:bidi="ar-SA"/>
                      </w:rPr>
                      <w:instrText xml:space="preserve"> PAGE  \* MERGEFORMAT </w:instrText>
                    </w:r>
                    <w:r>
                      <w:rPr>
                        <w:rFonts w:hint="eastAsia" w:ascii="Calibri" w:hAnsi="Calibri" w:eastAsia="宋体" w:cs="Times New Roman"/>
                        <w:kern w:val="2"/>
                        <w:sz w:val="18"/>
                        <w:szCs w:val="24"/>
                        <w:lang w:val="en-US" w:eastAsia="zh-CN" w:bidi="ar-SA"/>
                      </w:rPr>
                      <w:fldChar w:fldCharType="separate"/>
                    </w:r>
                    <w:r>
                      <w:rPr>
                        <w:rFonts w:ascii="Calibri" w:hAnsi="Calibri" w:eastAsia="宋体" w:cs="Times New Roman"/>
                        <w:kern w:val="2"/>
                        <w:sz w:val="18"/>
                        <w:szCs w:val="24"/>
                        <w:lang w:val="en-US" w:eastAsia="zh-CN" w:bidi="ar-SA"/>
                      </w:rPr>
                      <w:t>13</w:t>
                    </w:r>
                    <w:r>
                      <w:rPr>
                        <w:rFonts w:hint="eastAsia" w:ascii="Calibri" w:hAnsi="Calibri" w:eastAsia="宋体" w:cs="Times New Roman"/>
                        <w:kern w:val="2"/>
                        <w:sz w:val="18"/>
                        <w:szCs w:val="24"/>
                        <w:lang w:val="en-US" w:eastAsia="zh-CN" w:bidi="ar-S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DC4A4">
    <w:pPr>
      <w:pStyle w:val="9"/>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4AD291">
                          <w:pPr>
                            <w:pStyle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5B4AD291">
                    <w:pPr>
                      <w:pStyle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7DE7ED">
                          <w:pPr>
                            <w:pStyle w:val="9"/>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4A7DE7ED">
                    <w:pPr>
                      <w:pStyle w:val="9"/>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DB4A0">
    <w:pPr>
      <w:widowControl w:val="0"/>
      <w:pBdr>
        <w:top w:val="none" w:color="auto" w:sz="0" w:space="1"/>
        <w:left w:val="none" w:color="auto" w:sz="0" w:space="4"/>
        <w:bottom w:val="none" w:color="auto" w:sz="0" w:space="1"/>
        <w:right w:val="none" w:color="auto" w:sz="0" w:space="4"/>
      </w:pBdr>
      <w:tabs>
        <w:tab w:val="center" w:pos="4153"/>
        <w:tab w:val="right" w:pos="8306"/>
      </w:tabs>
      <w:snapToGrid w:val="0"/>
      <w:jc w:val="both"/>
      <w:rPr>
        <w:rFonts w:ascii="Calibri" w:hAnsi="Calibri" w:eastAsia="宋体" w:cs="Times New Roman"/>
        <w:kern w:val="2"/>
        <w:sz w:val="18"/>
        <w:szCs w:val="24"/>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89482">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drawingGridHorizontalSpacing w:val="108"/>
  <w:drawingGridVerticalSpacing w:val="57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ZiMjk1NjdiMzlhMWM0OTRlZjU5MWE5ZWNkYjlhMmQifQ=="/>
  </w:docVars>
  <w:rsids>
    <w:rsidRoot w:val="006D53B5"/>
    <w:rsid w:val="00005A3E"/>
    <w:rsid w:val="000064DA"/>
    <w:rsid w:val="00007988"/>
    <w:rsid w:val="00013423"/>
    <w:rsid w:val="00015D1E"/>
    <w:rsid w:val="000165D5"/>
    <w:rsid w:val="00023D8D"/>
    <w:rsid w:val="00027D3E"/>
    <w:rsid w:val="00027F98"/>
    <w:rsid w:val="00031F77"/>
    <w:rsid w:val="000323CF"/>
    <w:rsid w:val="00032AEC"/>
    <w:rsid w:val="0003434F"/>
    <w:rsid w:val="00034F36"/>
    <w:rsid w:val="00037183"/>
    <w:rsid w:val="000431FB"/>
    <w:rsid w:val="00043932"/>
    <w:rsid w:val="000478E2"/>
    <w:rsid w:val="00055ECE"/>
    <w:rsid w:val="0006113F"/>
    <w:rsid w:val="00065EFB"/>
    <w:rsid w:val="000725DA"/>
    <w:rsid w:val="00072823"/>
    <w:rsid w:val="000732F7"/>
    <w:rsid w:val="00075B52"/>
    <w:rsid w:val="000814BB"/>
    <w:rsid w:val="00085562"/>
    <w:rsid w:val="00092E0F"/>
    <w:rsid w:val="000963B4"/>
    <w:rsid w:val="000A49E4"/>
    <w:rsid w:val="000A53AA"/>
    <w:rsid w:val="000A7C9C"/>
    <w:rsid w:val="000B1718"/>
    <w:rsid w:val="000B47A3"/>
    <w:rsid w:val="000C28D7"/>
    <w:rsid w:val="000C7415"/>
    <w:rsid w:val="000D7BFE"/>
    <w:rsid w:val="000E0DCC"/>
    <w:rsid w:val="000F727A"/>
    <w:rsid w:val="00104677"/>
    <w:rsid w:val="0010504B"/>
    <w:rsid w:val="001073CD"/>
    <w:rsid w:val="00114EE2"/>
    <w:rsid w:val="001263B1"/>
    <w:rsid w:val="00132905"/>
    <w:rsid w:val="00143EF9"/>
    <w:rsid w:val="00146C7C"/>
    <w:rsid w:val="001478D7"/>
    <w:rsid w:val="0015150A"/>
    <w:rsid w:val="00161543"/>
    <w:rsid w:val="001626EF"/>
    <w:rsid w:val="00166745"/>
    <w:rsid w:val="001710F9"/>
    <w:rsid w:val="00173A9F"/>
    <w:rsid w:val="001746AC"/>
    <w:rsid w:val="00176755"/>
    <w:rsid w:val="00186E0A"/>
    <w:rsid w:val="00193E72"/>
    <w:rsid w:val="00197CD3"/>
    <w:rsid w:val="001A004C"/>
    <w:rsid w:val="001A497A"/>
    <w:rsid w:val="001B135D"/>
    <w:rsid w:val="001B4377"/>
    <w:rsid w:val="001C2048"/>
    <w:rsid w:val="001C7183"/>
    <w:rsid w:val="001D1C7F"/>
    <w:rsid w:val="001D5D32"/>
    <w:rsid w:val="001E4B54"/>
    <w:rsid w:val="001E6E9C"/>
    <w:rsid w:val="001F7108"/>
    <w:rsid w:val="00202009"/>
    <w:rsid w:val="00203C20"/>
    <w:rsid w:val="00213647"/>
    <w:rsid w:val="002145AC"/>
    <w:rsid w:val="00214734"/>
    <w:rsid w:val="002206E1"/>
    <w:rsid w:val="00222F2B"/>
    <w:rsid w:val="0022429A"/>
    <w:rsid w:val="00231DB2"/>
    <w:rsid w:val="00232021"/>
    <w:rsid w:val="00232A8D"/>
    <w:rsid w:val="00233C63"/>
    <w:rsid w:val="00246756"/>
    <w:rsid w:val="00255B7F"/>
    <w:rsid w:val="00255EC7"/>
    <w:rsid w:val="0026038B"/>
    <w:rsid w:val="00266A63"/>
    <w:rsid w:val="002711E7"/>
    <w:rsid w:val="002729A5"/>
    <w:rsid w:val="00280ABF"/>
    <w:rsid w:val="00281068"/>
    <w:rsid w:val="00281D96"/>
    <w:rsid w:val="00282305"/>
    <w:rsid w:val="00283C34"/>
    <w:rsid w:val="00291BA3"/>
    <w:rsid w:val="00291D8E"/>
    <w:rsid w:val="00291ED3"/>
    <w:rsid w:val="002935A2"/>
    <w:rsid w:val="002950D7"/>
    <w:rsid w:val="002A5779"/>
    <w:rsid w:val="002A66EF"/>
    <w:rsid w:val="002B31D1"/>
    <w:rsid w:val="002B6B0F"/>
    <w:rsid w:val="002C51CB"/>
    <w:rsid w:val="002C549B"/>
    <w:rsid w:val="002C59E2"/>
    <w:rsid w:val="002C5FC2"/>
    <w:rsid w:val="002C6FCB"/>
    <w:rsid w:val="002E0CEA"/>
    <w:rsid w:val="002E2085"/>
    <w:rsid w:val="002E577F"/>
    <w:rsid w:val="002E674A"/>
    <w:rsid w:val="002F14B4"/>
    <w:rsid w:val="002F451B"/>
    <w:rsid w:val="00307DAC"/>
    <w:rsid w:val="003124AD"/>
    <w:rsid w:val="00313174"/>
    <w:rsid w:val="00315736"/>
    <w:rsid w:val="003170C2"/>
    <w:rsid w:val="00320575"/>
    <w:rsid w:val="00323DAC"/>
    <w:rsid w:val="00331EEC"/>
    <w:rsid w:val="00334848"/>
    <w:rsid w:val="00344977"/>
    <w:rsid w:val="00345EDF"/>
    <w:rsid w:val="00346616"/>
    <w:rsid w:val="00357B07"/>
    <w:rsid w:val="0036105D"/>
    <w:rsid w:val="00364D54"/>
    <w:rsid w:val="003657FE"/>
    <w:rsid w:val="0036753F"/>
    <w:rsid w:val="00367E45"/>
    <w:rsid w:val="00367E50"/>
    <w:rsid w:val="003702E0"/>
    <w:rsid w:val="0037085D"/>
    <w:rsid w:val="003773AE"/>
    <w:rsid w:val="003777D0"/>
    <w:rsid w:val="00383081"/>
    <w:rsid w:val="00383733"/>
    <w:rsid w:val="0038598C"/>
    <w:rsid w:val="00392D73"/>
    <w:rsid w:val="00394C13"/>
    <w:rsid w:val="00395408"/>
    <w:rsid w:val="00396630"/>
    <w:rsid w:val="003A26F8"/>
    <w:rsid w:val="003A5586"/>
    <w:rsid w:val="003A7284"/>
    <w:rsid w:val="003B392A"/>
    <w:rsid w:val="003B7E09"/>
    <w:rsid w:val="003C1616"/>
    <w:rsid w:val="003C71FB"/>
    <w:rsid w:val="003D18F0"/>
    <w:rsid w:val="003D44CE"/>
    <w:rsid w:val="003E365E"/>
    <w:rsid w:val="003E7E7A"/>
    <w:rsid w:val="003F2FF6"/>
    <w:rsid w:val="00401914"/>
    <w:rsid w:val="004154F0"/>
    <w:rsid w:val="004179A0"/>
    <w:rsid w:val="00430095"/>
    <w:rsid w:val="004322C0"/>
    <w:rsid w:val="004349A1"/>
    <w:rsid w:val="00435274"/>
    <w:rsid w:val="0043730D"/>
    <w:rsid w:val="0044138E"/>
    <w:rsid w:val="00441474"/>
    <w:rsid w:val="00442AA3"/>
    <w:rsid w:val="0045645B"/>
    <w:rsid w:val="00460909"/>
    <w:rsid w:val="00460E50"/>
    <w:rsid w:val="0046437A"/>
    <w:rsid w:val="0046632A"/>
    <w:rsid w:val="004679E4"/>
    <w:rsid w:val="0047489A"/>
    <w:rsid w:val="0047615D"/>
    <w:rsid w:val="00476FE8"/>
    <w:rsid w:val="004808E5"/>
    <w:rsid w:val="00483305"/>
    <w:rsid w:val="00490888"/>
    <w:rsid w:val="0049405B"/>
    <w:rsid w:val="004A28F2"/>
    <w:rsid w:val="004B1A6F"/>
    <w:rsid w:val="004B1E7C"/>
    <w:rsid w:val="004B7038"/>
    <w:rsid w:val="004C6ADD"/>
    <w:rsid w:val="004D0DB6"/>
    <w:rsid w:val="004D5087"/>
    <w:rsid w:val="004F0393"/>
    <w:rsid w:val="005032CA"/>
    <w:rsid w:val="00503726"/>
    <w:rsid w:val="00505850"/>
    <w:rsid w:val="00506EC2"/>
    <w:rsid w:val="005110DE"/>
    <w:rsid w:val="00512F65"/>
    <w:rsid w:val="005205F7"/>
    <w:rsid w:val="005279F1"/>
    <w:rsid w:val="005364C8"/>
    <w:rsid w:val="00542AD3"/>
    <w:rsid w:val="00544DA4"/>
    <w:rsid w:val="00546112"/>
    <w:rsid w:val="00546CDE"/>
    <w:rsid w:val="005542A7"/>
    <w:rsid w:val="00560582"/>
    <w:rsid w:val="00560AFE"/>
    <w:rsid w:val="005639C5"/>
    <w:rsid w:val="0056457A"/>
    <w:rsid w:val="0056492F"/>
    <w:rsid w:val="00571818"/>
    <w:rsid w:val="005731F0"/>
    <w:rsid w:val="00573C1D"/>
    <w:rsid w:val="00581537"/>
    <w:rsid w:val="00584436"/>
    <w:rsid w:val="00587486"/>
    <w:rsid w:val="00590A96"/>
    <w:rsid w:val="00592FB5"/>
    <w:rsid w:val="005930D0"/>
    <w:rsid w:val="005A1E8C"/>
    <w:rsid w:val="005A200A"/>
    <w:rsid w:val="005A2CFF"/>
    <w:rsid w:val="005B0264"/>
    <w:rsid w:val="005C0FC7"/>
    <w:rsid w:val="005C1C6C"/>
    <w:rsid w:val="005C3D4E"/>
    <w:rsid w:val="005C53D1"/>
    <w:rsid w:val="005C7690"/>
    <w:rsid w:val="005D13B0"/>
    <w:rsid w:val="005D6F23"/>
    <w:rsid w:val="005E03E8"/>
    <w:rsid w:val="005E35BF"/>
    <w:rsid w:val="005F3B74"/>
    <w:rsid w:val="005F5567"/>
    <w:rsid w:val="006017B7"/>
    <w:rsid w:val="0060261E"/>
    <w:rsid w:val="00605759"/>
    <w:rsid w:val="00606D2B"/>
    <w:rsid w:val="006101C8"/>
    <w:rsid w:val="00611A96"/>
    <w:rsid w:val="00613843"/>
    <w:rsid w:val="00613B0D"/>
    <w:rsid w:val="00620A85"/>
    <w:rsid w:val="00625D07"/>
    <w:rsid w:val="00632ABE"/>
    <w:rsid w:val="006355C0"/>
    <w:rsid w:val="00636B91"/>
    <w:rsid w:val="00637D2A"/>
    <w:rsid w:val="00643BAE"/>
    <w:rsid w:val="00643F32"/>
    <w:rsid w:val="00645BBC"/>
    <w:rsid w:val="00646109"/>
    <w:rsid w:val="00651AE5"/>
    <w:rsid w:val="0066058B"/>
    <w:rsid w:val="00660E01"/>
    <w:rsid w:val="0066317A"/>
    <w:rsid w:val="006656BD"/>
    <w:rsid w:val="00665D3E"/>
    <w:rsid w:val="00680566"/>
    <w:rsid w:val="00690BF5"/>
    <w:rsid w:val="00696907"/>
    <w:rsid w:val="00697E28"/>
    <w:rsid w:val="006A5C6C"/>
    <w:rsid w:val="006A6D6B"/>
    <w:rsid w:val="006B0EA8"/>
    <w:rsid w:val="006B187B"/>
    <w:rsid w:val="006B1BCE"/>
    <w:rsid w:val="006B3017"/>
    <w:rsid w:val="006B4411"/>
    <w:rsid w:val="006C3122"/>
    <w:rsid w:val="006C3E50"/>
    <w:rsid w:val="006D010D"/>
    <w:rsid w:val="006D2BCC"/>
    <w:rsid w:val="006D3E35"/>
    <w:rsid w:val="006D4CE6"/>
    <w:rsid w:val="006D53B5"/>
    <w:rsid w:val="006E2A10"/>
    <w:rsid w:val="006E2AA5"/>
    <w:rsid w:val="006E3AC7"/>
    <w:rsid w:val="006E6233"/>
    <w:rsid w:val="006F0238"/>
    <w:rsid w:val="006F5F09"/>
    <w:rsid w:val="006F6346"/>
    <w:rsid w:val="0072193D"/>
    <w:rsid w:val="00725630"/>
    <w:rsid w:val="00725A92"/>
    <w:rsid w:val="0073043B"/>
    <w:rsid w:val="00733F08"/>
    <w:rsid w:val="00735AB7"/>
    <w:rsid w:val="00736AEF"/>
    <w:rsid w:val="00754A57"/>
    <w:rsid w:val="00760DB7"/>
    <w:rsid w:val="00771263"/>
    <w:rsid w:val="00785997"/>
    <w:rsid w:val="00785DF4"/>
    <w:rsid w:val="00790A3E"/>
    <w:rsid w:val="00792293"/>
    <w:rsid w:val="00792C76"/>
    <w:rsid w:val="00794EC8"/>
    <w:rsid w:val="00795583"/>
    <w:rsid w:val="007A1AA6"/>
    <w:rsid w:val="007A33E7"/>
    <w:rsid w:val="007B1157"/>
    <w:rsid w:val="007B6755"/>
    <w:rsid w:val="007B6F51"/>
    <w:rsid w:val="007C2CE4"/>
    <w:rsid w:val="007C4570"/>
    <w:rsid w:val="007C674A"/>
    <w:rsid w:val="007D093D"/>
    <w:rsid w:val="007E2195"/>
    <w:rsid w:val="007F251A"/>
    <w:rsid w:val="0080666A"/>
    <w:rsid w:val="00807B1C"/>
    <w:rsid w:val="00807F18"/>
    <w:rsid w:val="00810943"/>
    <w:rsid w:val="008123B8"/>
    <w:rsid w:val="0081799F"/>
    <w:rsid w:val="00823F48"/>
    <w:rsid w:val="008318D4"/>
    <w:rsid w:val="008371F8"/>
    <w:rsid w:val="00837D73"/>
    <w:rsid w:val="00846326"/>
    <w:rsid w:val="00850C04"/>
    <w:rsid w:val="00854B3E"/>
    <w:rsid w:val="008605C3"/>
    <w:rsid w:val="008611F0"/>
    <w:rsid w:val="00872476"/>
    <w:rsid w:val="00874ABF"/>
    <w:rsid w:val="00874D90"/>
    <w:rsid w:val="008770B3"/>
    <w:rsid w:val="00891B67"/>
    <w:rsid w:val="008A69EA"/>
    <w:rsid w:val="008B2173"/>
    <w:rsid w:val="008B5E58"/>
    <w:rsid w:val="008C0326"/>
    <w:rsid w:val="008C694B"/>
    <w:rsid w:val="008C7F23"/>
    <w:rsid w:val="008D2CEA"/>
    <w:rsid w:val="008F090B"/>
    <w:rsid w:val="009017DC"/>
    <w:rsid w:val="00906F8C"/>
    <w:rsid w:val="0091173B"/>
    <w:rsid w:val="00924FE3"/>
    <w:rsid w:val="0092591D"/>
    <w:rsid w:val="00956EE4"/>
    <w:rsid w:val="009640E7"/>
    <w:rsid w:val="009651BA"/>
    <w:rsid w:val="00967451"/>
    <w:rsid w:val="009770CF"/>
    <w:rsid w:val="00980AA4"/>
    <w:rsid w:val="0099211F"/>
    <w:rsid w:val="00994035"/>
    <w:rsid w:val="009A0AED"/>
    <w:rsid w:val="009A206C"/>
    <w:rsid w:val="009A42CD"/>
    <w:rsid w:val="009A4FA5"/>
    <w:rsid w:val="009A6A2A"/>
    <w:rsid w:val="009A6F93"/>
    <w:rsid w:val="009A71B6"/>
    <w:rsid w:val="009B29AC"/>
    <w:rsid w:val="009B340C"/>
    <w:rsid w:val="009B6D70"/>
    <w:rsid w:val="009C01DA"/>
    <w:rsid w:val="009E2E2B"/>
    <w:rsid w:val="009E3850"/>
    <w:rsid w:val="009E3CBD"/>
    <w:rsid w:val="009F3AB9"/>
    <w:rsid w:val="009F7E3D"/>
    <w:rsid w:val="00A01952"/>
    <w:rsid w:val="00A03041"/>
    <w:rsid w:val="00A14A8E"/>
    <w:rsid w:val="00A20301"/>
    <w:rsid w:val="00A26DD6"/>
    <w:rsid w:val="00A31FD5"/>
    <w:rsid w:val="00A530C7"/>
    <w:rsid w:val="00A53B3B"/>
    <w:rsid w:val="00A60FCB"/>
    <w:rsid w:val="00A6329D"/>
    <w:rsid w:val="00A725D1"/>
    <w:rsid w:val="00A75447"/>
    <w:rsid w:val="00A75793"/>
    <w:rsid w:val="00A77EFF"/>
    <w:rsid w:val="00A804B1"/>
    <w:rsid w:val="00A80739"/>
    <w:rsid w:val="00A8386D"/>
    <w:rsid w:val="00A9018E"/>
    <w:rsid w:val="00A9093D"/>
    <w:rsid w:val="00A977C3"/>
    <w:rsid w:val="00A97CC3"/>
    <w:rsid w:val="00AA2B93"/>
    <w:rsid w:val="00AB41EA"/>
    <w:rsid w:val="00AC249F"/>
    <w:rsid w:val="00AC49D4"/>
    <w:rsid w:val="00AC5CD8"/>
    <w:rsid w:val="00AD59DF"/>
    <w:rsid w:val="00AE1C78"/>
    <w:rsid w:val="00AE49C1"/>
    <w:rsid w:val="00AE5278"/>
    <w:rsid w:val="00AF15FB"/>
    <w:rsid w:val="00AF3087"/>
    <w:rsid w:val="00AF36E4"/>
    <w:rsid w:val="00AF3E7D"/>
    <w:rsid w:val="00AF484C"/>
    <w:rsid w:val="00B048DE"/>
    <w:rsid w:val="00B14255"/>
    <w:rsid w:val="00B21402"/>
    <w:rsid w:val="00B3108A"/>
    <w:rsid w:val="00B312B7"/>
    <w:rsid w:val="00B32009"/>
    <w:rsid w:val="00B330B3"/>
    <w:rsid w:val="00B439FA"/>
    <w:rsid w:val="00B505B0"/>
    <w:rsid w:val="00B51E4A"/>
    <w:rsid w:val="00B60141"/>
    <w:rsid w:val="00B613B5"/>
    <w:rsid w:val="00B63CA5"/>
    <w:rsid w:val="00B67255"/>
    <w:rsid w:val="00B824AE"/>
    <w:rsid w:val="00B8285B"/>
    <w:rsid w:val="00B878DF"/>
    <w:rsid w:val="00B87F7C"/>
    <w:rsid w:val="00B90142"/>
    <w:rsid w:val="00B96B96"/>
    <w:rsid w:val="00BA3B84"/>
    <w:rsid w:val="00BA4BF3"/>
    <w:rsid w:val="00BA59F4"/>
    <w:rsid w:val="00BA6E0C"/>
    <w:rsid w:val="00BB038B"/>
    <w:rsid w:val="00BB1BA0"/>
    <w:rsid w:val="00BB43F3"/>
    <w:rsid w:val="00BB45BA"/>
    <w:rsid w:val="00BB556A"/>
    <w:rsid w:val="00BB6B11"/>
    <w:rsid w:val="00BB7359"/>
    <w:rsid w:val="00BC4A72"/>
    <w:rsid w:val="00BC7FCA"/>
    <w:rsid w:val="00BD316B"/>
    <w:rsid w:val="00BD51F5"/>
    <w:rsid w:val="00BD5CF4"/>
    <w:rsid w:val="00BE2E90"/>
    <w:rsid w:val="00BE3872"/>
    <w:rsid w:val="00BE71D0"/>
    <w:rsid w:val="00BE7EB4"/>
    <w:rsid w:val="00BF1BB9"/>
    <w:rsid w:val="00BF26E9"/>
    <w:rsid w:val="00C007DA"/>
    <w:rsid w:val="00C00BDE"/>
    <w:rsid w:val="00C12C5A"/>
    <w:rsid w:val="00C13923"/>
    <w:rsid w:val="00C1507E"/>
    <w:rsid w:val="00C15912"/>
    <w:rsid w:val="00C229A8"/>
    <w:rsid w:val="00C262F8"/>
    <w:rsid w:val="00C26A30"/>
    <w:rsid w:val="00C34C2D"/>
    <w:rsid w:val="00C35288"/>
    <w:rsid w:val="00C36D48"/>
    <w:rsid w:val="00C36E22"/>
    <w:rsid w:val="00C4591A"/>
    <w:rsid w:val="00C467CA"/>
    <w:rsid w:val="00C52F2F"/>
    <w:rsid w:val="00C57EC1"/>
    <w:rsid w:val="00C6412F"/>
    <w:rsid w:val="00C64904"/>
    <w:rsid w:val="00C779F7"/>
    <w:rsid w:val="00C861E0"/>
    <w:rsid w:val="00CA3943"/>
    <w:rsid w:val="00CB4147"/>
    <w:rsid w:val="00CC0831"/>
    <w:rsid w:val="00CC0CB9"/>
    <w:rsid w:val="00CC476A"/>
    <w:rsid w:val="00CC4A21"/>
    <w:rsid w:val="00CD1CE8"/>
    <w:rsid w:val="00CD23A7"/>
    <w:rsid w:val="00CD27D9"/>
    <w:rsid w:val="00CD2E7A"/>
    <w:rsid w:val="00CE09EC"/>
    <w:rsid w:val="00CE178E"/>
    <w:rsid w:val="00CE5D34"/>
    <w:rsid w:val="00CE6B9F"/>
    <w:rsid w:val="00CF7553"/>
    <w:rsid w:val="00D01687"/>
    <w:rsid w:val="00D05BB5"/>
    <w:rsid w:val="00D14389"/>
    <w:rsid w:val="00D24DE0"/>
    <w:rsid w:val="00D3212F"/>
    <w:rsid w:val="00D32F68"/>
    <w:rsid w:val="00D3356D"/>
    <w:rsid w:val="00D409B3"/>
    <w:rsid w:val="00D40B31"/>
    <w:rsid w:val="00D40FB9"/>
    <w:rsid w:val="00D45E19"/>
    <w:rsid w:val="00D47434"/>
    <w:rsid w:val="00D537FC"/>
    <w:rsid w:val="00D60E0D"/>
    <w:rsid w:val="00D63F61"/>
    <w:rsid w:val="00D669A6"/>
    <w:rsid w:val="00D75039"/>
    <w:rsid w:val="00D915E6"/>
    <w:rsid w:val="00D92BF6"/>
    <w:rsid w:val="00D9417B"/>
    <w:rsid w:val="00D94E70"/>
    <w:rsid w:val="00D95C22"/>
    <w:rsid w:val="00D95C4E"/>
    <w:rsid w:val="00DA004A"/>
    <w:rsid w:val="00DA51B0"/>
    <w:rsid w:val="00DA5252"/>
    <w:rsid w:val="00DA7600"/>
    <w:rsid w:val="00DB045D"/>
    <w:rsid w:val="00DB253F"/>
    <w:rsid w:val="00DB53D9"/>
    <w:rsid w:val="00DC0155"/>
    <w:rsid w:val="00DC237D"/>
    <w:rsid w:val="00DC29AD"/>
    <w:rsid w:val="00DC3C83"/>
    <w:rsid w:val="00DC4135"/>
    <w:rsid w:val="00DC6D10"/>
    <w:rsid w:val="00DC7AAE"/>
    <w:rsid w:val="00DD067D"/>
    <w:rsid w:val="00DD270B"/>
    <w:rsid w:val="00DE0073"/>
    <w:rsid w:val="00DF00F6"/>
    <w:rsid w:val="00DF2560"/>
    <w:rsid w:val="00DF2AE4"/>
    <w:rsid w:val="00E026B9"/>
    <w:rsid w:val="00E130D5"/>
    <w:rsid w:val="00E23237"/>
    <w:rsid w:val="00E37336"/>
    <w:rsid w:val="00E50695"/>
    <w:rsid w:val="00E50A33"/>
    <w:rsid w:val="00E52918"/>
    <w:rsid w:val="00E53A49"/>
    <w:rsid w:val="00E6659B"/>
    <w:rsid w:val="00E81FFB"/>
    <w:rsid w:val="00E82E44"/>
    <w:rsid w:val="00E83C8D"/>
    <w:rsid w:val="00E84463"/>
    <w:rsid w:val="00E86DBE"/>
    <w:rsid w:val="00E94B57"/>
    <w:rsid w:val="00E95D08"/>
    <w:rsid w:val="00EA17A0"/>
    <w:rsid w:val="00EA5FD0"/>
    <w:rsid w:val="00EC124A"/>
    <w:rsid w:val="00EC502F"/>
    <w:rsid w:val="00EC7C11"/>
    <w:rsid w:val="00ED494C"/>
    <w:rsid w:val="00EE49C9"/>
    <w:rsid w:val="00EE74ED"/>
    <w:rsid w:val="00EF2F8F"/>
    <w:rsid w:val="00F00152"/>
    <w:rsid w:val="00F03B24"/>
    <w:rsid w:val="00F148FE"/>
    <w:rsid w:val="00F16FAB"/>
    <w:rsid w:val="00F379A1"/>
    <w:rsid w:val="00F40922"/>
    <w:rsid w:val="00F4107D"/>
    <w:rsid w:val="00F42191"/>
    <w:rsid w:val="00F43A30"/>
    <w:rsid w:val="00F458C7"/>
    <w:rsid w:val="00F461FF"/>
    <w:rsid w:val="00F5480A"/>
    <w:rsid w:val="00F55DD5"/>
    <w:rsid w:val="00F72F47"/>
    <w:rsid w:val="00F748BD"/>
    <w:rsid w:val="00F908E2"/>
    <w:rsid w:val="00F91AFA"/>
    <w:rsid w:val="00F970E4"/>
    <w:rsid w:val="00FA0BE6"/>
    <w:rsid w:val="00FA139A"/>
    <w:rsid w:val="00FA14CC"/>
    <w:rsid w:val="00FA5B8E"/>
    <w:rsid w:val="00FB1199"/>
    <w:rsid w:val="00FB7F70"/>
    <w:rsid w:val="00FC0E03"/>
    <w:rsid w:val="00FC267B"/>
    <w:rsid w:val="00FC4B80"/>
    <w:rsid w:val="00FC6930"/>
    <w:rsid w:val="00FC704A"/>
    <w:rsid w:val="00FC7DCD"/>
    <w:rsid w:val="00FD077B"/>
    <w:rsid w:val="00FD15FA"/>
    <w:rsid w:val="00FD6B36"/>
    <w:rsid w:val="00FE3D64"/>
    <w:rsid w:val="00FF005B"/>
    <w:rsid w:val="00FF0E38"/>
    <w:rsid w:val="00FF3B5D"/>
    <w:rsid w:val="00FF7800"/>
    <w:rsid w:val="03165204"/>
    <w:rsid w:val="03192B31"/>
    <w:rsid w:val="044E5B5A"/>
    <w:rsid w:val="06496122"/>
    <w:rsid w:val="06C9660B"/>
    <w:rsid w:val="08814B92"/>
    <w:rsid w:val="08B96CB5"/>
    <w:rsid w:val="09D47DC2"/>
    <w:rsid w:val="0C8E0FC1"/>
    <w:rsid w:val="0CAF3818"/>
    <w:rsid w:val="0D246EC6"/>
    <w:rsid w:val="0E3D52F1"/>
    <w:rsid w:val="0E8A19D2"/>
    <w:rsid w:val="11BC740A"/>
    <w:rsid w:val="12E82797"/>
    <w:rsid w:val="13392577"/>
    <w:rsid w:val="14327E28"/>
    <w:rsid w:val="145950C2"/>
    <w:rsid w:val="14AD57A8"/>
    <w:rsid w:val="1714276A"/>
    <w:rsid w:val="1840153B"/>
    <w:rsid w:val="189A21C0"/>
    <w:rsid w:val="19BD18CF"/>
    <w:rsid w:val="1B753181"/>
    <w:rsid w:val="1BB577FF"/>
    <w:rsid w:val="1BD371FD"/>
    <w:rsid w:val="1CD165B7"/>
    <w:rsid w:val="1E670CF9"/>
    <w:rsid w:val="1E8D7AB1"/>
    <w:rsid w:val="1E9516DF"/>
    <w:rsid w:val="1F4233F0"/>
    <w:rsid w:val="215C6B28"/>
    <w:rsid w:val="272D6A55"/>
    <w:rsid w:val="279D5813"/>
    <w:rsid w:val="27AB2525"/>
    <w:rsid w:val="27D50A36"/>
    <w:rsid w:val="28337E77"/>
    <w:rsid w:val="28DA7869"/>
    <w:rsid w:val="29B3111F"/>
    <w:rsid w:val="2AAE5BBA"/>
    <w:rsid w:val="2B4671BA"/>
    <w:rsid w:val="2C803FE9"/>
    <w:rsid w:val="2CFE5054"/>
    <w:rsid w:val="2DDD2CE9"/>
    <w:rsid w:val="2F774F06"/>
    <w:rsid w:val="3005002F"/>
    <w:rsid w:val="322B15A9"/>
    <w:rsid w:val="3380206A"/>
    <w:rsid w:val="34C21D4C"/>
    <w:rsid w:val="36FF3B23"/>
    <w:rsid w:val="38C82C2F"/>
    <w:rsid w:val="39530DE3"/>
    <w:rsid w:val="3BE3422F"/>
    <w:rsid w:val="3BFB5CD1"/>
    <w:rsid w:val="3CD1172E"/>
    <w:rsid w:val="40D55749"/>
    <w:rsid w:val="414E6057"/>
    <w:rsid w:val="42805B62"/>
    <w:rsid w:val="42FD4171"/>
    <w:rsid w:val="447C2D5C"/>
    <w:rsid w:val="44DE22CD"/>
    <w:rsid w:val="4552573C"/>
    <w:rsid w:val="45CD7101"/>
    <w:rsid w:val="4713149F"/>
    <w:rsid w:val="4BAC3442"/>
    <w:rsid w:val="4EB06931"/>
    <w:rsid w:val="4EDD7C78"/>
    <w:rsid w:val="500260D7"/>
    <w:rsid w:val="51B81B9F"/>
    <w:rsid w:val="51EC6D6B"/>
    <w:rsid w:val="522F73A2"/>
    <w:rsid w:val="52440E08"/>
    <w:rsid w:val="52A50551"/>
    <w:rsid w:val="543C792C"/>
    <w:rsid w:val="544019BB"/>
    <w:rsid w:val="54F77CF7"/>
    <w:rsid w:val="55897145"/>
    <w:rsid w:val="57313884"/>
    <w:rsid w:val="58AF00F6"/>
    <w:rsid w:val="59B3119A"/>
    <w:rsid w:val="5B370E4D"/>
    <w:rsid w:val="5C476CA6"/>
    <w:rsid w:val="5DF52093"/>
    <w:rsid w:val="5E5D0CF3"/>
    <w:rsid w:val="5EAF695E"/>
    <w:rsid w:val="611E486A"/>
    <w:rsid w:val="617B2CAE"/>
    <w:rsid w:val="65844C5A"/>
    <w:rsid w:val="66922992"/>
    <w:rsid w:val="66E51D42"/>
    <w:rsid w:val="6B7439F8"/>
    <w:rsid w:val="6E550315"/>
    <w:rsid w:val="6E896D0F"/>
    <w:rsid w:val="706C5AF0"/>
    <w:rsid w:val="706E6C67"/>
    <w:rsid w:val="71141B77"/>
    <w:rsid w:val="715F2B07"/>
    <w:rsid w:val="72830127"/>
    <w:rsid w:val="754E42A0"/>
    <w:rsid w:val="76740D50"/>
    <w:rsid w:val="7885017E"/>
    <w:rsid w:val="795E0998"/>
    <w:rsid w:val="7A687DE1"/>
    <w:rsid w:val="7BCB5B95"/>
    <w:rsid w:val="7C932F3B"/>
    <w:rsid w:val="7F5A4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0"/>
    <w:pPr>
      <w:keepNext/>
      <w:keepLines/>
      <w:widowControl/>
      <w:kinsoku w:val="0"/>
      <w:autoSpaceDE w:val="0"/>
      <w:autoSpaceDN w:val="0"/>
      <w:adjustRightInd w:val="0"/>
      <w:snapToGrid w:val="0"/>
      <w:spacing w:line="560" w:lineRule="exact"/>
      <w:ind w:firstLine="200" w:firstLineChars="200"/>
      <w:jc w:val="left"/>
      <w:textAlignment w:val="baseline"/>
      <w:outlineLvl w:val="0"/>
    </w:pPr>
    <w:rPr>
      <w:rFonts w:eastAsia="黑体" w:asciiTheme="majorHAnsi" w:hAnsiTheme="majorHAnsi" w:cstheme="majorBidi"/>
      <w:snapToGrid w:val="0"/>
      <w:color w:val="000000"/>
      <w:kern w:val="44"/>
      <w:sz w:val="32"/>
      <w:szCs w:val="44"/>
      <w:lang w:eastAsia="en-US"/>
    </w:rPr>
  </w:style>
  <w:style w:type="paragraph" w:styleId="3">
    <w:name w:val="heading 2"/>
    <w:basedOn w:val="1"/>
    <w:next w:val="1"/>
    <w:link w:val="21"/>
    <w:semiHidden/>
    <w:unhideWhenUsed/>
    <w:qFormat/>
    <w:uiPriority w:val="0"/>
    <w:pPr>
      <w:keepNext/>
      <w:keepLines/>
      <w:widowControl/>
      <w:kinsoku w:val="0"/>
      <w:autoSpaceDE w:val="0"/>
      <w:autoSpaceDN w:val="0"/>
      <w:adjustRightInd w:val="0"/>
      <w:snapToGrid w:val="0"/>
      <w:spacing w:before="260" w:after="260" w:line="560" w:lineRule="atLeast"/>
      <w:jc w:val="left"/>
      <w:textAlignment w:val="baseline"/>
      <w:outlineLvl w:val="1"/>
    </w:pPr>
    <w:rPr>
      <w:rFonts w:eastAsia="楷体_GB2312" w:asciiTheme="majorHAnsi" w:hAnsiTheme="majorHAnsi" w:cstheme="majorBidi"/>
      <w:b/>
      <w:bCs/>
      <w:snapToGrid w:val="0"/>
      <w:color w:val="000000"/>
      <w:sz w:val="32"/>
      <w:szCs w:val="32"/>
      <w:lang w:eastAsia="en-US"/>
    </w:rPr>
  </w:style>
  <w:style w:type="paragraph" w:styleId="4">
    <w:name w:val="heading 4"/>
    <w:basedOn w:val="1"/>
    <w:next w:val="1"/>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semiHidden/>
    <w:unhideWhenUsed/>
    <w:qFormat/>
    <w:uiPriority w:val="99"/>
    <w:pPr>
      <w:jc w:val="left"/>
    </w:pPr>
  </w:style>
  <w:style w:type="paragraph" w:styleId="6">
    <w:name w:val="Body Text"/>
    <w:basedOn w:val="1"/>
    <w:link w:val="25"/>
    <w:semiHidden/>
    <w:qFormat/>
    <w:uiPriority w:val="0"/>
    <w:pPr>
      <w:widowControl/>
      <w:kinsoku w:val="0"/>
      <w:autoSpaceDE w:val="0"/>
      <w:autoSpaceDN w:val="0"/>
      <w:adjustRightInd w:val="0"/>
      <w:snapToGrid w:val="0"/>
      <w:jc w:val="left"/>
      <w:textAlignment w:val="baseline"/>
    </w:pPr>
    <w:rPr>
      <w:rFonts w:ascii="微软雅黑" w:hAnsi="微软雅黑" w:eastAsia="微软雅黑" w:cs="微软雅黑"/>
      <w:snapToGrid w:val="0"/>
      <w:color w:val="000000"/>
      <w:kern w:val="0"/>
      <w:sz w:val="31"/>
      <w:szCs w:val="31"/>
      <w:lang w:eastAsia="en-US"/>
    </w:rPr>
  </w:style>
  <w:style w:type="paragraph" w:styleId="7">
    <w:name w:val="Body Text Indent"/>
    <w:basedOn w:val="1"/>
    <w:link w:val="26"/>
    <w:qFormat/>
    <w:uiPriority w:val="0"/>
    <w:pPr>
      <w:widowControl/>
      <w:kinsoku w:val="0"/>
      <w:autoSpaceDE w:val="0"/>
      <w:autoSpaceDN w:val="0"/>
      <w:adjustRightInd w:val="0"/>
      <w:snapToGrid w:val="0"/>
      <w:spacing w:after="120"/>
      <w:ind w:left="420" w:leftChars="200"/>
      <w:jc w:val="left"/>
      <w:textAlignment w:val="baseline"/>
    </w:pPr>
    <w:rPr>
      <w:rFonts w:ascii="Arial" w:hAnsi="Arial" w:eastAsia="Arial" w:cs="Arial"/>
      <w:snapToGrid w:val="0"/>
      <w:color w:val="000000"/>
      <w:kern w:val="0"/>
      <w:szCs w:val="21"/>
      <w:lang w:eastAsia="en-US"/>
    </w:rPr>
  </w:style>
  <w:style w:type="paragraph" w:styleId="8">
    <w:name w:val="Balloon Text"/>
    <w:basedOn w:val="1"/>
    <w:link w:val="28"/>
    <w:semiHidden/>
    <w:unhideWhenUsed/>
    <w:qFormat/>
    <w:uiPriority w:val="99"/>
    <w:rPr>
      <w:sz w:val="18"/>
      <w:szCs w:val="18"/>
    </w:rPr>
  </w:style>
  <w:style w:type="paragraph" w:styleId="9">
    <w:name w:val="footer"/>
    <w:basedOn w:val="1"/>
    <w:link w:val="24"/>
    <w:unhideWhenUsed/>
    <w:qFormat/>
    <w:uiPriority w:val="99"/>
    <w:pPr>
      <w:tabs>
        <w:tab w:val="center" w:pos="4153"/>
        <w:tab w:val="right" w:pos="8306"/>
      </w:tabs>
      <w:snapToGrid w:val="0"/>
      <w:jc w:val="left"/>
    </w:pPr>
    <w:rPr>
      <w:sz w:val="18"/>
      <w:szCs w:val="18"/>
    </w:rPr>
  </w:style>
  <w:style w:type="paragraph" w:styleId="10">
    <w:name w:val="header"/>
    <w:basedOn w:val="1"/>
    <w:link w:val="23"/>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uppressAutoHyphens/>
      <w:spacing w:before="100" w:beforeAutospacing="1" w:after="100" w:afterAutospacing="1"/>
      <w:jc w:val="left"/>
    </w:pPr>
    <w:rPr>
      <w:rFonts w:ascii="Calibri" w:hAnsi="Calibri" w:eastAsia="宋体" w:cs="Times New Roman"/>
      <w:kern w:val="0"/>
      <w:sz w:val="24"/>
      <w:szCs w:val="24"/>
    </w:rPr>
  </w:style>
  <w:style w:type="paragraph" w:styleId="12">
    <w:name w:val="Title"/>
    <w:basedOn w:val="1"/>
    <w:next w:val="1"/>
    <w:link w:val="20"/>
    <w:qFormat/>
    <w:uiPriority w:val="0"/>
    <w:pPr>
      <w:widowControl/>
      <w:kinsoku w:val="0"/>
      <w:autoSpaceDE w:val="0"/>
      <w:autoSpaceDN w:val="0"/>
      <w:adjustRightInd w:val="0"/>
      <w:snapToGrid w:val="0"/>
      <w:spacing w:line="640" w:lineRule="exact"/>
      <w:jc w:val="center"/>
      <w:textAlignment w:val="baseline"/>
      <w:outlineLvl w:val="0"/>
    </w:pPr>
    <w:rPr>
      <w:rFonts w:eastAsia="方正小标宋简体" w:asciiTheme="majorHAnsi" w:hAnsiTheme="majorHAnsi" w:cstheme="majorBidi"/>
      <w:bCs/>
      <w:snapToGrid w:val="0"/>
      <w:color w:val="000000"/>
      <w:sz w:val="44"/>
      <w:szCs w:val="32"/>
      <w:lang w:eastAsia="en-US"/>
    </w:rPr>
  </w:style>
  <w:style w:type="paragraph" w:styleId="13">
    <w:name w:val="Body Text First Indent"/>
    <w:basedOn w:val="6"/>
    <w:link w:val="27"/>
    <w:qFormat/>
    <w:uiPriority w:val="0"/>
    <w:pPr>
      <w:spacing w:after="120"/>
      <w:ind w:firstLine="420" w:firstLineChars="100"/>
    </w:pPr>
    <w:rPr>
      <w:rFonts w:ascii="Arial" w:hAnsi="Arial" w:eastAsia="Arial" w:cs="Arial"/>
      <w:sz w:val="21"/>
      <w:szCs w:val="21"/>
    </w:rPr>
  </w:style>
  <w:style w:type="table" w:styleId="15">
    <w:name w:val="Table Grid"/>
    <w:basedOn w:val="14"/>
    <w:qFormat/>
    <w:uiPriority w:val="0"/>
    <w:pPr>
      <w:widowControl w:val="0"/>
      <w:jc w:val="both"/>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0"/>
    <w:rPr>
      <w:b/>
    </w:rPr>
  </w:style>
  <w:style w:type="paragraph" w:customStyle="1" w:styleId="18">
    <w:name w:val="Default"/>
    <w:qFormat/>
    <w:uiPriority w:val="0"/>
    <w:pPr>
      <w:widowControl w:val="0"/>
      <w:autoSpaceDE w:val="0"/>
      <w:autoSpaceDN w:val="0"/>
      <w:adjustRightInd w:val="0"/>
    </w:pPr>
    <w:rPr>
      <w:rFonts w:ascii="PMingLiU" w:hAnsi="Calibri" w:eastAsia="宋体" w:cs="PMingLiU"/>
      <w:color w:val="000000"/>
      <w:sz w:val="24"/>
      <w:szCs w:val="24"/>
      <w:lang w:val="en-US" w:eastAsia="zh-TW" w:bidi="ar-SA"/>
    </w:rPr>
  </w:style>
  <w:style w:type="paragraph" w:customStyle="1" w:styleId="19">
    <w:name w:val="p0"/>
    <w:basedOn w:val="1"/>
    <w:qFormat/>
    <w:uiPriority w:val="0"/>
    <w:pPr>
      <w:widowControl/>
      <w:suppressAutoHyphens/>
      <w:spacing w:line="560" w:lineRule="exact"/>
      <w:ind w:firstLine="200" w:firstLineChars="200"/>
      <w:jc w:val="left"/>
    </w:pPr>
    <w:rPr>
      <w:rFonts w:ascii="Times New Roman" w:hAnsi="Times New Roman" w:eastAsia="仿宋_GB2312" w:cs="Times New Roman"/>
      <w:sz w:val="32"/>
      <w:szCs w:val="24"/>
    </w:rPr>
  </w:style>
  <w:style w:type="character" w:customStyle="1" w:styleId="20">
    <w:name w:val="标题 Char"/>
    <w:basedOn w:val="16"/>
    <w:link w:val="12"/>
    <w:qFormat/>
    <w:uiPriority w:val="0"/>
    <w:rPr>
      <w:rFonts w:eastAsia="方正小标宋简体" w:asciiTheme="majorHAnsi" w:hAnsiTheme="majorHAnsi" w:cstheme="majorBidi"/>
      <w:bCs/>
      <w:snapToGrid w:val="0"/>
      <w:color w:val="000000"/>
      <w:sz w:val="44"/>
      <w:szCs w:val="32"/>
      <w:lang w:eastAsia="en-US"/>
    </w:rPr>
  </w:style>
  <w:style w:type="character" w:customStyle="1" w:styleId="21">
    <w:name w:val="标题 2 Char"/>
    <w:basedOn w:val="16"/>
    <w:link w:val="3"/>
    <w:semiHidden/>
    <w:qFormat/>
    <w:uiPriority w:val="0"/>
    <w:rPr>
      <w:rFonts w:eastAsia="楷体_GB2312" w:asciiTheme="majorHAnsi" w:hAnsiTheme="majorHAnsi" w:cstheme="majorBidi"/>
      <w:b/>
      <w:bCs/>
      <w:snapToGrid w:val="0"/>
      <w:color w:val="000000"/>
      <w:sz w:val="32"/>
      <w:szCs w:val="32"/>
      <w:lang w:eastAsia="en-US"/>
    </w:rPr>
  </w:style>
  <w:style w:type="character" w:customStyle="1" w:styleId="22">
    <w:name w:val="标题 1 Char"/>
    <w:basedOn w:val="16"/>
    <w:link w:val="2"/>
    <w:qFormat/>
    <w:uiPriority w:val="0"/>
    <w:rPr>
      <w:rFonts w:eastAsia="黑体" w:asciiTheme="majorHAnsi" w:hAnsiTheme="majorHAnsi" w:cstheme="majorBidi"/>
      <w:snapToGrid w:val="0"/>
      <w:color w:val="000000"/>
      <w:kern w:val="44"/>
      <w:sz w:val="32"/>
      <w:szCs w:val="44"/>
      <w:lang w:eastAsia="en-US"/>
    </w:rPr>
  </w:style>
  <w:style w:type="character" w:customStyle="1" w:styleId="23">
    <w:name w:val="页眉 Char"/>
    <w:basedOn w:val="16"/>
    <w:link w:val="10"/>
    <w:qFormat/>
    <w:uiPriority w:val="0"/>
    <w:rPr>
      <w:sz w:val="18"/>
      <w:szCs w:val="18"/>
    </w:rPr>
  </w:style>
  <w:style w:type="character" w:customStyle="1" w:styleId="24">
    <w:name w:val="页脚 Char"/>
    <w:basedOn w:val="16"/>
    <w:link w:val="9"/>
    <w:qFormat/>
    <w:uiPriority w:val="99"/>
    <w:rPr>
      <w:sz w:val="18"/>
      <w:szCs w:val="18"/>
    </w:rPr>
  </w:style>
  <w:style w:type="character" w:customStyle="1" w:styleId="25">
    <w:name w:val="正文文本 Char"/>
    <w:basedOn w:val="16"/>
    <w:link w:val="6"/>
    <w:semiHidden/>
    <w:qFormat/>
    <w:uiPriority w:val="0"/>
    <w:rPr>
      <w:rFonts w:ascii="微软雅黑" w:hAnsi="微软雅黑" w:eastAsia="微软雅黑" w:cs="微软雅黑"/>
      <w:snapToGrid w:val="0"/>
      <w:color w:val="000000"/>
      <w:kern w:val="0"/>
      <w:sz w:val="31"/>
      <w:szCs w:val="31"/>
      <w:lang w:eastAsia="en-US"/>
    </w:rPr>
  </w:style>
  <w:style w:type="character" w:customStyle="1" w:styleId="26">
    <w:name w:val="正文文本缩进 Char"/>
    <w:basedOn w:val="16"/>
    <w:link w:val="7"/>
    <w:qFormat/>
    <w:uiPriority w:val="0"/>
    <w:rPr>
      <w:rFonts w:ascii="Arial" w:hAnsi="Arial" w:eastAsia="Arial" w:cs="Arial"/>
      <w:snapToGrid w:val="0"/>
      <w:color w:val="000000"/>
      <w:kern w:val="0"/>
      <w:szCs w:val="21"/>
      <w:lang w:eastAsia="en-US"/>
    </w:rPr>
  </w:style>
  <w:style w:type="character" w:customStyle="1" w:styleId="27">
    <w:name w:val="正文首行缩进 Char"/>
    <w:basedOn w:val="25"/>
    <w:link w:val="13"/>
    <w:qFormat/>
    <w:uiPriority w:val="0"/>
    <w:rPr>
      <w:rFonts w:ascii="Arial" w:hAnsi="Arial" w:eastAsia="Arial" w:cs="Arial"/>
      <w:snapToGrid w:val="0"/>
      <w:color w:val="000000"/>
      <w:kern w:val="0"/>
      <w:sz w:val="31"/>
      <w:szCs w:val="21"/>
      <w:lang w:eastAsia="en-US"/>
    </w:rPr>
  </w:style>
  <w:style w:type="character" w:customStyle="1" w:styleId="28">
    <w:name w:val="批注框文本 Char"/>
    <w:basedOn w:val="16"/>
    <w:link w:val="8"/>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15</Pages>
  <Words>4153</Words>
  <Characters>4408</Characters>
  <Lines>35</Lines>
  <Paragraphs>9</Paragraphs>
  <TotalTime>15</TotalTime>
  <ScaleCrop>false</ScaleCrop>
  <LinksUpToDate>false</LinksUpToDate>
  <CharactersWithSpaces>4449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2024-04-02T08:54:00Z</dcterms:created>
  <dc:creator>叶昆</dc:creator>
  <cp:lastModifiedBy>wm</cp:lastModifiedBy>
  <cp:lastPrinted>2024-07-16T01:08:00Z</cp:lastPrinted>
  <dcterms:modified xsi:type="dcterms:W3CDTF">2026-01-08T02:11:28Z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5A757E17C8294AA89579E65578D7C6D0_13</vt:lpwstr>
  </property>
  <property fmtid="{D5CDD505-2E9C-101B-9397-08002B2CF9AE}" pid="4" name="KSOTemplateDocerSaveRecord">
    <vt:lpwstr>eyJoZGlkIjoiYjQ2ZjU4OThhNTllMzAzOTZkYzk0NTMzZDhkNWI3ZmEiLCJ1c2VySWQiOiI0NjA1MTk4MzcifQ==</vt:lpwstr>
  </property>
</Properties>
</file>