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6A09A">
      <w:pPr>
        <w:jc w:val="center"/>
        <w:rPr>
          <w:rFonts w:hint="eastAsia" w:asciiTheme="minorEastAsia" w:hAnsiTheme="minorEastAsia" w:eastAsiaTheme="minorEastAsia" w:cstheme="minorEastAsia"/>
          <w:color w:val="auto"/>
          <w:sz w:val="28"/>
          <w:szCs w:val="28"/>
        </w:rPr>
      </w:pPr>
      <w:bookmarkStart w:id="0" w:name="_Toc35393813"/>
      <w:r>
        <w:rPr>
          <w:rFonts w:hint="eastAsia" w:asciiTheme="minorEastAsia" w:hAnsiTheme="minorEastAsia" w:eastAsiaTheme="minorEastAsia" w:cstheme="minorEastAsia"/>
          <w:color w:val="auto"/>
          <w:sz w:val="28"/>
          <w:szCs w:val="28"/>
        </w:rPr>
        <w:t>广西国力招标有限公司</w:t>
      </w:r>
      <w:r>
        <w:rPr>
          <w:rFonts w:hint="eastAsia" w:asciiTheme="minorEastAsia" w:hAnsiTheme="minorEastAsia" w:eastAsiaTheme="minorEastAsia" w:cstheme="minorEastAsia"/>
          <w:color w:val="auto"/>
          <w:sz w:val="28"/>
          <w:szCs w:val="28"/>
          <w:lang w:val="en-US" w:eastAsia="zh-CN"/>
        </w:rPr>
        <w:t>关于国家级高技能人才培训基地设备采购项目</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GXZC2025-G1-003983-GLZB</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的</w:t>
      </w:r>
      <w:r>
        <w:rPr>
          <w:rFonts w:hint="eastAsia" w:asciiTheme="minorEastAsia" w:hAnsiTheme="minorEastAsia" w:eastAsiaTheme="minorEastAsia" w:cstheme="minorEastAsia"/>
          <w:color w:val="auto"/>
          <w:sz w:val="28"/>
          <w:szCs w:val="28"/>
          <w:lang w:eastAsia="zh-CN"/>
        </w:rPr>
        <w:t>更正</w:t>
      </w:r>
      <w:r>
        <w:rPr>
          <w:rFonts w:hint="eastAsia" w:asciiTheme="minorEastAsia" w:hAnsiTheme="minorEastAsia" w:eastAsiaTheme="minorEastAsia" w:cstheme="minorEastAsia"/>
          <w:color w:val="auto"/>
          <w:sz w:val="28"/>
          <w:szCs w:val="28"/>
        </w:rPr>
        <w:t>公告</w:t>
      </w:r>
      <w:bookmarkEnd w:id="0"/>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rPr>
        <w:t>）</w:t>
      </w:r>
    </w:p>
    <w:p w14:paraId="4B13F3E5">
      <w:pPr>
        <w:rPr>
          <w:rFonts w:hint="eastAsia" w:ascii="宋体" w:hAnsi="宋体" w:eastAsia="宋体" w:cs="宋体"/>
          <w:b/>
          <w:sz w:val="21"/>
          <w:szCs w:val="21"/>
        </w:rPr>
      </w:pPr>
      <w:bookmarkStart w:id="1" w:name="_Toc28359027"/>
      <w:bookmarkStart w:id="2" w:name="_Toc35393814"/>
      <w:bookmarkStart w:id="3" w:name="_Toc35393645"/>
      <w:bookmarkStart w:id="4" w:name="_Toc28359104"/>
      <w:r>
        <w:rPr>
          <w:rFonts w:hint="eastAsia" w:ascii="宋体" w:hAnsi="宋体" w:eastAsia="宋体" w:cs="宋体"/>
          <w:b/>
          <w:sz w:val="21"/>
          <w:szCs w:val="21"/>
        </w:rPr>
        <w:t>一、项目基本情况</w:t>
      </w:r>
      <w:bookmarkEnd w:id="1"/>
      <w:bookmarkEnd w:id="2"/>
      <w:bookmarkEnd w:id="3"/>
      <w:bookmarkEnd w:id="4"/>
    </w:p>
    <w:p w14:paraId="11FAFD93">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原公告的采购项目编号：</w:t>
      </w:r>
      <w:r>
        <w:rPr>
          <w:rFonts w:hint="eastAsia" w:ascii="宋体" w:hAnsi="宋体" w:cs="宋体"/>
          <w:sz w:val="21"/>
          <w:szCs w:val="21"/>
          <w:u w:val="single"/>
          <w:lang w:eastAsia="zh-CN"/>
        </w:rPr>
        <w:t>GXZC2025-G1-003983-GLZB</w:t>
      </w:r>
    </w:p>
    <w:p w14:paraId="2B66A0E8">
      <w:pPr>
        <w:ind w:firstLine="420" w:firstLineChars="200"/>
        <w:rPr>
          <w:rFonts w:hint="eastAsia" w:ascii="宋体" w:hAnsi="宋体" w:eastAsia="宋体" w:cs="宋体"/>
          <w:sz w:val="21"/>
          <w:szCs w:val="21"/>
          <w:u w:val="single"/>
          <w:lang w:eastAsia="zh-CN"/>
        </w:rPr>
      </w:pPr>
      <w:r>
        <w:rPr>
          <w:rFonts w:hint="eastAsia" w:ascii="宋体" w:hAnsi="宋体" w:eastAsia="宋体" w:cs="宋体"/>
          <w:sz w:val="21"/>
          <w:szCs w:val="21"/>
        </w:rPr>
        <w:t>原公告的采购项目名称：</w:t>
      </w:r>
      <w:r>
        <w:rPr>
          <w:rFonts w:hint="eastAsia" w:ascii="宋体" w:hAnsi="宋体" w:cs="宋体"/>
          <w:sz w:val="21"/>
          <w:szCs w:val="21"/>
          <w:u w:val="single"/>
          <w:lang w:eastAsia="zh-CN"/>
        </w:rPr>
        <w:t>国家级高技能人才培训基地设备采购项目</w:t>
      </w:r>
    </w:p>
    <w:p w14:paraId="3930F576">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首次公告日期：</w:t>
      </w:r>
      <w:r>
        <w:rPr>
          <w:rFonts w:hint="eastAsia" w:ascii="宋体" w:hAnsi="宋体" w:eastAsia="宋体" w:cs="宋体"/>
          <w:sz w:val="21"/>
          <w:szCs w:val="21"/>
          <w:u w:val="single"/>
          <w:lang w:val="en-US" w:eastAsia="zh-CN"/>
        </w:rPr>
        <w:t>202</w:t>
      </w:r>
      <w:r>
        <w:rPr>
          <w:rFonts w:hint="eastAsia" w:ascii="宋体" w:hAnsi="宋体" w:cs="宋体"/>
          <w:sz w:val="21"/>
          <w:szCs w:val="21"/>
          <w:u w:val="single"/>
          <w:lang w:val="en-US" w:eastAsia="zh-CN"/>
        </w:rPr>
        <w:t>5</w:t>
      </w:r>
      <w:r>
        <w:rPr>
          <w:rFonts w:hint="eastAsia" w:ascii="宋体" w:hAnsi="宋体" w:eastAsia="宋体" w:cs="宋体"/>
          <w:sz w:val="21"/>
          <w:szCs w:val="21"/>
          <w:u w:val="single"/>
          <w:lang w:val="en-US" w:eastAsia="zh-CN"/>
        </w:rPr>
        <w:t>年</w:t>
      </w:r>
      <w:r>
        <w:rPr>
          <w:rFonts w:hint="eastAsia" w:ascii="宋体" w:hAnsi="宋体" w:cs="宋体"/>
          <w:sz w:val="21"/>
          <w:szCs w:val="21"/>
          <w:u w:val="single"/>
          <w:lang w:val="en-US" w:eastAsia="zh-CN"/>
        </w:rPr>
        <w:t>12</w:t>
      </w:r>
      <w:r>
        <w:rPr>
          <w:rFonts w:hint="eastAsia" w:ascii="宋体" w:hAnsi="宋体" w:eastAsia="宋体" w:cs="宋体"/>
          <w:sz w:val="21"/>
          <w:szCs w:val="21"/>
          <w:u w:val="single"/>
          <w:lang w:val="en-US" w:eastAsia="zh-CN"/>
        </w:rPr>
        <w:t>月</w:t>
      </w:r>
      <w:r>
        <w:rPr>
          <w:rFonts w:hint="eastAsia" w:ascii="宋体" w:hAnsi="宋体" w:cs="宋体"/>
          <w:sz w:val="21"/>
          <w:szCs w:val="21"/>
          <w:u w:val="single"/>
          <w:lang w:val="en-US" w:eastAsia="zh-CN"/>
        </w:rPr>
        <w:t>31</w:t>
      </w:r>
      <w:r>
        <w:rPr>
          <w:rFonts w:hint="eastAsia" w:ascii="宋体" w:hAnsi="宋体" w:eastAsia="宋体" w:cs="宋体"/>
          <w:sz w:val="21"/>
          <w:szCs w:val="21"/>
          <w:u w:val="single"/>
          <w:lang w:val="en-US" w:eastAsia="zh-CN"/>
        </w:rPr>
        <w:t>日</w:t>
      </w:r>
    </w:p>
    <w:p w14:paraId="58442A13">
      <w:pPr>
        <w:rPr>
          <w:rFonts w:hint="eastAsia" w:ascii="宋体" w:hAnsi="宋体" w:eastAsia="宋体" w:cs="宋体"/>
          <w:b/>
          <w:sz w:val="21"/>
          <w:szCs w:val="21"/>
        </w:rPr>
      </w:pPr>
      <w:bookmarkStart w:id="5" w:name="_Toc35393815"/>
      <w:bookmarkStart w:id="6" w:name="_Toc28359105"/>
      <w:bookmarkStart w:id="7" w:name="_Toc35393646"/>
      <w:bookmarkStart w:id="8" w:name="_Toc28359028"/>
      <w:r>
        <w:rPr>
          <w:rFonts w:hint="eastAsia" w:ascii="宋体" w:hAnsi="宋体" w:eastAsia="宋体" w:cs="宋体"/>
          <w:b/>
          <w:sz w:val="21"/>
          <w:szCs w:val="21"/>
        </w:rPr>
        <w:t>二、更正信息</w:t>
      </w:r>
      <w:bookmarkEnd w:id="5"/>
      <w:bookmarkEnd w:id="6"/>
      <w:bookmarkEnd w:id="7"/>
      <w:bookmarkEnd w:id="8"/>
    </w:p>
    <w:p w14:paraId="544D253E">
      <w:pPr>
        <w:ind w:firstLine="420" w:firstLineChars="200"/>
        <w:rPr>
          <w:rFonts w:hint="eastAsia" w:ascii="宋体" w:hAnsi="宋体" w:eastAsia="宋体" w:cs="宋体"/>
          <w:sz w:val="21"/>
          <w:szCs w:val="21"/>
        </w:rPr>
      </w:pPr>
      <w:r>
        <w:rPr>
          <w:rFonts w:hint="eastAsia" w:ascii="宋体" w:hAnsi="宋体" w:eastAsia="宋体" w:cs="宋体"/>
          <w:sz w:val="21"/>
          <w:szCs w:val="21"/>
        </w:rPr>
        <w:t>更正事项：</w:t>
      </w:r>
      <w:r>
        <w:rPr>
          <w:rFonts w:hint="eastAsia" w:ascii="宋体" w:hAnsi="宋体" w:cs="宋体"/>
          <w:sz w:val="21"/>
          <w:szCs w:val="21"/>
          <w:lang w:eastAsia="zh-CN"/>
        </w:rPr>
        <w:t>☑</w:t>
      </w:r>
      <w:r>
        <w:rPr>
          <w:rFonts w:hint="eastAsia" w:ascii="宋体" w:hAnsi="宋体" w:eastAsia="宋体" w:cs="宋体"/>
          <w:sz w:val="21"/>
          <w:szCs w:val="21"/>
        </w:rPr>
        <w:t xml:space="preserve">采购公告 </w:t>
      </w:r>
      <w:r>
        <w:rPr>
          <w:rFonts w:hint="eastAsia" w:ascii="宋体" w:hAnsi="宋体" w:cs="宋体"/>
          <w:sz w:val="21"/>
          <w:szCs w:val="21"/>
          <w:lang w:eastAsia="zh-CN"/>
        </w:rPr>
        <w:t>☑</w:t>
      </w:r>
      <w:r>
        <w:rPr>
          <w:rFonts w:hint="eastAsia" w:ascii="宋体" w:hAnsi="宋体" w:eastAsia="宋体" w:cs="宋体"/>
          <w:sz w:val="21"/>
          <w:szCs w:val="21"/>
        </w:rPr>
        <w:t xml:space="preserve">采购文件 □采购结果     </w:t>
      </w:r>
    </w:p>
    <w:p w14:paraId="57ABADE3">
      <w:pPr>
        <w:ind w:firstLine="420" w:firstLineChars="200"/>
        <w:rPr>
          <w:rFonts w:hint="eastAsia" w:ascii="宋体" w:hAnsi="宋体" w:eastAsia="宋体" w:cs="宋体"/>
          <w:sz w:val="21"/>
          <w:szCs w:val="21"/>
        </w:rPr>
      </w:pPr>
      <w:r>
        <w:rPr>
          <w:rFonts w:hint="eastAsia" w:ascii="宋体" w:hAnsi="宋体" w:eastAsia="宋体" w:cs="宋体"/>
          <w:sz w:val="21"/>
          <w:szCs w:val="21"/>
        </w:rPr>
        <w:t>更正内容：</w:t>
      </w:r>
    </w:p>
    <w:tbl>
      <w:tblPr>
        <w:tblStyle w:val="12"/>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761"/>
        <w:gridCol w:w="3234"/>
        <w:gridCol w:w="3475"/>
      </w:tblGrid>
      <w:tr w14:paraId="4E9D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noWrap w:val="0"/>
            <w:vAlign w:val="center"/>
          </w:tcPr>
          <w:p w14:paraId="3C5A73E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序号</w:t>
            </w:r>
          </w:p>
        </w:tc>
        <w:tc>
          <w:tcPr>
            <w:tcW w:w="1761" w:type="dxa"/>
            <w:noWrap w:val="0"/>
            <w:vAlign w:val="center"/>
          </w:tcPr>
          <w:p w14:paraId="3DE114B8">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更正项</w:t>
            </w:r>
          </w:p>
        </w:tc>
        <w:tc>
          <w:tcPr>
            <w:tcW w:w="3234" w:type="dxa"/>
            <w:noWrap w:val="0"/>
            <w:vAlign w:val="center"/>
          </w:tcPr>
          <w:p w14:paraId="236849F9">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更正前内容</w:t>
            </w:r>
          </w:p>
        </w:tc>
        <w:tc>
          <w:tcPr>
            <w:tcW w:w="3475" w:type="dxa"/>
            <w:noWrap w:val="0"/>
            <w:vAlign w:val="center"/>
          </w:tcPr>
          <w:p w14:paraId="3529E0F4">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更正后内容</w:t>
            </w:r>
          </w:p>
        </w:tc>
      </w:tr>
      <w:tr w14:paraId="4E3B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48" w:type="dxa"/>
            <w:noWrap w:val="0"/>
            <w:vAlign w:val="center"/>
          </w:tcPr>
          <w:p w14:paraId="181770A3">
            <w:pPr>
              <w:keepNext w:val="0"/>
              <w:keepLines w:val="0"/>
              <w:pageBreakBefore w:val="0"/>
              <w:widowControl w:val="0"/>
              <w:numPr>
                <w:ilvl w:val="0"/>
                <w:numId w:val="1"/>
              </w:numPr>
              <w:kinsoku/>
              <w:overflowPunct/>
              <w:topLinePunct w:val="0"/>
              <w:autoSpaceDE/>
              <w:autoSpaceDN/>
              <w:bidi w:val="0"/>
              <w:adjustRightInd/>
              <w:snapToGrid/>
              <w:spacing w:line="400" w:lineRule="exact"/>
              <w:ind w:left="425" w:leftChars="0" w:hanging="425" w:firstLineChars="0"/>
              <w:jc w:val="center"/>
              <w:textAlignment w:val="auto"/>
              <w:rPr>
                <w:rFonts w:hint="eastAsia" w:asciiTheme="majorEastAsia" w:hAnsiTheme="majorEastAsia" w:eastAsiaTheme="majorEastAsia" w:cstheme="majorEastAsia"/>
                <w:b w:val="0"/>
                <w:bCs/>
                <w:color w:val="auto"/>
                <w:sz w:val="21"/>
                <w:szCs w:val="21"/>
                <w:highlight w:val="none"/>
                <w:lang w:val="en-US" w:eastAsia="zh-CN"/>
              </w:rPr>
            </w:pPr>
          </w:p>
        </w:tc>
        <w:tc>
          <w:tcPr>
            <w:tcW w:w="1761" w:type="dxa"/>
            <w:noWrap w:val="0"/>
            <w:vAlign w:val="center"/>
          </w:tcPr>
          <w:p w14:paraId="40E62FC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lang w:val="en-US"/>
              </w:rPr>
            </w:pPr>
            <w:r>
              <w:rPr>
                <w:rFonts w:hint="eastAsia" w:asciiTheme="majorEastAsia" w:hAnsiTheme="majorEastAsia" w:eastAsiaTheme="majorEastAsia" w:cstheme="majorEastAsia"/>
                <w:b w:val="0"/>
                <w:bCs/>
                <w:color w:val="auto"/>
                <w:sz w:val="21"/>
                <w:szCs w:val="21"/>
                <w:highlight w:val="none"/>
              </w:rPr>
              <w:t>公开招标采购文件第3页，公开招标公告“项目概况”</w:t>
            </w:r>
          </w:p>
        </w:tc>
        <w:tc>
          <w:tcPr>
            <w:tcW w:w="3234" w:type="dxa"/>
            <w:noWrap w:val="0"/>
            <w:vAlign w:val="top"/>
          </w:tcPr>
          <w:p w14:paraId="18737384">
            <w:pPr>
              <w:keepNext w:val="0"/>
              <w:keepLines w:val="0"/>
              <w:pageBreakBefore w:val="0"/>
              <w:widowControl w:val="0"/>
              <w:kinsoku/>
              <w:overflowPunct/>
              <w:topLinePunct w:val="0"/>
              <w:autoSpaceDE/>
              <w:autoSpaceDN/>
              <w:bidi w:val="0"/>
              <w:adjustRightInd/>
              <w:snapToGrid/>
              <w:spacing w:line="400" w:lineRule="exact"/>
              <w:ind w:firstLine="420" w:firstLineChars="200"/>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项目概况</w:t>
            </w:r>
          </w:p>
          <w:p w14:paraId="286694B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国家级高技能人才培训基地设备采购项目招标项目的潜在投标人应在广西政府采购云平台（https://www.gcy.zfcg.gxzf.gov.cn/）获取招标文件，现项目因故延期，递交投标文件截止时间将另行通知。</w:t>
            </w:r>
          </w:p>
        </w:tc>
        <w:tc>
          <w:tcPr>
            <w:tcW w:w="3475" w:type="dxa"/>
            <w:noWrap w:val="0"/>
            <w:vAlign w:val="top"/>
          </w:tcPr>
          <w:p w14:paraId="115660B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项目概况</w:t>
            </w:r>
          </w:p>
          <w:p w14:paraId="017D7B7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国家级高技能人才培训基地设备采购项目招标项目的潜在投标人应在广西政府采购云平台（https://www.gcy.zfcg.gxzf.gov.cn/）获取招标文件，并于2026年</w:t>
            </w:r>
            <w:r>
              <w:rPr>
                <w:rFonts w:hint="eastAsia" w:asciiTheme="majorEastAsia" w:hAnsiTheme="majorEastAsia" w:eastAsiaTheme="majorEastAsia" w:cstheme="majorEastAsia"/>
                <w:b w:val="0"/>
                <w:bCs/>
                <w:color w:val="auto"/>
                <w:sz w:val="21"/>
                <w:szCs w:val="21"/>
                <w:highlight w:val="none"/>
                <w:lang w:val="en-US" w:eastAsia="zh-CN"/>
              </w:rPr>
              <w:t>2</w:t>
            </w:r>
            <w:r>
              <w:rPr>
                <w:rFonts w:hint="eastAsia" w:asciiTheme="majorEastAsia" w:hAnsiTheme="majorEastAsia" w:eastAsiaTheme="majorEastAsia" w:cstheme="majorEastAsia"/>
                <w:b w:val="0"/>
                <w:bCs/>
                <w:color w:val="auto"/>
                <w:sz w:val="21"/>
                <w:szCs w:val="21"/>
                <w:highlight w:val="none"/>
              </w:rPr>
              <w:t>月</w:t>
            </w:r>
            <w:r>
              <w:rPr>
                <w:rFonts w:hint="eastAsia" w:asciiTheme="majorEastAsia" w:hAnsiTheme="majorEastAsia" w:eastAsiaTheme="majorEastAsia" w:cstheme="majorEastAsia"/>
                <w:b w:val="0"/>
                <w:bCs/>
                <w:color w:val="auto"/>
                <w:sz w:val="21"/>
                <w:szCs w:val="21"/>
                <w:highlight w:val="none"/>
                <w:lang w:val="en-US" w:eastAsia="zh-CN"/>
              </w:rPr>
              <w:t>13</w:t>
            </w:r>
            <w:r>
              <w:rPr>
                <w:rFonts w:hint="eastAsia" w:asciiTheme="majorEastAsia" w:hAnsiTheme="majorEastAsia" w:eastAsiaTheme="majorEastAsia" w:cstheme="majorEastAsia"/>
                <w:b w:val="0"/>
                <w:bCs/>
                <w:color w:val="auto"/>
                <w:sz w:val="21"/>
                <w:szCs w:val="21"/>
                <w:highlight w:val="none"/>
              </w:rPr>
              <w:t>日9点30分（北京时间）前递交投标文件。</w:t>
            </w:r>
          </w:p>
        </w:tc>
      </w:tr>
      <w:tr w14:paraId="7BED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8" w:type="dxa"/>
            <w:noWrap w:val="0"/>
            <w:vAlign w:val="center"/>
          </w:tcPr>
          <w:p w14:paraId="38226658">
            <w:pPr>
              <w:keepNext w:val="0"/>
              <w:keepLines w:val="0"/>
              <w:pageBreakBefore w:val="0"/>
              <w:widowControl w:val="0"/>
              <w:numPr>
                <w:ilvl w:val="0"/>
                <w:numId w:val="1"/>
              </w:numPr>
              <w:kinsoku/>
              <w:overflowPunct/>
              <w:topLinePunct w:val="0"/>
              <w:autoSpaceDE/>
              <w:autoSpaceDN/>
              <w:bidi w:val="0"/>
              <w:adjustRightInd/>
              <w:snapToGrid/>
              <w:spacing w:line="400" w:lineRule="exact"/>
              <w:ind w:left="425" w:leftChars="0" w:hanging="425" w:firstLineChars="0"/>
              <w:jc w:val="center"/>
              <w:textAlignment w:val="auto"/>
              <w:rPr>
                <w:rFonts w:hint="eastAsia" w:asciiTheme="majorEastAsia" w:hAnsiTheme="majorEastAsia" w:eastAsiaTheme="majorEastAsia" w:cstheme="majorEastAsia"/>
                <w:b w:val="0"/>
                <w:bCs/>
                <w:color w:val="auto"/>
                <w:sz w:val="21"/>
                <w:szCs w:val="21"/>
                <w:highlight w:val="none"/>
                <w:lang w:val="en-US" w:eastAsia="zh-CN"/>
              </w:rPr>
            </w:pPr>
          </w:p>
        </w:tc>
        <w:tc>
          <w:tcPr>
            <w:tcW w:w="1761" w:type="dxa"/>
            <w:noWrap w:val="0"/>
            <w:vAlign w:val="center"/>
          </w:tcPr>
          <w:p w14:paraId="461A4EF8">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rPr>
              <w:t>公开招标采购文件第4页，公开招标公告“四、提交投标文件截止时间、开标时间和地点”</w:t>
            </w:r>
          </w:p>
        </w:tc>
        <w:tc>
          <w:tcPr>
            <w:tcW w:w="3234" w:type="dxa"/>
            <w:noWrap w:val="0"/>
            <w:vAlign w:val="top"/>
          </w:tcPr>
          <w:p w14:paraId="7025AE66">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rPr>
              <w:t>四、提交投标文件截止时间、开标时间和地点</w:t>
            </w:r>
            <w:r>
              <w:rPr>
                <w:rFonts w:hint="eastAsia" w:asciiTheme="majorEastAsia" w:hAnsiTheme="majorEastAsia" w:eastAsiaTheme="majorEastAsia" w:cstheme="majorEastAsia"/>
                <w:b w:val="0"/>
                <w:bCs/>
                <w:color w:val="auto"/>
                <w:sz w:val="21"/>
                <w:szCs w:val="21"/>
                <w:highlight w:val="none"/>
              </w:rPr>
              <w:br w:type="textWrapping"/>
            </w:r>
            <w:r>
              <w:rPr>
                <w:rFonts w:hint="eastAsia" w:asciiTheme="majorEastAsia" w:hAnsiTheme="majorEastAsia" w:eastAsiaTheme="majorEastAsia" w:cstheme="majorEastAsia"/>
                <w:b w:val="0"/>
                <w:bCs/>
                <w:color w:val="auto"/>
                <w:sz w:val="21"/>
                <w:szCs w:val="21"/>
                <w:highlight w:val="none"/>
              </w:rPr>
              <w:t>提交投标文件截止时间：项目因故延期，投标文件提交截止时间将另行通知。</w:t>
            </w:r>
            <w:r>
              <w:rPr>
                <w:rFonts w:hint="eastAsia" w:asciiTheme="majorEastAsia" w:hAnsiTheme="majorEastAsia" w:eastAsiaTheme="majorEastAsia" w:cstheme="majorEastAsia"/>
                <w:b w:val="0"/>
                <w:bCs/>
                <w:color w:val="auto"/>
                <w:sz w:val="21"/>
                <w:szCs w:val="21"/>
                <w:highlight w:val="none"/>
              </w:rPr>
              <w:br w:type="textWrapping"/>
            </w:r>
            <w:r>
              <w:rPr>
                <w:rFonts w:hint="eastAsia" w:asciiTheme="majorEastAsia" w:hAnsiTheme="majorEastAsia" w:eastAsiaTheme="majorEastAsia" w:cstheme="majorEastAsia"/>
                <w:b w:val="0"/>
                <w:bCs/>
                <w:color w:val="auto"/>
                <w:sz w:val="21"/>
                <w:szCs w:val="21"/>
                <w:highlight w:val="none"/>
              </w:rPr>
              <w:t>……</w:t>
            </w:r>
            <w:r>
              <w:rPr>
                <w:rFonts w:hint="eastAsia" w:asciiTheme="majorEastAsia" w:hAnsiTheme="majorEastAsia" w:eastAsiaTheme="majorEastAsia" w:cstheme="majorEastAsia"/>
                <w:b w:val="0"/>
                <w:bCs/>
                <w:color w:val="auto"/>
                <w:sz w:val="21"/>
                <w:szCs w:val="21"/>
                <w:highlight w:val="none"/>
              </w:rPr>
              <w:br w:type="textWrapping"/>
            </w:r>
            <w:r>
              <w:rPr>
                <w:rFonts w:hint="eastAsia" w:asciiTheme="majorEastAsia" w:hAnsiTheme="majorEastAsia" w:eastAsiaTheme="majorEastAsia" w:cstheme="majorEastAsia"/>
                <w:b w:val="0"/>
                <w:bCs/>
                <w:color w:val="auto"/>
                <w:sz w:val="21"/>
                <w:szCs w:val="21"/>
                <w:highlight w:val="none"/>
              </w:rPr>
              <w:t>开标时间：项目因故延期，具体时间将另行通知。</w:t>
            </w:r>
            <w:r>
              <w:rPr>
                <w:rFonts w:hint="eastAsia" w:asciiTheme="majorEastAsia" w:hAnsiTheme="majorEastAsia" w:eastAsiaTheme="majorEastAsia" w:cstheme="majorEastAsia"/>
                <w:b w:val="0"/>
                <w:bCs/>
                <w:color w:val="auto"/>
                <w:sz w:val="21"/>
                <w:szCs w:val="21"/>
                <w:highlight w:val="none"/>
              </w:rPr>
              <w:br w:type="textWrapping"/>
            </w:r>
            <w:r>
              <w:rPr>
                <w:rFonts w:hint="eastAsia" w:asciiTheme="majorEastAsia" w:hAnsiTheme="majorEastAsia" w:eastAsiaTheme="majorEastAsia" w:cstheme="majorEastAsia"/>
                <w:b w:val="0"/>
                <w:bCs/>
                <w:color w:val="auto"/>
                <w:sz w:val="21"/>
                <w:szCs w:val="21"/>
                <w:highlight w:val="none"/>
              </w:rPr>
              <w:t>……</w:t>
            </w:r>
          </w:p>
        </w:tc>
        <w:tc>
          <w:tcPr>
            <w:tcW w:w="3475" w:type="dxa"/>
            <w:noWrap w:val="0"/>
            <w:vAlign w:val="top"/>
          </w:tcPr>
          <w:p w14:paraId="4AD70A9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四、提交投标文件截止时间、开标时间和地点</w:t>
            </w:r>
          </w:p>
          <w:p w14:paraId="7657240F">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提交投标文件截止时间：2026年2月13日09:30（北京时间）</w:t>
            </w:r>
          </w:p>
          <w:p w14:paraId="2196251E">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投标地点（网址）：广西政府采购云平台（https://www.gcy.zfcg.gxzf.gov.cn/）（本项目为全流程电子化项目，供应商应派法定代表人或委托代理人准时在线出席电子开评标会议，随时关注开评标进度，如在开评标过程中有电子询标，应在规定的时间内对电子询标函进行澄清回复。）</w:t>
            </w:r>
          </w:p>
          <w:p w14:paraId="5F49F738">
            <w:pPr>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开标时间：2026年2月13日 09:30（北京时间）</w:t>
            </w:r>
          </w:p>
          <w:p w14:paraId="7DB58AB5">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开标地点：广西政府采购云平台电子开标大厅</w:t>
            </w:r>
          </w:p>
        </w:tc>
      </w:tr>
      <w:tr w14:paraId="56AE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8" w:type="dxa"/>
            <w:noWrap w:val="0"/>
            <w:vAlign w:val="center"/>
          </w:tcPr>
          <w:p w14:paraId="43AD8AC4">
            <w:pPr>
              <w:keepNext w:val="0"/>
              <w:keepLines w:val="0"/>
              <w:pageBreakBefore w:val="0"/>
              <w:widowControl w:val="0"/>
              <w:numPr>
                <w:ilvl w:val="0"/>
                <w:numId w:val="1"/>
              </w:numPr>
              <w:kinsoku/>
              <w:overflowPunct/>
              <w:topLinePunct w:val="0"/>
              <w:autoSpaceDE/>
              <w:autoSpaceDN/>
              <w:bidi w:val="0"/>
              <w:adjustRightInd/>
              <w:snapToGrid/>
              <w:spacing w:line="400" w:lineRule="exact"/>
              <w:ind w:left="425" w:leftChars="0" w:hanging="425" w:firstLineChars="0"/>
              <w:jc w:val="center"/>
              <w:textAlignment w:val="auto"/>
              <w:rPr>
                <w:rFonts w:hint="eastAsia" w:asciiTheme="majorEastAsia" w:hAnsiTheme="majorEastAsia" w:eastAsiaTheme="majorEastAsia" w:cstheme="majorEastAsia"/>
                <w:b w:val="0"/>
                <w:bCs/>
                <w:color w:val="auto"/>
                <w:sz w:val="21"/>
                <w:szCs w:val="21"/>
                <w:highlight w:val="none"/>
                <w:lang w:val="en-US" w:eastAsia="zh-CN"/>
              </w:rPr>
            </w:pPr>
          </w:p>
        </w:tc>
        <w:tc>
          <w:tcPr>
            <w:tcW w:w="1761" w:type="dxa"/>
            <w:noWrap w:val="0"/>
            <w:vAlign w:val="center"/>
          </w:tcPr>
          <w:p w14:paraId="16233CEC">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rPr>
              <w:t>公开招标采购文件第</w:t>
            </w:r>
            <w:r>
              <w:rPr>
                <w:rFonts w:hint="eastAsia" w:asciiTheme="majorEastAsia" w:hAnsiTheme="majorEastAsia" w:eastAsiaTheme="majorEastAsia" w:cstheme="majorEastAsia"/>
                <w:b w:val="0"/>
                <w:bCs/>
                <w:color w:val="auto"/>
                <w:sz w:val="21"/>
                <w:szCs w:val="21"/>
                <w:highlight w:val="none"/>
                <w:lang w:val="en-US" w:eastAsia="zh-CN"/>
              </w:rPr>
              <w:t>70</w:t>
            </w:r>
            <w:r>
              <w:rPr>
                <w:rFonts w:hint="eastAsia" w:asciiTheme="majorEastAsia" w:hAnsiTheme="majorEastAsia" w:eastAsiaTheme="majorEastAsia" w:cstheme="majorEastAsia"/>
                <w:b w:val="0"/>
                <w:bCs/>
                <w:color w:val="auto"/>
                <w:sz w:val="21"/>
                <w:szCs w:val="21"/>
                <w:highlight w:val="none"/>
              </w:rPr>
              <w:t>页，招标项目采购需求</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rPr>
              <w:t>实训室教学氛围打造</w:t>
            </w:r>
            <w:r>
              <w:rPr>
                <w:rFonts w:hint="eastAsia" w:asciiTheme="majorEastAsia" w:hAnsiTheme="majorEastAsia" w:eastAsiaTheme="majorEastAsia" w:cstheme="majorEastAsia"/>
                <w:b w:val="0"/>
                <w:bCs/>
                <w:color w:val="auto"/>
                <w:sz w:val="21"/>
                <w:szCs w:val="21"/>
                <w:highlight w:val="none"/>
                <w:lang w:eastAsia="zh-CN"/>
              </w:rPr>
              <w:t>”</w:t>
            </w:r>
          </w:p>
        </w:tc>
        <w:tc>
          <w:tcPr>
            <w:tcW w:w="3234" w:type="dxa"/>
            <w:noWrap w:val="0"/>
            <w:vAlign w:val="top"/>
          </w:tcPr>
          <w:p w14:paraId="3EB86465">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一、契合现代简约科技风格的主题元素</w:t>
            </w:r>
          </w:p>
          <w:p w14:paraId="02452B47">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1、满足实训室正常教学功能需求，提高实训室使用效率和便利；</w:t>
            </w:r>
          </w:p>
          <w:p w14:paraId="1E34AF9E">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2、提升实训室整体形象，增强实训教室的吸引力；</w:t>
            </w:r>
          </w:p>
          <w:p w14:paraId="5D67508F">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3、节约能源，降低运营成本。</w:t>
            </w:r>
          </w:p>
          <w:p w14:paraId="4C7DD3E7">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二、实训室改造装修</w:t>
            </w:r>
          </w:p>
          <w:p w14:paraId="7DF47B7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1、地面：预埋新线管、恢复地面平整及美化。</w:t>
            </w:r>
          </w:p>
          <w:p w14:paraId="34A9F033">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2、墙面：铲除旧有墙面装饰，按设计要求开槽并预埋新线管，根据主题风格采用优质护墙板等环保材料重新装饰墙面。</w:t>
            </w:r>
          </w:p>
          <w:p w14:paraId="7DB47503">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3、天花板：平整后喷涂环保底色漆面，更换新式护眼照明设备，采用环保、防火、易清洁的材料重新制作主题元素吊顶，满足实训教学整体美观、敞亮、实用的需求。</w:t>
            </w:r>
          </w:p>
        </w:tc>
        <w:tc>
          <w:tcPr>
            <w:tcW w:w="3475" w:type="dxa"/>
            <w:noWrap w:val="0"/>
            <w:vAlign w:val="top"/>
          </w:tcPr>
          <w:p w14:paraId="338AD399">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一、实训教室面积：65.86㎡。</w:t>
            </w:r>
          </w:p>
          <w:p w14:paraId="083DB6A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二、现场尺寸（单位：米） 长：8.90，宽：7.40，高度：3.40。</w:t>
            </w:r>
          </w:p>
          <w:p w14:paraId="17E0C35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三、地面改造</w:t>
            </w:r>
          </w:p>
          <w:p w14:paraId="585D4F4A">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1、清除旧有地板胶。</w:t>
            </w:r>
          </w:p>
          <w:p w14:paraId="4F67306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2、地面采用聚氨酯防水涂料，达到GB 50108-2008《地下工程防水技术规范》二级防水标准。</w:t>
            </w:r>
          </w:p>
          <w:p w14:paraId="47D0868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3、原有地面线管（总长≤260米）做地下隐藏处理，地面开槽深度不小于5cm，完成后做水泥自流平找平。</w:t>
            </w:r>
          </w:p>
          <w:p w14:paraId="4058AE4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4、铺设厚度≥2mm的PVC塑胶地板，颜色为浅灰色，符合GB/T 18102-2020《浸渍纸层压木质地板》E0级环保标准。</w:t>
            </w:r>
          </w:p>
          <w:p w14:paraId="7AF8491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四、墙面处理</w:t>
            </w:r>
          </w:p>
          <w:p w14:paraId="68F66BC1">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1、铲除旧有墙面装饰。</w:t>
            </w:r>
          </w:p>
          <w:p w14:paraId="6E9F051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2、根据实训室设备布局图开槽，预埋φ20PVC线管，每米线管穿线数量不超过3根，开槽处采用水泥砂浆抹平后再安装护墙板。</w:t>
            </w:r>
          </w:p>
          <w:p w14:paraId="343B9DA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3、采用竹木纤维集成护墙板，厚度≥12mm，甲醛释放量≤0.05mg/m³（符合GB 18580-2017标准），颜色为米白色，搭配浅灰色金属线条收边。</w:t>
            </w:r>
          </w:p>
          <w:p w14:paraId="35DF013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五、天花板处理</w:t>
            </w:r>
          </w:p>
          <w:p w14:paraId="4FE0DE3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1、拆除旧有铝扣板吊顶。</w:t>
            </w:r>
          </w:p>
          <w:p w14:paraId="17D1AA03">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2、采用铝方通吊顶，材质为铝合金，厚度≥0.8mm，防火等级达到GB 8624-2012 B1级，颜色为白色，搭配嵌入式线性灯勾勒科技感线条。</w:t>
            </w:r>
          </w:p>
          <w:p w14:paraId="14DF1F40">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3、安装LED平板灯，色温4000K，照度≥300lx，无频闪（符合GB/T 9473-2022《读写作业台灯性能要求》），灯具间距≤1.5m。</w:t>
            </w:r>
          </w:p>
          <w:p w14:paraId="6F7A8865">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五、氛围装饰</w:t>
            </w:r>
          </w:p>
          <w:p w14:paraId="1DCA4BB6">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1、党群建设：制作党建主题挂画2幅，尺寸为120cm×80cm，采用实木画框，安装于实训室入口两侧墙面。</w:t>
            </w:r>
          </w:p>
          <w:p w14:paraId="5295701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2、学校文化：设计PVC装饰挂画1组，根据完工后现场布置需要配备，总幅面≤4㎡，内容包含校徽、校训、办学理念，采用5mm厚UV打印PVC板。</w:t>
            </w:r>
          </w:p>
          <w:p w14:paraId="5A86B5B2">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3、专业介绍：相关专业的宣传海报3幅，尺寸为80cm×120cm，采用5mm厚UV打印PVC板，粘贴于走廊墙面。</w:t>
            </w:r>
          </w:p>
          <w:p w14:paraId="652AB64D">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六、整个项目完成后对实训室地面、墙面、天花板、门窗及所有设备表面进行全面保洁，达到GB/T 19095-2019《生活垃圾分类标志》中‘清洁区’标准，无灰尘、污渍、异味。</w:t>
            </w:r>
          </w:p>
        </w:tc>
      </w:tr>
      <w:tr w14:paraId="313D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8" w:type="dxa"/>
            <w:noWrap w:val="0"/>
            <w:vAlign w:val="center"/>
          </w:tcPr>
          <w:p w14:paraId="0B3EDD4A">
            <w:pPr>
              <w:keepNext w:val="0"/>
              <w:keepLines w:val="0"/>
              <w:pageBreakBefore w:val="0"/>
              <w:widowControl w:val="0"/>
              <w:numPr>
                <w:ilvl w:val="0"/>
                <w:numId w:val="1"/>
              </w:numPr>
              <w:kinsoku/>
              <w:overflowPunct/>
              <w:topLinePunct w:val="0"/>
              <w:autoSpaceDE/>
              <w:autoSpaceDN/>
              <w:bidi w:val="0"/>
              <w:adjustRightInd/>
              <w:snapToGrid/>
              <w:spacing w:line="400" w:lineRule="exact"/>
              <w:ind w:left="425" w:leftChars="0" w:hanging="425" w:firstLineChars="0"/>
              <w:jc w:val="center"/>
              <w:textAlignment w:val="auto"/>
              <w:rPr>
                <w:rFonts w:hint="eastAsia" w:asciiTheme="majorEastAsia" w:hAnsiTheme="majorEastAsia" w:eastAsiaTheme="majorEastAsia" w:cstheme="majorEastAsia"/>
                <w:b w:val="0"/>
                <w:bCs/>
                <w:color w:val="auto"/>
                <w:sz w:val="21"/>
                <w:szCs w:val="21"/>
                <w:highlight w:val="none"/>
                <w:lang w:val="en-US" w:eastAsia="zh-CN"/>
              </w:rPr>
            </w:pPr>
          </w:p>
        </w:tc>
        <w:tc>
          <w:tcPr>
            <w:tcW w:w="1761" w:type="dxa"/>
            <w:noWrap w:val="0"/>
            <w:vAlign w:val="center"/>
          </w:tcPr>
          <w:p w14:paraId="63741EA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公开招标采购文件第</w:t>
            </w:r>
            <w:r>
              <w:rPr>
                <w:rFonts w:hint="eastAsia" w:asciiTheme="majorEastAsia" w:hAnsiTheme="majorEastAsia" w:eastAsiaTheme="majorEastAsia" w:cstheme="majorEastAsia"/>
                <w:b w:val="0"/>
                <w:bCs/>
                <w:color w:val="auto"/>
                <w:sz w:val="21"/>
                <w:szCs w:val="21"/>
                <w:highlight w:val="none"/>
                <w:lang w:val="en-US" w:eastAsia="zh-CN"/>
              </w:rPr>
              <w:t>87</w:t>
            </w:r>
            <w:r>
              <w:rPr>
                <w:rFonts w:hint="eastAsia" w:asciiTheme="majorEastAsia" w:hAnsiTheme="majorEastAsia" w:eastAsiaTheme="majorEastAsia" w:cstheme="majorEastAsia"/>
                <w:b w:val="0"/>
                <w:bCs/>
                <w:color w:val="auto"/>
                <w:sz w:val="21"/>
                <w:szCs w:val="21"/>
                <w:highlight w:val="none"/>
              </w:rPr>
              <w:t>页，招标项目采购需求</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rPr>
              <w:t>现场勘察</w:t>
            </w:r>
            <w:r>
              <w:rPr>
                <w:rFonts w:hint="eastAsia" w:asciiTheme="majorEastAsia" w:hAnsiTheme="majorEastAsia" w:eastAsiaTheme="majorEastAsia" w:cstheme="majorEastAsia"/>
                <w:b w:val="0"/>
                <w:bCs/>
                <w:color w:val="auto"/>
                <w:sz w:val="21"/>
                <w:szCs w:val="21"/>
                <w:highlight w:val="none"/>
                <w:lang w:eastAsia="zh-CN"/>
              </w:rPr>
              <w:t>”</w:t>
            </w:r>
          </w:p>
        </w:tc>
        <w:tc>
          <w:tcPr>
            <w:tcW w:w="3234" w:type="dxa"/>
            <w:noWrap w:val="0"/>
            <w:vAlign w:val="top"/>
          </w:tcPr>
          <w:p w14:paraId="50158FA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为保证投标人能够充分了解采购人的实际需求，本项目组织统一现场勘查，投标人可根据自身情况决定是否前往勘察，如因投标人未进行现场勘察而导致报价失误的后果自负。现场勘查时间统一为2026年1月12日早上9时-11时，勘察地点：广西-东盟经济技术开发区教育路7号；联系人：覃老师，联系电话：18260855448。</w:t>
            </w:r>
          </w:p>
        </w:tc>
        <w:tc>
          <w:tcPr>
            <w:tcW w:w="3475" w:type="dxa"/>
            <w:noWrap w:val="0"/>
            <w:vAlign w:val="top"/>
          </w:tcPr>
          <w:p w14:paraId="5DC73537">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为保证投标人能够充分了解采购人的实际需求，本项目组织统一现场勘查，投标人可根据自身情况决定是否前往勘察，如因投标人未进行现场勘察而导致报价失误的后果自负。现场勘查时间统一为2026年1月30日早上9时-11时，勘察地点：广西-东盟经济技术开发区教育路7号；联系人：覃老师，联系电话：18260855448。</w:t>
            </w:r>
          </w:p>
        </w:tc>
      </w:tr>
      <w:tr w14:paraId="086E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8" w:type="dxa"/>
            <w:noWrap w:val="0"/>
            <w:vAlign w:val="center"/>
          </w:tcPr>
          <w:p w14:paraId="76FEBB93">
            <w:pPr>
              <w:keepNext w:val="0"/>
              <w:keepLines w:val="0"/>
              <w:pageBreakBefore w:val="0"/>
              <w:widowControl w:val="0"/>
              <w:numPr>
                <w:ilvl w:val="0"/>
                <w:numId w:val="1"/>
              </w:numPr>
              <w:kinsoku/>
              <w:overflowPunct/>
              <w:topLinePunct w:val="0"/>
              <w:autoSpaceDE/>
              <w:autoSpaceDN/>
              <w:bidi w:val="0"/>
              <w:adjustRightInd/>
              <w:snapToGrid/>
              <w:spacing w:line="400" w:lineRule="exact"/>
              <w:ind w:left="425" w:leftChars="0" w:hanging="425" w:firstLineChars="0"/>
              <w:jc w:val="center"/>
              <w:textAlignment w:val="auto"/>
              <w:rPr>
                <w:rFonts w:hint="eastAsia" w:asciiTheme="majorEastAsia" w:hAnsiTheme="majorEastAsia" w:eastAsiaTheme="majorEastAsia" w:cstheme="majorEastAsia"/>
                <w:b w:val="0"/>
                <w:bCs/>
                <w:color w:val="auto"/>
                <w:sz w:val="21"/>
                <w:szCs w:val="21"/>
                <w:highlight w:val="none"/>
                <w:lang w:val="en-US" w:eastAsia="zh-CN"/>
              </w:rPr>
            </w:pPr>
          </w:p>
        </w:tc>
        <w:tc>
          <w:tcPr>
            <w:tcW w:w="1761" w:type="dxa"/>
            <w:noWrap w:val="0"/>
            <w:vAlign w:val="center"/>
          </w:tcPr>
          <w:p w14:paraId="3F4D4A6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公开招标采购文件第</w:t>
            </w:r>
            <w:r>
              <w:rPr>
                <w:rFonts w:hint="eastAsia" w:asciiTheme="majorEastAsia" w:hAnsiTheme="majorEastAsia" w:eastAsiaTheme="majorEastAsia" w:cstheme="majorEastAsia"/>
                <w:b w:val="0"/>
                <w:bCs/>
                <w:color w:val="auto"/>
                <w:sz w:val="21"/>
                <w:szCs w:val="21"/>
                <w:highlight w:val="none"/>
                <w:lang w:val="en-US" w:eastAsia="zh-CN"/>
              </w:rPr>
              <w:t>110</w:t>
            </w:r>
            <w:r>
              <w:rPr>
                <w:rFonts w:hint="eastAsia" w:asciiTheme="majorEastAsia" w:hAnsiTheme="majorEastAsia" w:eastAsiaTheme="majorEastAsia" w:cstheme="majorEastAsia"/>
                <w:b w:val="0"/>
                <w:bCs/>
                <w:color w:val="auto"/>
                <w:sz w:val="21"/>
                <w:szCs w:val="21"/>
                <w:highlight w:val="none"/>
              </w:rPr>
              <w:t>页，  招标项目评标方法及评分标准</w:t>
            </w:r>
            <w:r>
              <w:rPr>
                <w:rFonts w:hint="eastAsia" w:asciiTheme="majorEastAsia" w:hAnsiTheme="majorEastAsia" w:eastAsiaTheme="majorEastAsia" w:cstheme="majorEastAsia"/>
                <w:b w:val="0"/>
                <w:bCs/>
                <w:color w:val="auto"/>
                <w:sz w:val="21"/>
                <w:szCs w:val="21"/>
                <w:highlight w:val="none"/>
                <w:lang w:eastAsia="zh-CN"/>
              </w:rPr>
              <w:t>“技术分”</w:t>
            </w:r>
          </w:p>
        </w:tc>
        <w:tc>
          <w:tcPr>
            <w:tcW w:w="3234" w:type="dxa"/>
            <w:noWrap w:val="0"/>
            <w:vAlign w:val="top"/>
          </w:tcPr>
          <w:p w14:paraId="318D4699">
            <w:pPr>
              <w:keepNext w:val="0"/>
              <w:keepLines w:val="0"/>
              <w:pageBreakBefore w:val="0"/>
              <w:widowControl w:val="0"/>
              <w:numPr>
                <w:ilvl w:val="0"/>
                <w:numId w:val="2"/>
              </w:numPr>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基本分（满分10分）</w:t>
            </w:r>
          </w:p>
          <w:p w14:paraId="26178326">
            <w:pPr>
              <w:keepNext w:val="0"/>
              <w:keepLines w:val="0"/>
              <w:pageBreakBefore w:val="0"/>
              <w:widowControl w:val="0"/>
              <w:numPr>
                <w:ilvl w:val="0"/>
                <w:numId w:val="0"/>
              </w:numPr>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技术参数中未标▲项、标●项的条款完全满足采购文件要求得基本分10分。</w:t>
            </w:r>
          </w:p>
        </w:tc>
        <w:tc>
          <w:tcPr>
            <w:tcW w:w="3475" w:type="dxa"/>
            <w:noWrap w:val="0"/>
            <w:vAlign w:val="top"/>
          </w:tcPr>
          <w:p w14:paraId="3B0F673C">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（1）基本分（满分10分）</w:t>
            </w:r>
          </w:p>
          <w:p w14:paraId="0FAED9E9">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技术参数中未标▲项、未标●项的一般性技术条款完全满足采购文件要求得基本分10分。</w:t>
            </w:r>
          </w:p>
        </w:tc>
      </w:tr>
      <w:tr w14:paraId="41D7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8" w:type="dxa"/>
            <w:noWrap w:val="0"/>
            <w:vAlign w:val="center"/>
          </w:tcPr>
          <w:p w14:paraId="08869E3C">
            <w:pPr>
              <w:keepNext w:val="0"/>
              <w:keepLines w:val="0"/>
              <w:pageBreakBefore w:val="0"/>
              <w:widowControl w:val="0"/>
              <w:numPr>
                <w:ilvl w:val="0"/>
                <w:numId w:val="1"/>
              </w:numPr>
              <w:kinsoku/>
              <w:overflowPunct/>
              <w:topLinePunct w:val="0"/>
              <w:autoSpaceDE/>
              <w:autoSpaceDN/>
              <w:bidi w:val="0"/>
              <w:adjustRightInd/>
              <w:snapToGrid/>
              <w:spacing w:line="400" w:lineRule="exact"/>
              <w:ind w:left="425" w:leftChars="0" w:hanging="425" w:firstLineChars="0"/>
              <w:jc w:val="center"/>
              <w:textAlignment w:val="auto"/>
              <w:rPr>
                <w:rFonts w:hint="eastAsia" w:asciiTheme="majorEastAsia" w:hAnsiTheme="majorEastAsia" w:eastAsiaTheme="majorEastAsia" w:cstheme="majorEastAsia"/>
                <w:b w:val="0"/>
                <w:bCs/>
                <w:color w:val="auto"/>
                <w:sz w:val="21"/>
                <w:szCs w:val="21"/>
                <w:highlight w:val="none"/>
                <w:lang w:val="en-US" w:eastAsia="zh-CN"/>
              </w:rPr>
            </w:pPr>
          </w:p>
        </w:tc>
        <w:tc>
          <w:tcPr>
            <w:tcW w:w="1761" w:type="dxa"/>
            <w:noWrap w:val="0"/>
            <w:vAlign w:val="center"/>
          </w:tcPr>
          <w:p w14:paraId="71687B0E">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公开招标采购文件第</w:t>
            </w:r>
            <w:r>
              <w:rPr>
                <w:rFonts w:hint="eastAsia" w:asciiTheme="majorEastAsia" w:hAnsiTheme="majorEastAsia" w:eastAsiaTheme="majorEastAsia" w:cstheme="majorEastAsia"/>
                <w:b w:val="0"/>
                <w:bCs/>
                <w:color w:val="auto"/>
                <w:sz w:val="21"/>
                <w:szCs w:val="21"/>
                <w:highlight w:val="none"/>
                <w:lang w:val="en-US" w:eastAsia="zh-CN"/>
              </w:rPr>
              <w:t>110</w:t>
            </w:r>
            <w:r>
              <w:rPr>
                <w:rFonts w:hint="eastAsia" w:asciiTheme="majorEastAsia" w:hAnsiTheme="majorEastAsia" w:eastAsiaTheme="majorEastAsia" w:cstheme="majorEastAsia"/>
                <w:b w:val="0"/>
                <w:bCs/>
                <w:color w:val="auto"/>
                <w:sz w:val="21"/>
                <w:szCs w:val="21"/>
                <w:highlight w:val="none"/>
              </w:rPr>
              <w:t>页，  招标项目评标方法及评分标准</w:t>
            </w:r>
            <w:r>
              <w:rPr>
                <w:rFonts w:hint="eastAsia" w:asciiTheme="majorEastAsia" w:hAnsiTheme="majorEastAsia" w:eastAsiaTheme="majorEastAsia" w:cstheme="majorEastAsia"/>
                <w:b w:val="0"/>
                <w:bCs/>
                <w:color w:val="auto"/>
                <w:sz w:val="21"/>
                <w:szCs w:val="21"/>
                <w:highlight w:val="none"/>
                <w:lang w:eastAsia="zh-CN"/>
              </w:rPr>
              <w:t>“技术分”</w:t>
            </w:r>
          </w:p>
        </w:tc>
        <w:tc>
          <w:tcPr>
            <w:tcW w:w="3234" w:type="dxa"/>
            <w:noWrap w:val="0"/>
            <w:vAlign w:val="top"/>
          </w:tcPr>
          <w:p w14:paraId="6DB4C4D7">
            <w:pPr>
              <w:keepNext w:val="0"/>
              <w:keepLines w:val="0"/>
              <w:pageBreakBefore w:val="0"/>
              <w:widowControl w:val="0"/>
              <w:numPr>
                <w:ilvl w:val="0"/>
                <w:numId w:val="2"/>
              </w:numPr>
              <w:kinsoku/>
              <w:overflowPunct/>
              <w:topLinePunct w:val="0"/>
              <w:autoSpaceDE/>
              <w:autoSpaceDN/>
              <w:bidi w:val="0"/>
              <w:adjustRightInd/>
              <w:snapToGrid/>
              <w:spacing w:line="400" w:lineRule="exact"/>
              <w:ind w:left="0" w:leftChars="0" w:firstLine="0" w:firstLineChars="0"/>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项目实施方案（满分20分）</w:t>
            </w:r>
          </w:p>
          <w:p w14:paraId="4982FC12">
            <w:pPr>
              <w:keepNext w:val="0"/>
              <w:keepLines w:val="0"/>
              <w:pageBreakBefore w:val="0"/>
              <w:widowControl w:val="0"/>
              <w:numPr>
                <w:ilvl w:val="0"/>
                <w:numId w:val="0"/>
              </w:numPr>
              <w:kinsoku/>
              <w:overflowPunct/>
              <w:topLinePunct w:val="0"/>
              <w:autoSpaceDE/>
              <w:autoSpaceDN/>
              <w:bidi w:val="0"/>
              <w:adjustRightInd/>
              <w:snapToGrid/>
              <w:spacing w:line="400" w:lineRule="exact"/>
              <w:ind w:leftChars="0"/>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一档（10分）：提供的项目实施方案基本可行，对项目概况、实施内容、实施计划等有所描述，项目人员配备简单，劳动力安排保证措施基本可行，服务质量保障措施基本满足采购文件要求。</w:t>
            </w:r>
          </w:p>
          <w:p w14:paraId="33518499">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 xml:space="preserve">二档（15分）：提供的服务方案较为完整，可行性较高，有简单人员组织架构，项目人员配备比较齐全，劳动力安排保证措施合理、可行，售后等人员配置科学、合理，较好的满足本项目采购需求，能保证项目顺利推进，服务质量保障措施能够满足采购文件的要求。 </w:t>
            </w:r>
          </w:p>
          <w:p w14:paraId="59BB951A">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三档（20分）：提供服务方案完整详实，科学合理、可行性高，涵盖项目背景理解、执行目标、核心技术路径、分阶段实施计划，方案项目适配性高，能够提供详细的人员组织架构，项目人员配备充足且人员不少于3人包含项目经理1人、科学、合理，劳动力安排保证措施有针对性；团队整体匹配度高、人员配置可操作性强，且有应急预案，能很好的满足本项目采购需求；对项目实施保障措施完善，有增值内容或产品质量优于用户实际需求，服务质量保障措施周密完善优于采购需求。</w:t>
            </w:r>
          </w:p>
          <w:p w14:paraId="38F697C4">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备注：未提供本项内容或不满足一档要求的，得0分。</w:t>
            </w:r>
          </w:p>
        </w:tc>
        <w:tc>
          <w:tcPr>
            <w:tcW w:w="3475" w:type="dxa"/>
            <w:noWrap w:val="0"/>
            <w:vAlign w:val="top"/>
          </w:tcPr>
          <w:p w14:paraId="7A3281AD">
            <w:pPr>
              <w:keepNext w:val="0"/>
              <w:keepLines w:val="0"/>
              <w:pageBreakBefore w:val="0"/>
              <w:widowControl w:val="0"/>
              <w:numPr>
                <w:ilvl w:val="0"/>
                <w:numId w:val="3"/>
              </w:numPr>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项目实施方案（满分20分）</w:t>
            </w:r>
          </w:p>
          <w:p w14:paraId="4FE8C5F6">
            <w:pPr>
              <w:keepNext w:val="0"/>
              <w:keepLines w:val="0"/>
              <w:pageBreakBefore w:val="0"/>
              <w:widowControl w:val="0"/>
              <w:numPr>
                <w:ilvl w:val="0"/>
                <w:numId w:val="0"/>
              </w:numPr>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一档（10分）：提供的项目实施方案包含人员配置方案、供配送方案保证措施2项内容，且针对本项目有具体措施和计划。</w:t>
            </w:r>
          </w:p>
          <w:p w14:paraId="1F28A4B6">
            <w:pPr>
              <w:keepNext w:val="0"/>
              <w:keepLines w:val="0"/>
              <w:pageBreakBefore w:val="0"/>
              <w:widowControl w:val="0"/>
              <w:numPr>
                <w:ilvl w:val="0"/>
                <w:numId w:val="0"/>
              </w:numPr>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二档（15分）：在一档的基础上，提供的项目实施方案包含人员配置方案（</w:t>
            </w:r>
            <w:r>
              <w:rPr>
                <w:rFonts w:hint="eastAsia" w:asciiTheme="majorEastAsia" w:hAnsiTheme="majorEastAsia" w:eastAsiaTheme="majorEastAsia" w:cstheme="majorEastAsia"/>
                <w:b w:val="0"/>
                <w:bCs/>
                <w:color w:val="auto"/>
                <w:sz w:val="21"/>
                <w:szCs w:val="21"/>
                <w:highlight w:val="none"/>
              </w:rPr>
              <w:t>项目</w:t>
            </w:r>
            <w:r>
              <w:rPr>
                <w:rFonts w:hint="eastAsia" w:asciiTheme="majorEastAsia" w:hAnsiTheme="majorEastAsia" w:eastAsiaTheme="majorEastAsia" w:cstheme="majorEastAsia"/>
                <w:b w:val="0"/>
                <w:bCs/>
                <w:color w:val="auto"/>
                <w:sz w:val="21"/>
                <w:szCs w:val="21"/>
                <w:highlight w:val="none"/>
                <w:lang w:val="en-US" w:eastAsia="zh-CN"/>
              </w:rPr>
              <w:t>实施</w:t>
            </w:r>
            <w:r>
              <w:rPr>
                <w:rFonts w:hint="eastAsia" w:asciiTheme="majorEastAsia" w:hAnsiTheme="majorEastAsia" w:eastAsiaTheme="majorEastAsia" w:cstheme="majorEastAsia"/>
                <w:b w:val="0"/>
                <w:bCs/>
                <w:color w:val="auto"/>
                <w:sz w:val="21"/>
                <w:szCs w:val="21"/>
                <w:highlight w:val="none"/>
              </w:rPr>
              <w:t>人员配备不少于</w:t>
            </w:r>
            <w:r>
              <w:rPr>
                <w:rFonts w:hint="eastAsia" w:asciiTheme="majorEastAsia" w:hAnsiTheme="majorEastAsia" w:eastAsiaTheme="majorEastAsia" w:cstheme="majorEastAsia"/>
                <w:b w:val="0"/>
                <w:bCs/>
                <w:color w:val="auto"/>
                <w:sz w:val="21"/>
                <w:szCs w:val="21"/>
                <w:highlight w:val="none"/>
                <w:lang w:val="en-US" w:eastAsia="zh-CN"/>
              </w:rPr>
              <w:t>2</w:t>
            </w:r>
            <w:r>
              <w:rPr>
                <w:rFonts w:hint="eastAsia" w:asciiTheme="majorEastAsia" w:hAnsiTheme="majorEastAsia" w:eastAsiaTheme="majorEastAsia" w:cstheme="majorEastAsia"/>
                <w:b w:val="0"/>
                <w:bCs/>
                <w:color w:val="auto"/>
                <w:sz w:val="21"/>
                <w:szCs w:val="21"/>
                <w:highlight w:val="none"/>
              </w:rPr>
              <w:t>人</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其中</w:t>
            </w:r>
            <w:r>
              <w:rPr>
                <w:rFonts w:hint="eastAsia" w:asciiTheme="majorEastAsia" w:hAnsiTheme="majorEastAsia" w:eastAsiaTheme="majorEastAsia" w:cstheme="majorEastAsia"/>
                <w:b w:val="0"/>
                <w:bCs/>
                <w:color w:val="auto"/>
                <w:sz w:val="21"/>
                <w:szCs w:val="21"/>
                <w:highlight w:val="none"/>
              </w:rPr>
              <w:t>包含项目经理1人</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、供配送方案（指定收货对接人，明确现场卸货配合机制）、核心技术路径（列出“现场勘测→设备就位→管线铺设→调试核验”等完整流程）、质量保障承诺（承诺故障响应时间≤1</w:t>
            </w:r>
            <w:r>
              <w:rPr>
                <w:rFonts w:hint="eastAsia" w:asciiTheme="majorEastAsia" w:hAnsiTheme="majorEastAsia" w:eastAsiaTheme="majorEastAsia" w:cstheme="majorEastAsia"/>
                <w:b w:val="0"/>
                <w:bCs/>
                <w:color w:val="auto"/>
                <w:sz w:val="21"/>
                <w:szCs w:val="21"/>
                <w:highlight w:val="none"/>
                <w:lang w:val="en-US" w:eastAsia="zh-CN"/>
              </w:rPr>
              <w:t>小时，南宁市内上门时间≤4</w:t>
            </w:r>
            <w:r>
              <w:rPr>
                <w:rFonts w:hint="eastAsia" w:asciiTheme="majorEastAsia" w:hAnsiTheme="majorEastAsia" w:eastAsiaTheme="majorEastAsia" w:cstheme="majorEastAsia"/>
                <w:b w:val="0"/>
                <w:bCs/>
                <w:color w:val="auto"/>
                <w:sz w:val="21"/>
                <w:szCs w:val="21"/>
                <w:highlight w:val="none"/>
                <w:lang w:val="en-US" w:eastAsia="zh-CN"/>
              </w:rPr>
              <w:t>小时）等，且针对本项目有具体措施和计划有以上4项内容。</w:t>
            </w:r>
          </w:p>
          <w:p w14:paraId="75EE639E">
            <w:pPr>
              <w:keepNext w:val="0"/>
              <w:keepLines w:val="0"/>
              <w:pageBreakBefore w:val="0"/>
              <w:widowControl w:val="0"/>
              <w:numPr>
                <w:ilvl w:val="0"/>
                <w:numId w:val="0"/>
              </w:numPr>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三档（20分）：在二档的基础上，提供的项目实施方案包含人员配置方案（</w:t>
            </w:r>
            <w:r>
              <w:rPr>
                <w:rFonts w:hint="eastAsia" w:asciiTheme="majorEastAsia" w:hAnsiTheme="majorEastAsia" w:eastAsiaTheme="majorEastAsia" w:cstheme="majorEastAsia"/>
                <w:b w:val="0"/>
                <w:bCs/>
                <w:color w:val="auto"/>
                <w:sz w:val="21"/>
                <w:szCs w:val="21"/>
                <w:highlight w:val="none"/>
              </w:rPr>
              <w:t>项目</w:t>
            </w:r>
            <w:r>
              <w:rPr>
                <w:rFonts w:hint="eastAsia" w:asciiTheme="majorEastAsia" w:hAnsiTheme="majorEastAsia" w:eastAsiaTheme="majorEastAsia" w:cstheme="majorEastAsia"/>
                <w:b w:val="0"/>
                <w:bCs/>
                <w:color w:val="auto"/>
                <w:sz w:val="21"/>
                <w:szCs w:val="21"/>
                <w:highlight w:val="none"/>
                <w:lang w:val="en-US" w:eastAsia="zh-CN"/>
              </w:rPr>
              <w:t>实施</w:t>
            </w:r>
            <w:r>
              <w:rPr>
                <w:rFonts w:hint="eastAsia" w:asciiTheme="majorEastAsia" w:hAnsiTheme="majorEastAsia" w:eastAsiaTheme="majorEastAsia" w:cstheme="majorEastAsia"/>
                <w:b w:val="0"/>
                <w:bCs/>
                <w:color w:val="auto"/>
                <w:sz w:val="21"/>
                <w:szCs w:val="21"/>
                <w:highlight w:val="none"/>
              </w:rPr>
              <w:t>人员配备不少于3人</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其中</w:t>
            </w:r>
            <w:r>
              <w:rPr>
                <w:rFonts w:hint="eastAsia" w:asciiTheme="majorEastAsia" w:hAnsiTheme="majorEastAsia" w:eastAsiaTheme="majorEastAsia" w:cstheme="majorEastAsia"/>
                <w:b w:val="0"/>
                <w:bCs/>
                <w:color w:val="auto"/>
                <w:sz w:val="21"/>
                <w:szCs w:val="21"/>
                <w:highlight w:val="none"/>
              </w:rPr>
              <w:t>包含项目经理1人</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供配送方案（针对设备制定进场通道协调、设备拆解重组预案）、核心技术路径（印刷设备套印精度校准）、质量保障承诺（承诺提供同类型备用设备，南宁市内应急响应≤1小时）、优惠供应方案（实训耗材折扣≥5%）、整体实施规划（分“前期对接→配送安装→调试验收→培训交付→售后巡检”5个阶段，明确每个阶段时间节点及交付成果）等，且针对本项目的具体措施和计划有以上6项内容。</w:t>
            </w:r>
          </w:p>
        </w:tc>
      </w:tr>
      <w:tr w14:paraId="1A04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8" w:type="dxa"/>
            <w:noWrap w:val="0"/>
            <w:vAlign w:val="center"/>
          </w:tcPr>
          <w:p w14:paraId="50CA1493">
            <w:pPr>
              <w:keepNext w:val="0"/>
              <w:keepLines w:val="0"/>
              <w:pageBreakBefore w:val="0"/>
              <w:widowControl w:val="0"/>
              <w:numPr>
                <w:ilvl w:val="0"/>
                <w:numId w:val="1"/>
              </w:numPr>
              <w:kinsoku/>
              <w:overflowPunct/>
              <w:topLinePunct w:val="0"/>
              <w:autoSpaceDE/>
              <w:autoSpaceDN/>
              <w:bidi w:val="0"/>
              <w:adjustRightInd/>
              <w:snapToGrid/>
              <w:spacing w:line="400" w:lineRule="exact"/>
              <w:ind w:left="425" w:leftChars="0" w:hanging="425" w:firstLineChars="0"/>
              <w:jc w:val="center"/>
              <w:textAlignment w:val="auto"/>
              <w:rPr>
                <w:rFonts w:hint="eastAsia" w:asciiTheme="majorEastAsia" w:hAnsiTheme="majorEastAsia" w:eastAsiaTheme="majorEastAsia" w:cstheme="majorEastAsia"/>
                <w:b w:val="0"/>
                <w:bCs/>
                <w:color w:val="auto"/>
                <w:sz w:val="21"/>
                <w:szCs w:val="21"/>
                <w:highlight w:val="none"/>
                <w:lang w:val="en-US" w:eastAsia="zh-CN"/>
              </w:rPr>
            </w:pPr>
          </w:p>
        </w:tc>
        <w:tc>
          <w:tcPr>
            <w:tcW w:w="1761" w:type="dxa"/>
            <w:noWrap w:val="0"/>
            <w:vAlign w:val="center"/>
          </w:tcPr>
          <w:p w14:paraId="3B4EE1E1">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公开招标采购文件第</w:t>
            </w:r>
            <w:r>
              <w:rPr>
                <w:rFonts w:hint="eastAsia" w:asciiTheme="majorEastAsia" w:hAnsiTheme="majorEastAsia" w:eastAsiaTheme="majorEastAsia" w:cstheme="majorEastAsia"/>
                <w:b w:val="0"/>
                <w:bCs/>
                <w:color w:val="auto"/>
                <w:sz w:val="21"/>
                <w:szCs w:val="21"/>
                <w:highlight w:val="none"/>
                <w:lang w:val="en-US" w:eastAsia="zh-CN"/>
              </w:rPr>
              <w:t>110</w:t>
            </w:r>
            <w:r>
              <w:rPr>
                <w:rFonts w:hint="eastAsia" w:asciiTheme="majorEastAsia" w:hAnsiTheme="majorEastAsia" w:eastAsiaTheme="majorEastAsia" w:cstheme="majorEastAsia"/>
                <w:b w:val="0"/>
                <w:bCs/>
                <w:color w:val="auto"/>
                <w:sz w:val="21"/>
                <w:szCs w:val="21"/>
                <w:highlight w:val="none"/>
              </w:rPr>
              <w:t>页，  招标项目评标方法及评分标准</w:t>
            </w:r>
            <w:r>
              <w:rPr>
                <w:rFonts w:hint="eastAsia" w:asciiTheme="majorEastAsia" w:hAnsiTheme="majorEastAsia" w:eastAsiaTheme="majorEastAsia" w:cstheme="majorEastAsia"/>
                <w:b w:val="0"/>
                <w:bCs/>
                <w:color w:val="auto"/>
                <w:sz w:val="21"/>
                <w:szCs w:val="21"/>
                <w:highlight w:val="none"/>
                <w:lang w:eastAsia="zh-CN"/>
              </w:rPr>
              <w:t>“技术分”</w:t>
            </w:r>
          </w:p>
        </w:tc>
        <w:tc>
          <w:tcPr>
            <w:tcW w:w="3234" w:type="dxa"/>
            <w:noWrap w:val="0"/>
            <w:vAlign w:val="top"/>
          </w:tcPr>
          <w:p w14:paraId="7247A2C6">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售后服务分（满分25分）</w:t>
            </w:r>
          </w:p>
          <w:p w14:paraId="07AE640E">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一档（10分）：完全满足招标文件售后服务要求，售后服务方案提供基本的服务承诺、服务内容、服务措施等相关内容；</w:t>
            </w:r>
          </w:p>
          <w:p w14:paraId="29A0793B">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 xml:space="preserve">二档（15分）：提供售后服务承诺，有较为详细的运行维护保障措施、工作流程、突发事件应急处置方案等相关内容，售后服务方案能明确到达故障现场时间和故障出现解决方案，措施具体、有效、科学合理的售后服务体系，能较好的满足项目需求； </w:t>
            </w:r>
          </w:p>
          <w:p w14:paraId="7A13F9E8">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三档（25分）：售后服务方案从项目实际情况出发，在满足二档的基础上，能明确定期维护时间、免费技术培训方案、免费保修期 (免费软件升级期) 外维修方案、本地化售后服务措施等内容；售后服务团队分工明确、人员服务配置合理 ，有良好的本地化服务能力，有利于采购人的优化服务措施且被评标委员会接受的。</w:t>
            </w:r>
          </w:p>
          <w:p w14:paraId="2109579C">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备注：未提供本项内容或不满足一档要求的，得0分。</w:t>
            </w:r>
          </w:p>
        </w:tc>
        <w:tc>
          <w:tcPr>
            <w:tcW w:w="3475" w:type="dxa"/>
            <w:noWrap w:val="0"/>
            <w:vAlign w:val="top"/>
          </w:tcPr>
          <w:p w14:paraId="3D63CD14">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售后服务分（满分25分）</w:t>
            </w:r>
          </w:p>
          <w:p w14:paraId="2C6A311C">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一档（10分）：完全满足招标文件售后服务要求，售后服务方案提供基本的服务承诺（明确实训设备质保期内免费维修、原厂零配件更换承诺）、服务内容（覆盖设备安装调试后的首次巡检、常规故障排查、操作指导等基础服务）、服务措施（承诺售后工作日1小时内响应故障报修，4小时内上门处理（市区范围内）等相关内容；</w:t>
            </w:r>
          </w:p>
          <w:p w14:paraId="513A1379">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二档（18分）：在一档的基础上，提供针对本项目的售后服务承诺，运行维护保障措施（制定年度检查、部件紧固的日常维护标准）、工作流程（建立与采购人对接机制，明确报修申请、响应派单、现场维修、验收确认的全流程闭环管理要求）、突发事件（制定设备突发故障影响实训教学的应急预案)、定期维护时间(明确每年（避开实训教学高峰期）上门进行设备深度保养，每年至少1次全面性能检测及校准；)、技术培训方案(开展实训设备指导能力培训（1次/学期）、本地化售后服务能力(具有本地化售后服务能力的团队1人）等相关内容，且针对本项目的具体措施和计划有以上6项内容。</w:t>
            </w:r>
          </w:p>
          <w:p w14:paraId="33FF286C">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三档（25分）：在二档的基础上，提供针对本项目的售后服务承诺，有运行维护保障措施（记录日常保养、故障维修、性能校准等全生命周期数据，制定“一设备一方案”的维护标准）、工作流程（开通采购人专属报修热线及微信服务号，实现报修实时跟踪、进度可视化，维修完成后3个工作日内回访满意度）、突发事件应急处置方案（制定1小时内远程排查、2小时内上门修复的分级处置流程，备用设备储备量不低于采购设备总量的10%）、定期维护时间（每年开展1次上门深度保养，每年寒假期间开展1次全面系统升级及性能检测，提前10天与采购人确认维护时间）、技术培训方案（提供教师实训指导进阶培训（2次/年，含实训课程设计、设备故障预判）；设备管理员专项培训（1次/年，含日常维护、基础故障排查））、本地化售后服务能力（具有本地化售后服务能力的团队至少2人）、合理安全的保密方案（制定数据加密、维修时信息隔离、废弃数据销毁等保密措施，与采购人签订专属保密协议，确保实训数据安全）等相关内容，且针对本项目的具体措施和计划有以上7项内容。</w:t>
            </w:r>
          </w:p>
        </w:tc>
      </w:tr>
    </w:tbl>
    <w:p w14:paraId="7A9538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rPr>
        <w:t>更正日</w:t>
      </w:r>
      <w:r>
        <w:rPr>
          <w:rFonts w:hint="eastAsia" w:ascii="宋体" w:hAnsi="宋体" w:eastAsia="宋体" w:cs="宋体"/>
          <w:color w:val="auto"/>
          <w:sz w:val="21"/>
          <w:szCs w:val="21"/>
          <w:u w:val="none"/>
        </w:rPr>
        <w:t>期：</w:t>
      </w:r>
      <w:r>
        <w:rPr>
          <w:rFonts w:hint="eastAsia" w:ascii="宋体" w:hAnsi="宋体" w:eastAsia="宋体" w:cs="宋体"/>
          <w:color w:val="auto"/>
          <w:sz w:val="21"/>
          <w:szCs w:val="21"/>
          <w:u w:val="none"/>
          <w:lang w:val="en-US" w:eastAsia="zh-CN"/>
        </w:rPr>
        <w:t>202</w:t>
      </w:r>
      <w:r>
        <w:rPr>
          <w:rFonts w:hint="eastAsia" w:ascii="宋体" w:hAnsi="宋体" w:cs="宋体"/>
          <w:color w:val="auto"/>
          <w:sz w:val="21"/>
          <w:szCs w:val="21"/>
          <w:u w:val="none"/>
          <w:lang w:val="en-US" w:eastAsia="zh-CN"/>
        </w:rPr>
        <w:t>6</w:t>
      </w:r>
      <w:r>
        <w:rPr>
          <w:rFonts w:hint="eastAsia" w:ascii="宋体" w:hAnsi="宋体" w:eastAsia="宋体" w:cs="宋体"/>
          <w:color w:val="auto"/>
          <w:sz w:val="21"/>
          <w:szCs w:val="21"/>
          <w:u w:val="none"/>
          <w:lang w:val="en-US" w:eastAsia="zh-CN"/>
        </w:rPr>
        <w:t>年</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月</w:t>
      </w:r>
      <w:r>
        <w:rPr>
          <w:rFonts w:hint="eastAsia" w:ascii="宋体" w:hAnsi="宋体" w:cs="宋体"/>
          <w:color w:val="auto"/>
          <w:sz w:val="21"/>
          <w:szCs w:val="21"/>
          <w:u w:val="none"/>
          <w:lang w:val="en-US" w:eastAsia="zh-CN"/>
        </w:rPr>
        <w:t>28</w:t>
      </w:r>
      <w:r>
        <w:rPr>
          <w:rFonts w:hint="eastAsia" w:ascii="宋体" w:hAnsi="宋体" w:eastAsia="宋体" w:cs="宋体"/>
          <w:color w:val="auto"/>
          <w:sz w:val="21"/>
          <w:szCs w:val="21"/>
          <w:u w:val="none"/>
          <w:lang w:val="en-US" w:eastAsia="zh-CN"/>
        </w:rPr>
        <w:t>日</w:t>
      </w:r>
    </w:p>
    <w:p w14:paraId="5A808D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u w:val="none"/>
        </w:rPr>
      </w:pPr>
      <w:bookmarkStart w:id="9" w:name="_Toc35393647"/>
      <w:bookmarkStart w:id="10" w:name="_Toc35393816"/>
      <w:r>
        <w:rPr>
          <w:rFonts w:hint="eastAsia" w:ascii="宋体" w:hAnsi="宋体" w:eastAsia="宋体" w:cs="宋体"/>
          <w:b/>
          <w:sz w:val="21"/>
          <w:szCs w:val="21"/>
          <w:u w:val="none"/>
        </w:rPr>
        <w:t>三、其他补充事宜</w:t>
      </w:r>
      <w:bookmarkEnd w:id="9"/>
      <w:bookmarkEnd w:id="10"/>
    </w:p>
    <w:p w14:paraId="244474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rPr>
      </w:pPr>
      <w:r>
        <w:rPr>
          <w:rFonts w:hint="eastAsia" w:ascii="宋体" w:hAnsi="宋体" w:cs="宋体"/>
          <w:sz w:val="21"/>
          <w:szCs w:val="21"/>
          <w:u w:val="none"/>
          <w:lang w:val="en-US" w:eastAsia="zh-CN"/>
        </w:rPr>
        <w:t>1、</w:t>
      </w:r>
      <w:r>
        <w:rPr>
          <w:rFonts w:hint="eastAsia" w:ascii="宋体" w:hAnsi="宋体" w:eastAsia="宋体" w:cs="宋体"/>
          <w:sz w:val="21"/>
          <w:szCs w:val="21"/>
          <w:u w:val="none"/>
        </w:rPr>
        <w:t>网上查询地址</w:t>
      </w:r>
    </w:p>
    <w:p w14:paraId="16CE8AD9">
      <w:pPr>
        <w:keepNext w:val="0"/>
        <w:keepLines w:val="0"/>
        <w:pageBreakBefore w:val="0"/>
        <w:widowControl w:val="0"/>
        <w:kinsoku/>
        <w:wordWrap/>
        <w:overflowPunct/>
        <w:topLinePunct w:val="0"/>
        <w:autoSpaceDE/>
        <w:autoSpaceDN/>
        <w:bidi w:val="0"/>
        <w:adjustRightInd/>
        <w:snapToGrid/>
        <w:spacing w:line="360" w:lineRule="auto"/>
        <w:ind w:right="-733" w:rightChars="-349"/>
        <w:textAlignment w:val="auto"/>
        <w:rPr>
          <w:rFonts w:hint="eastAsia" w:ascii="宋体" w:hAnsi="宋体" w:cs="宋体"/>
        </w:rPr>
      </w:pPr>
      <w:bookmarkStart w:id="11" w:name="_Toc28359029"/>
      <w:bookmarkStart w:id="12" w:name="_Toc28359106"/>
      <w:bookmarkStart w:id="13" w:name="_Toc35393648"/>
      <w:bookmarkStart w:id="14" w:name="_Toc35393817"/>
      <w:r>
        <w:rPr>
          <w:rFonts w:hint="eastAsia" w:ascii="宋体" w:hAnsi="宋体" w:cs="宋体"/>
        </w:rPr>
        <w:t>中国政府采购网（www.ccgp.gov.cn）、广西壮族自治区政府采购网（zfcg.gxzf.gov.cn）、广西壮族自治区公共资源交易中心网（gxggzy.gxzf.gov.cn）</w:t>
      </w:r>
    </w:p>
    <w:p w14:paraId="2D40C1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u w:val="none"/>
        </w:rPr>
      </w:pPr>
      <w:r>
        <w:rPr>
          <w:rFonts w:hint="eastAsia" w:ascii="宋体" w:hAnsi="宋体" w:eastAsia="宋体" w:cs="宋体"/>
          <w:b/>
          <w:sz w:val="21"/>
          <w:szCs w:val="21"/>
          <w:u w:val="none"/>
        </w:rPr>
        <w:t>四、凡对本次公告内容提出询问，请按以下方式联系。</w:t>
      </w:r>
      <w:bookmarkEnd w:id="11"/>
      <w:bookmarkEnd w:id="12"/>
      <w:bookmarkEnd w:id="13"/>
      <w:bookmarkEnd w:id="14"/>
    </w:p>
    <w:p w14:paraId="58B181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1.采购人信息</w:t>
      </w:r>
    </w:p>
    <w:p w14:paraId="111DD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none"/>
        </w:rPr>
      </w:pPr>
      <w:bookmarkStart w:id="15" w:name="_Toc28359009"/>
      <w:bookmarkStart w:id="16" w:name="_Toc28359086"/>
      <w:r>
        <w:rPr>
          <w:rFonts w:hint="eastAsia" w:ascii="宋体" w:hAnsi="宋体" w:eastAsia="宋体" w:cs="宋体"/>
          <w:sz w:val="21"/>
          <w:szCs w:val="21"/>
          <w:u w:val="none"/>
        </w:rPr>
        <w:t>名称：</w:t>
      </w:r>
      <w:r>
        <w:rPr>
          <w:rFonts w:hint="eastAsia" w:ascii="宋体" w:hAnsi="宋体"/>
          <w:color w:val="auto"/>
        </w:rPr>
        <w:t>广西新闻出版技工学校</w:t>
      </w:r>
      <w:r>
        <w:rPr>
          <w:rFonts w:hint="eastAsia" w:ascii="宋体" w:hAnsi="宋体" w:eastAsia="宋体" w:cs="宋体"/>
          <w:sz w:val="21"/>
          <w:szCs w:val="21"/>
          <w:u w:val="none"/>
        </w:rPr>
        <w:t xml:space="preserve"> </w:t>
      </w:r>
    </w:p>
    <w:p w14:paraId="70F11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地址：</w:t>
      </w:r>
      <w:r>
        <w:rPr>
          <w:rFonts w:hint="eastAsia" w:ascii="宋体" w:hAnsi="宋体"/>
          <w:color w:val="auto"/>
        </w:rPr>
        <w:t>南宁市北大北路24号</w:t>
      </w:r>
      <w:r>
        <w:rPr>
          <w:rFonts w:hint="eastAsia" w:ascii="宋体" w:hAnsi="宋体" w:eastAsia="宋体" w:cs="宋体"/>
          <w:sz w:val="21"/>
          <w:szCs w:val="21"/>
          <w:u w:val="none"/>
        </w:rPr>
        <w:t xml:space="preserve"> </w:t>
      </w:r>
    </w:p>
    <w:p w14:paraId="1704F6E5">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联系方式：</w:t>
      </w:r>
      <w:r>
        <w:rPr>
          <w:rFonts w:hint="eastAsia" w:ascii="宋体" w:hAnsi="宋体"/>
          <w:color w:val="auto"/>
        </w:rPr>
        <w:t>邓老师</w:t>
      </w:r>
      <w:r>
        <w:rPr>
          <w:rFonts w:hint="eastAsia" w:ascii="宋体" w:hAnsi="宋体" w:eastAsia="宋体" w:cs="宋体"/>
          <w:sz w:val="21"/>
          <w:szCs w:val="21"/>
          <w:u w:val="none"/>
        </w:rPr>
        <w:t>，</w:t>
      </w:r>
      <w:r>
        <w:rPr>
          <w:rFonts w:hint="eastAsia" w:ascii="宋体" w:hAnsi="宋体"/>
          <w:color w:val="auto"/>
        </w:rPr>
        <w:t>0771-3820806</w:t>
      </w:r>
      <w:r>
        <w:rPr>
          <w:rFonts w:hint="eastAsia" w:ascii="宋体" w:hAnsi="宋体" w:eastAsia="宋体" w:cs="宋体"/>
          <w:sz w:val="21"/>
          <w:szCs w:val="21"/>
          <w:u w:val="none"/>
        </w:rPr>
        <w:t xml:space="preserve">      </w:t>
      </w:r>
    </w:p>
    <w:p w14:paraId="6C12E462">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rPr>
        <w:t>.采购代理机构信息</w:t>
      </w:r>
      <w:bookmarkEnd w:id="15"/>
      <w:bookmarkEnd w:id="16"/>
    </w:p>
    <w:p w14:paraId="34650F01">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名称：广西国力招标有限公司</w:t>
      </w:r>
    </w:p>
    <w:p w14:paraId="424D37AE">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地址：广西南宁市白沙大道53号松宇时代13楼</w:t>
      </w:r>
    </w:p>
    <w:p w14:paraId="2733BE86">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联系方式：</w:t>
      </w:r>
      <w:bookmarkStart w:id="17" w:name="_Toc28359087"/>
      <w:bookmarkStart w:id="18" w:name="_Toc28359010"/>
      <w:r>
        <w:rPr>
          <w:rFonts w:hint="eastAsia" w:ascii="宋体" w:hAnsi="宋体" w:eastAsia="宋体" w:cs="宋体"/>
          <w:sz w:val="21"/>
          <w:szCs w:val="21"/>
          <w:u w:val="none"/>
        </w:rPr>
        <w:t>0771-4915558</w:t>
      </w:r>
    </w:p>
    <w:p w14:paraId="7B5B2C0B">
      <w:pPr>
        <w:spacing w:line="360" w:lineRule="auto"/>
        <w:ind w:firstLine="420" w:firstLineChars="200"/>
        <w:rPr>
          <w:rFonts w:hint="eastAsia" w:ascii="宋体" w:hAnsi="宋体" w:eastAsia="宋体" w:cs="宋体"/>
          <w:sz w:val="21"/>
          <w:szCs w:val="21"/>
          <w:u w:val="none"/>
        </w:rPr>
      </w:pPr>
      <w:r>
        <w:rPr>
          <w:rFonts w:hint="eastAsia" w:ascii="宋体" w:hAnsi="宋体" w:cs="宋体"/>
          <w:sz w:val="21"/>
          <w:szCs w:val="21"/>
          <w:u w:val="none"/>
          <w:lang w:val="en-US" w:eastAsia="zh-CN"/>
        </w:rPr>
        <w:t>3</w:t>
      </w:r>
      <w:r>
        <w:rPr>
          <w:rFonts w:hint="eastAsia" w:ascii="宋体" w:hAnsi="宋体" w:eastAsia="宋体" w:cs="宋体"/>
          <w:sz w:val="21"/>
          <w:szCs w:val="21"/>
          <w:u w:val="none"/>
        </w:rPr>
        <w:t>.项目联系方式</w:t>
      </w:r>
      <w:bookmarkEnd w:id="17"/>
      <w:bookmarkEnd w:id="18"/>
    </w:p>
    <w:p w14:paraId="1BCA5F3B">
      <w:pPr>
        <w:spacing w:line="360" w:lineRule="auto"/>
        <w:ind w:left="0" w:leftChars="0" w:firstLine="499" w:firstLineChars="238"/>
        <w:rPr>
          <w:rFonts w:hint="eastAsia" w:ascii="宋体" w:hAnsi="宋体" w:eastAsia="宋体" w:cs="宋体"/>
          <w:sz w:val="21"/>
          <w:szCs w:val="21"/>
          <w:u w:val="none"/>
        </w:rPr>
      </w:pPr>
      <w:r>
        <w:rPr>
          <w:rFonts w:hint="eastAsia" w:ascii="宋体" w:hAnsi="宋体" w:eastAsia="宋体" w:cs="宋体"/>
          <w:sz w:val="21"/>
          <w:szCs w:val="21"/>
          <w:u w:val="none"/>
        </w:rPr>
        <w:t>项目联系人：</w:t>
      </w:r>
      <w:r>
        <w:rPr>
          <w:rFonts w:hint="eastAsia" w:ascii="宋体" w:hAnsi="宋体"/>
          <w:color w:val="auto"/>
        </w:rPr>
        <w:t>隆丽艺、覃荟茯、李立英</w:t>
      </w:r>
      <w:r>
        <w:rPr>
          <w:rFonts w:hint="eastAsia" w:ascii="宋体" w:hAnsi="宋体" w:eastAsia="宋体" w:cs="宋体"/>
          <w:sz w:val="21"/>
          <w:szCs w:val="21"/>
          <w:u w:val="none"/>
        </w:rPr>
        <w:t>　</w:t>
      </w:r>
    </w:p>
    <w:p w14:paraId="4D664C0F">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电话：0771-4915558</w:t>
      </w:r>
    </w:p>
    <w:p w14:paraId="54FBD837">
      <w:pPr>
        <w:jc w:val="righ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广西国力招标有限公司</w:t>
      </w:r>
    </w:p>
    <w:p w14:paraId="13D74141">
      <w:pPr>
        <w:wordWrap w:val="0"/>
        <w:jc w:val="right"/>
        <w:rPr>
          <w:rFonts w:hint="default" w:ascii="宋体" w:hAnsi="宋体" w:eastAsia="宋体" w:cs="宋体"/>
          <w:color w:val="auto"/>
          <w:sz w:val="21"/>
          <w:szCs w:val="21"/>
          <w:u w:val="none"/>
          <w:lang w:val="en-US" w:eastAsia="zh-CN"/>
        </w:rPr>
      </w:pPr>
      <w:bookmarkStart w:id="19" w:name="_GoBack"/>
      <w:bookmarkEnd w:id="19"/>
      <w:r>
        <w:rPr>
          <w:rFonts w:hint="eastAsia" w:ascii="宋体" w:hAnsi="宋体" w:eastAsia="宋体" w:cs="宋体"/>
          <w:color w:val="auto"/>
          <w:sz w:val="21"/>
          <w:szCs w:val="21"/>
          <w:u w:val="none"/>
        </w:rPr>
        <w:t>202</w:t>
      </w:r>
      <w:r>
        <w:rPr>
          <w:rFonts w:hint="eastAsia" w:ascii="宋体" w:hAnsi="宋体" w:cs="宋体"/>
          <w:color w:val="auto"/>
          <w:sz w:val="21"/>
          <w:szCs w:val="21"/>
          <w:u w:val="none"/>
          <w:lang w:val="en-US" w:eastAsia="zh-CN"/>
        </w:rPr>
        <w:t>6</w:t>
      </w:r>
      <w:r>
        <w:rPr>
          <w:rFonts w:hint="eastAsia" w:ascii="宋体" w:hAnsi="宋体" w:eastAsia="宋体" w:cs="宋体"/>
          <w:color w:val="auto"/>
          <w:sz w:val="21"/>
          <w:szCs w:val="21"/>
          <w:u w:val="none"/>
        </w:rPr>
        <w:t>年</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月</w:t>
      </w:r>
      <w:r>
        <w:rPr>
          <w:rFonts w:hint="eastAsia" w:ascii="宋体" w:hAnsi="宋体" w:cs="宋体"/>
          <w:color w:val="auto"/>
          <w:sz w:val="21"/>
          <w:szCs w:val="21"/>
          <w:u w:val="none"/>
          <w:lang w:val="en-US" w:eastAsia="zh-CN"/>
        </w:rPr>
        <w:t>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5951A"/>
    <w:multiLevelType w:val="singleLevel"/>
    <w:tmpl w:val="99C5951A"/>
    <w:lvl w:ilvl="0" w:tentative="0">
      <w:start w:val="1"/>
      <w:numFmt w:val="decimal"/>
      <w:suff w:val="nothing"/>
      <w:lvlText w:val="（%1）"/>
      <w:lvlJc w:val="left"/>
    </w:lvl>
  </w:abstractNum>
  <w:abstractNum w:abstractNumId="1">
    <w:nsid w:val="A35D1C43"/>
    <w:multiLevelType w:val="singleLevel"/>
    <w:tmpl w:val="A35D1C43"/>
    <w:lvl w:ilvl="0" w:tentative="0">
      <w:start w:val="1"/>
      <w:numFmt w:val="decimal"/>
      <w:lvlText w:val=" %1"/>
      <w:lvlJc w:val="left"/>
      <w:pPr>
        <w:tabs>
          <w:tab w:val="left" w:pos="420"/>
        </w:tabs>
        <w:ind w:left="425" w:leftChars="0" w:hanging="425" w:firstLineChars="0"/>
      </w:pPr>
      <w:rPr>
        <w:rFonts w:hint="default"/>
      </w:rPr>
    </w:lvl>
  </w:abstractNum>
  <w:abstractNum w:abstractNumId="2">
    <w:nsid w:val="F37D06AC"/>
    <w:multiLevelType w:val="singleLevel"/>
    <w:tmpl w:val="F37D06AC"/>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ODQzZjQ5YTU3MTM4YTNkYTA0NmFlMzViMDUzZWMifQ=="/>
    <w:docVar w:name="KSO_WPS_MARK_KEY" w:val="02020c88-8cd4-4f61-9436-e960d51e9db4"/>
  </w:docVars>
  <w:rsids>
    <w:rsidRoot w:val="005208BA"/>
    <w:rsid w:val="000D4A56"/>
    <w:rsid w:val="00153F43"/>
    <w:rsid w:val="001C1FFC"/>
    <w:rsid w:val="002C4456"/>
    <w:rsid w:val="002C7C5F"/>
    <w:rsid w:val="003A7CD3"/>
    <w:rsid w:val="005208BA"/>
    <w:rsid w:val="005A438A"/>
    <w:rsid w:val="00703DF3"/>
    <w:rsid w:val="00764A84"/>
    <w:rsid w:val="00812B7B"/>
    <w:rsid w:val="009C5EC6"/>
    <w:rsid w:val="00A943D2"/>
    <w:rsid w:val="00B56810"/>
    <w:rsid w:val="00BC6D98"/>
    <w:rsid w:val="00D54948"/>
    <w:rsid w:val="00E23D21"/>
    <w:rsid w:val="00EB6608"/>
    <w:rsid w:val="00FF1887"/>
    <w:rsid w:val="045A3333"/>
    <w:rsid w:val="046C750A"/>
    <w:rsid w:val="05BB6053"/>
    <w:rsid w:val="06552E6E"/>
    <w:rsid w:val="072916E2"/>
    <w:rsid w:val="079118E3"/>
    <w:rsid w:val="08052E07"/>
    <w:rsid w:val="082962EA"/>
    <w:rsid w:val="0A8F7063"/>
    <w:rsid w:val="0AD96F7B"/>
    <w:rsid w:val="0AF73FD1"/>
    <w:rsid w:val="0B2D5443"/>
    <w:rsid w:val="0BAD28E2"/>
    <w:rsid w:val="0BB71621"/>
    <w:rsid w:val="0BFB6AA5"/>
    <w:rsid w:val="10586AED"/>
    <w:rsid w:val="13215921"/>
    <w:rsid w:val="15A935CF"/>
    <w:rsid w:val="16066CA6"/>
    <w:rsid w:val="16A37C77"/>
    <w:rsid w:val="1BC8073E"/>
    <w:rsid w:val="1C1642E7"/>
    <w:rsid w:val="1C505996"/>
    <w:rsid w:val="1CE8145D"/>
    <w:rsid w:val="1E320A25"/>
    <w:rsid w:val="1FE2752B"/>
    <w:rsid w:val="20CC6F0F"/>
    <w:rsid w:val="21307724"/>
    <w:rsid w:val="216E446A"/>
    <w:rsid w:val="21823A71"/>
    <w:rsid w:val="225B401D"/>
    <w:rsid w:val="22DC5E4E"/>
    <w:rsid w:val="236744E5"/>
    <w:rsid w:val="24E707BB"/>
    <w:rsid w:val="256A0661"/>
    <w:rsid w:val="28A864B3"/>
    <w:rsid w:val="29C0782D"/>
    <w:rsid w:val="2EED2E72"/>
    <w:rsid w:val="2F633D0C"/>
    <w:rsid w:val="2FBB2F70"/>
    <w:rsid w:val="31E77EE9"/>
    <w:rsid w:val="325A04F8"/>
    <w:rsid w:val="326351F9"/>
    <w:rsid w:val="32851613"/>
    <w:rsid w:val="32FD11AA"/>
    <w:rsid w:val="32FF3174"/>
    <w:rsid w:val="340F73E6"/>
    <w:rsid w:val="350A2624"/>
    <w:rsid w:val="370E607B"/>
    <w:rsid w:val="37797999"/>
    <w:rsid w:val="385C2E16"/>
    <w:rsid w:val="395C1320"/>
    <w:rsid w:val="3A3556CD"/>
    <w:rsid w:val="3A3C733D"/>
    <w:rsid w:val="3A6A5E11"/>
    <w:rsid w:val="3B017EED"/>
    <w:rsid w:val="3D164204"/>
    <w:rsid w:val="410A1661"/>
    <w:rsid w:val="42B236B6"/>
    <w:rsid w:val="45281313"/>
    <w:rsid w:val="454C20E3"/>
    <w:rsid w:val="46386C71"/>
    <w:rsid w:val="46FE43DE"/>
    <w:rsid w:val="475813B1"/>
    <w:rsid w:val="47C127A7"/>
    <w:rsid w:val="48741AB6"/>
    <w:rsid w:val="48D40B34"/>
    <w:rsid w:val="4B555BCF"/>
    <w:rsid w:val="4B7C13AE"/>
    <w:rsid w:val="4C516396"/>
    <w:rsid w:val="4C8229F4"/>
    <w:rsid w:val="4C8F6909"/>
    <w:rsid w:val="4E916F1E"/>
    <w:rsid w:val="4EFC782A"/>
    <w:rsid w:val="4F4B17C3"/>
    <w:rsid w:val="51404C2B"/>
    <w:rsid w:val="51A46B8E"/>
    <w:rsid w:val="530530D0"/>
    <w:rsid w:val="541D74A6"/>
    <w:rsid w:val="543C5B7E"/>
    <w:rsid w:val="56695921"/>
    <w:rsid w:val="57F66044"/>
    <w:rsid w:val="57FA0D38"/>
    <w:rsid w:val="592B7F6F"/>
    <w:rsid w:val="59554FEC"/>
    <w:rsid w:val="59C503C4"/>
    <w:rsid w:val="59EC5950"/>
    <w:rsid w:val="59ED3476"/>
    <w:rsid w:val="5BB406F0"/>
    <w:rsid w:val="5BBC5C29"/>
    <w:rsid w:val="5BEE4D0A"/>
    <w:rsid w:val="5BFD1CED"/>
    <w:rsid w:val="5C583771"/>
    <w:rsid w:val="5D5760E4"/>
    <w:rsid w:val="5D59154F"/>
    <w:rsid w:val="5E5A37D0"/>
    <w:rsid w:val="5F014F67"/>
    <w:rsid w:val="61B668AC"/>
    <w:rsid w:val="62703CF7"/>
    <w:rsid w:val="64540A3D"/>
    <w:rsid w:val="64B11C70"/>
    <w:rsid w:val="65563485"/>
    <w:rsid w:val="655F16CC"/>
    <w:rsid w:val="6649101D"/>
    <w:rsid w:val="669B2BD8"/>
    <w:rsid w:val="66EB12F3"/>
    <w:rsid w:val="672E30F9"/>
    <w:rsid w:val="67491870"/>
    <w:rsid w:val="696E6523"/>
    <w:rsid w:val="6C297548"/>
    <w:rsid w:val="6E53547C"/>
    <w:rsid w:val="705F6A24"/>
    <w:rsid w:val="708F6BDE"/>
    <w:rsid w:val="727662A7"/>
    <w:rsid w:val="7278201F"/>
    <w:rsid w:val="73CF2113"/>
    <w:rsid w:val="763761C4"/>
    <w:rsid w:val="76D43C60"/>
    <w:rsid w:val="77195203"/>
    <w:rsid w:val="77B070F5"/>
    <w:rsid w:val="78A054A5"/>
    <w:rsid w:val="7CA81753"/>
    <w:rsid w:val="7D93316A"/>
    <w:rsid w:val="7DA01CDD"/>
    <w:rsid w:val="7DB06B11"/>
    <w:rsid w:val="7DFF02F8"/>
    <w:rsid w:val="7E307709"/>
    <w:rsid w:val="7E5A185C"/>
    <w:rsid w:val="7FB53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next w:val="1"/>
    <w:qFormat/>
    <w:uiPriority w:val="0"/>
    <w:pPr>
      <w:widowControl w:val="0"/>
      <w:spacing w:before="100" w:beforeLines="0" w:beforeAutospacing="1" w:after="100" w:afterLines="0" w:afterAutospacing="1"/>
      <w:jc w:val="left"/>
      <w:outlineLvl w:val="2"/>
    </w:pPr>
    <w:rPr>
      <w:rFonts w:ascii="宋体" w:hAnsi="宋体" w:eastAsia="宋体" w:cs="Times New Roman"/>
      <w:b/>
      <w:kern w:val="0"/>
      <w:sz w:val="27"/>
      <w:szCs w:val="27"/>
      <w:lang w:val="en-US" w:eastAsia="zh-CN" w:bidi="ar-SA"/>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Plain Text"/>
    <w:basedOn w:val="1"/>
    <w:next w:val="5"/>
    <w:link w:val="18"/>
    <w:autoRedefine/>
    <w:qFormat/>
    <w:uiPriority w:val="0"/>
    <w:rPr>
      <w:rFonts w:ascii="宋体" w:hAnsi="Courier New" w:eastAsiaTheme="minorEastAsia" w:cstheme="minorBidi"/>
      <w:szCs w:val="22"/>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0"/>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lang w:bidi="ar-SA"/>
    </w:rPr>
  </w:style>
  <w:style w:type="paragraph" w:styleId="10">
    <w:name w:val="index 1"/>
    <w:basedOn w:val="1"/>
    <w:next w:val="1"/>
    <w:autoRedefine/>
    <w:qFormat/>
    <w:uiPriority w:val="0"/>
    <w:pPr>
      <w:spacing w:line="400" w:lineRule="exact"/>
      <w:ind w:firstLine="200" w:firstLineChars="200"/>
    </w:pPr>
    <w:rPr>
      <w:rFonts w:ascii="宋体"/>
      <w:b/>
      <w:szCs w:val="20"/>
    </w:rPr>
  </w:style>
  <w:style w:type="paragraph" w:styleId="11">
    <w:name w:val="Title"/>
    <w:basedOn w:val="1"/>
    <w:qFormat/>
    <w:uiPriority w:val="0"/>
    <w:pPr>
      <w:spacing w:before="240" w:after="60"/>
      <w:jc w:val="center"/>
      <w:outlineLvl w:val="0"/>
    </w:pPr>
    <w:rPr>
      <w:rFonts w:ascii="Arial" w:hAnsi="Arial"/>
      <w:b/>
      <w:bCs/>
      <w:sz w:val="32"/>
      <w:szCs w:val="32"/>
    </w:rPr>
  </w:style>
  <w:style w:type="character" w:customStyle="1" w:styleId="14">
    <w:name w:val="页眉 Char"/>
    <w:basedOn w:val="13"/>
    <w:link w:val="8"/>
    <w:semiHidden/>
    <w:qFormat/>
    <w:uiPriority w:val="99"/>
    <w:rPr>
      <w:sz w:val="18"/>
      <w:szCs w:val="18"/>
    </w:rPr>
  </w:style>
  <w:style w:type="character" w:customStyle="1" w:styleId="15">
    <w:name w:val="页脚 Char"/>
    <w:basedOn w:val="13"/>
    <w:link w:val="7"/>
    <w:autoRedefine/>
    <w:semiHidden/>
    <w:qFormat/>
    <w:uiPriority w:val="99"/>
    <w:rPr>
      <w:sz w:val="18"/>
      <w:szCs w:val="18"/>
    </w:rPr>
  </w:style>
  <w:style w:type="character" w:customStyle="1" w:styleId="16">
    <w:name w:val="标题 1 Char"/>
    <w:basedOn w:val="13"/>
    <w:link w:val="2"/>
    <w:autoRedefine/>
    <w:qFormat/>
    <w:uiPriority w:val="9"/>
    <w:rPr>
      <w:rFonts w:ascii="Times New Roman" w:hAnsi="Times New Roman" w:eastAsia="宋体" w:cs="Times New Roman"/>
      <w:b/>
      <w:bCs/>
      <w:kern w:val="44"/>
      <w:sz w:val="44"/>
      <w:szCs w:val="44"/>
    </w:rPr>
  </w:style>
  <w:style w:type="character" w:customStyle="1" w:styleId="17">
    <w:name w:val="标题 2 Char"/>
    <w:basedOn w:val="13"/>
    <w:link w:val="3"/>
    <w:autoRedefine/>
    <w:qFormat/>
    <w:uiPriority w:val="0"/>
    <w:rPr>
      <w:rFonts w:ascii="Arial" w:hAnsi="Arial" w:eastAsia="黑体" w:cs="Arial"/>
      <w:b/>
      <w:bCs/>
      <w:sz w:val="32"/>
      <w:szCs w:val="32"/>
    </w:rPr>
  </w:style>
  <w:style w:type="character" w:customStyle="1" w:styleId="18">
    <w:name w:val="纯文本 Char"/>
    <w:basedOn w:val="13"/>
    <w:link w:val="6"/>
    <w:autoRedefine/>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4398</Words>
  <Characters>4866</Characters>
  <Lines>9</Lines>
  <Paragraphs>2</Paragraphs>
  <TotalTime>1</TotalTime>
  <ScaleCrop>false</ScaleCrop>
  <LinksUpToDate>false</LinksUpToDate>
  <CharactersWithSpaces>4904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2020-06-29T10:00:00Z</dcterms:created>
  <dc:creator>Windows 用户</dc:creator>
  <cp:lastModifiedBy>代理</cp:lastModifiedBy>
  <dcterms:modified xsi:type="dcterms:W3CDTF">2026-01-28T12:28:00Z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1D4849BB8A204E9C9C8AD7F2AC5DBFF7_13</vt:lpwstr>
  </property>
  <property fmtid="{D5CDD505-2E9C-101B-9397-08002B2CF9AE}" pid="4" name="KSOTemplateDocerSaveRecord">
    <vt:lpwstr>eyJoZGlkIjoiZWVmMGRlZmJkMmYyNWZiZjc4ZmU1MWI4YzAxZDlhNjgiLCJ1c2VySWQiOiIzNjQ5MTc2OTQifQ==</vt:lpwstr>
  </property>
</Properties>
</file>