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028A5">
      <w:pPr>
        <w:bidi w:val="0"/>
        <w:jc w:val="center"/>
        <w:rPr>
          <w:rFonts w:hint="eastAsia" w:ascii="仿宋_GB2312" w:hAnsi="仿宋_GB2312" w:eastAsia="仿宋_GB2312" w:cs="仿宋_GB2312"/>
          <w:b/>
          <w:color w:val="auto"/>
          <w:sz w:val="36"/>
          <w:highlight w:val="none"/>
        </w:rPr>
      </w:pPr>
      <w:r>
        <w:rPr>
          <w:rFonts w:hint="eastAsia" w:ascii="仿宋_GB2312" w:hAnsi="仿宋_GB2312" w:eastAsia="仿宋_GB2312" w:cs="仿宋_GB2312"/>
          <w:b/>
          <w:color w:val="auto"/>
          <w:sz w:val="36"/>
          <w:highlight w:val="none"/>
          <w:lang w:eastAsia="zh-CN"/>
        </w:rPr>
        <w:t>广西壮族自治区桂西公路发展中心南宁片区2026-2028年公路日常养护服务项目</w:t>
      </w:r>
      <w:r>
        <w:rPr>
          <w:rFonts w:hint="eastAsia" w:ascii="仿宋_GB2312" w:hAnsi="仿宋_GB2312" w:eastAsia="仿宋_GB2312" w:cs="仿宋_GB2312"/>
          <w:b/>
          <w:color w:val="auto"/>
          <w:sz w:val="36"/>
          <w:highlight w:val="none"/>
        </w:rPr>
        <w:t>采购需求</w:t>
      </w:r>
    </w:p>
    <w:p w14:paraId="011BED03">
      <w:pPr>
        <w:bidi w:val="0"/>
        <w:jc w:val="center"/>
        <w:rPr>
          <w:rFonts w:hint="default" w:ascii="仿宋_GB2312" w:hAnsi="仿宋_GB2312" w:eastAsia="仿宋_GB2312" w:cs="仿宋_GB2312"/>
          <w:b/>
          <w:color w:val="auto"/>
          <w:sz w:val="36"/>
          <w:highlight w:val="none"/>
          <w:lang w:val="en-US" w:eastAsia="zh-CN"/>
        </w:rPr>
      </w:pPr>
    </w:p>
    <w:tbl>
      <w:tblPr>
        <w:tblStyle w:val="16"/>
        <w:tblW w:w="99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9"/>
        <w:gridCol w:w="1161"/>
        <w:gridCol w:w="1250"/>
        <w:gridCol w:w="6732"/>
      </w:tblGrid>
      <w:tr w14:paraId="2ED9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9922" w:type="dxa"/>
            <w:gridSpan w:val="4"/>
            <w:noWrap w:val="0"/>
            <w:vAlign w:val="center"/>
          </w:tcPr>
          <w:p w14:paraId="4DF1D905">
            <w:pPr>
              <w:keepNext w:val="0"/>
              <w:keepLines w:val="0"/>
              <w:pageBreakBefore w:val="0"/>
              <w:tabs>
                <w:tab w:val="left" w:pos="180"/>
                <w:tab w:val="left" w:pos="1620"/>
              </w:tabs>
              <w:wordWrap/>
              <w:overflowPunct/>
              <w:topLinePunct w:val="0"/>
              <w:bidi w:val="0"/>
              <w:spacing w:before="0" w:beforeLines="50" w:after="0" w:afterLines="50" w:line="360" w:lineRule="auto"/>
              <w:jc w:val="both"/>
              <w:outlineLvl w:val="1"/>
              <w:rPr>
                <w:rFonts w:hint="eastAsia" w:ascii="宋体" w:hAnsi="宋体" w:eastAsia="宋体" w:cs="宋体"/>
                <w:b/>
                <w:bCs/>
                <w:color w:val="auto"/>
                <w:sz w:val="21"/>
                <w:szCs w:val="21"/>
                <w:highlight w:val="none"/>
                <w:lang w:eastAsia="zh-CN"/>
              </w:rPr>
            </w:pPr>
            <w:bookmarkStart w:id="0" w:name="_Toc31358"/>
            <w:r>
              <w:rPr>
                <w:rFonts w:hint="eastAsia" w:ascii="宋体" w:hAnsi="宋体" w:cs="宋体"/>
                <w:b/>
                <w:bCs/>
                <w:color w:val="auto"/>
                <w:sz w:val="24"/>
                <w:szCs w:val="24"/>
                <w:highlight w:val="none"/>
                <w:lang w:eastAsia="zh-CN"/>
              </w:rPr>
              <w:t>一、</w:t>
            </w:r>
            <w:r>
              <w:rPr>
                <w:rFonts w:hint="eastAsia" w:ascii="宋体" w:hAnsi="宋体" w:eastAsia="宋体" w:cs="宋体"/>
                <w:b/>
                <w:bCs/>
                <w:color w:val="auto"/>
                <w:sz w:val="24"/>
                <w:szCs w:val="24"/>
                <w:highlight w:val="none"/>
                <w:lang w:eastAsia="zh-CN"/>
              </w:rPr>
              <w:t>技术要求</w:t>
            </w:r>
            <w:bookmarkEnd w:id="0"/>
          </w:p>
        </w:tc>
      </w:tr>
      <w:tr w14:paraId="14777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800" w:type="dxa"/>
            <w:noWrap w:val="0"/>
            <w:vAlign w:val="center"/>
          </w:tcPr>
          <w:p w14:paraId="7240D1CC">
            <w:pPr>
              <w:keepNext w:val="0"/>
              <w:keepLines w:val="0"/>
              <w:pageBreakBefore w:val="0"/>
              <w:tabs>
                <w:tab w:val="left" w:pos="180"/>
                <w:tab w:val="left" w:pos="1620"/>
              </w:tabs>
              <w:wordWrap/>
              <w:overflowPunct/>
              <w:topLinePunct w:val="0"/>
              <w:bidi w:val="0"/>
              <w:spacing w:before="0" w:beforeLines="50" w:after="0" w:afterLines="50"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1100" w:type="dxa"/>
            <w:noWrap w:val="0"/>
            <w:vAlign w:val="center"/>
          </w:tcPr>
          <w:p w14:paraId="6949ABBB">
            <w:pPr>
              <w:keepNext w:val="0"/>
              <w:keepLines w:val="0"/>
              <w:pageBreakBefore w:val="0"/>
              <w:tabs>
                <w:tab w:val="left" w:pos="180"/>
                <w:tab w:val="left" w:pos="1620"/>
              </w:tabs>
              <w:wordWrap/>
              <w:overflowPunct/>
              <w:topLinePunct w:val="0"/>
              <w:bidi w:val="0"/>
              <w:spacing w:before="0" w:beforeLines="50" w:after="0" w:afterLines="50"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标的名称</w:t>
            </w:r>
          </w:p>
        </w:tc>
        <w:tc>
          <w:tcPr>
            <w:tcW w:w="1300" w:type="dxa"/>
            <w:noWrap w:val="0"/>
            <w:vAlign w:val="center"/>
          </w:tcPr>
          <w:p w14:paraId="77DC1C57">
            <w:pPr>
              <w:keepNext w:val="0"/>
              <w:keepLines w:val="0"/>
              <w:pageBreakBefore w:val="0"/>
              <w:tabs>
                <w:tab w:val="left" w:pos="180"/>
                <w:tab w:val="left" w:pos="1620"/>
              </w:tabs>
              <w:wordWrap/>
              <w:overflowPunct/>
              <w:topLinePunct w:val="0"/>
              <w:bidi w:val="0"/>
              <w:spacing w:before="0" w:beforeLines="50" w:after="0" w:afterLines="50"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数量及单位</w:t>
            </w:r>
          </w:p>
        </w:tc>
        <w:tc>
          <w:tcPr>
            <w:tcW w:w="6722" w:type="dxa"/>
            <w:noWrap w:val="0"/>
            <w:vAlign w:val="center"/>
          </w:tcPr>
          <w:p w14:paraId="0AE74B74">
            <w:pPr>
              <w:keepNext w:val="0"/>
              <w:keepLines w:val="0"/>
              <w:pageBreakBefore w:val="0"/>
              <w:tabs>
                <w:tab w:val="left" w:pos="180"/>
                <w:tab w:val="left" w:pos="1620"/>
              </w:tabs>
              <w:wordWrap/>
              <w:overflowPunct/>
              <w:topLinePunct w:val="0"/>
              <w:bidi w:val="0"/>
              <w:spacing w:before="0" w:beforeLines="50" w:after="0" w:afterLines="50"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主要技术需求或者服务要求</w:t>
            </w:r>
          </w:p>
        </w:tc>
      </w:tr>
      <w:tr w14:paraId="1914F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800" w:type="dxa"/>
            <w:noWrap w:val="0"/>
            <w:vAlign w:val="center"/>
          </w:tcPr>
          <w:p w14:paraId="4F6868D2">
            <w:pPr>
              <w:keepNext w:val="0"/>
              <w:keepLines w:val="0"/>
              <w:pageBreakBefore w:val="0"/>
              <w:tabs>
                <w:tab w:val="left" w:pos="180"/>
                <w:tab w:val="left" w:pos="1620"/>
              </w:tabs>
              <w:wordWrap/>
              <w:overflowPunct/>
              <w:topLinePunct w:val="0"/>
              <w:bidi w:val="0"/>
              <w:spacing w:before="0" w:beforeLines="50" w:after="0" w:after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00" w:type="dxa"/>
            <w:noWrap w:val="0"/>
            <w:vAlign w:val="center"/>
          </w:tcPr>
          <w:p w14:paraId="1A0B91AB">
            <w:pPr>
              <w:keepNext w:val="0"/>
              <w:keepLines w:val="0"/>
              <w:pageBreakBefore w:val="0"/>
              <w:wordWrap/>
              <w:overflowPunct/>
              <w:topLinePunct w:val="0"/>
              <w:bidi w:val="0"/>
              <w:spacing w:before="0" w:beforeLines="50" w:after="0" w:afterLines="50"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lang w:eastAsia="zh-CN"/>
              </w:rPr>
              <w:t>广西壮族自治区桂西公路发展中心南宁片区2026-2028年公路日常养护服务项目</w:t>
            </w:r>
            <w:r>
              <w:rPr>
                <w:rFonts w:hint="eastAsia" w:ascii="宋体" w:hAnsi="宋体" w:eastAsia="宋体" w:cs="宋体"/>
                <w:color w:val="auto"/>
                <w:sz w:val="21"/>
                <w:szCs w:val="21"/>
                <w:highlight w:val="none"/>
                <w:lang w:eastAsia="zh-CN"/>
              </w:rPr>
              <w:t>项目</w:t>
            </w:r>
          </w:p>
        </w:tc>
        <w:tc>
          <w:tcPr>
            <w:tcW w:w="1300" w:type="dxa"/>
            <w:noWrap w:val="0"/>
            <w:vAlign w:val="center"/>
          </w:tcPr>
          <w:p w14:paraId="237CD946">
            <w:pPr>
              <w:keepNext w:val="0"/>
              <w:keepLines w:val="0"/>
              <w:pageBreakBefore w:val="0"/>
              <w:wordWrap/>
              <w:overflowPunct/>
              <w:topLinePunct w:val="0"/>
              <w:bidi w:val="0"/>
              <w:spacing w:before="0" w:beforeLines="50" w:after="0" w:afterLines="5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c>
          <w:tcPr>
            <w:tcW w:w="6722" w:type="dxa"/>
            <w:noWrap w:val="0"/>
            <w:vAlign w:val="center"/>
          </w:tcPr>
          <w:p w14:paraId="60B55B10">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50" w:line="360" w:lineRule="auto"/>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2"/>
                <w:sz w:val="21"/>
                <w:szCs w:val="21"/>
                <w:highlight w:val="none"/>
                <w:lang w:val="en-US" w:eastAsia="zh-CN" w:bidi="ar-SA"/>
              </w:rPr>
              <w:t>一</w:t>
            </w: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b/>
                <w:bCs/>
                <w:color w:val="auto"/>
                <w:sz w:val="21"/>
                <w:szCs w:val="21"/>
                <w:highlight w:val="none"/>
                <w:lang w:eastAsia="zh-CN"/>
              </w:rPr>
              <w:t>服务内容</w:t>
            </w:r>
            <w:r>
              <w:rPr>
                <w:rFonts w:hint="eastAsia" w:ascii="宋体" w:hAnsi="宋体" w:eastAsia="宋体" w:cs="宋体"/>
                <w:b/>
                <w:bCs/>
                <w:color w:val="auto"/>
                <w:sz w:val="21"/>
                <w:szCs w:val="21"/>
                <w:highlight w:val="none"/>
              </w:rPr>
              <w:t>：</w:t>
            </w:r>
          </w:p>
          <w:p w14:paraId="188E62AA">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50" w:line="360" w:lineRule="auto"/>
              <w:ind w:left="0" w:leftChars="0" w:firstLine="0" w:firstLineChars="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2"/>
                <w:sz w:val="21"/>
                <w:szCs w:val="21"/>
                <w:highlight w:val="none"/>
                <w:lang w:val="en-US" w:eastAsia="zh-CN" w:bidi="ar-SA"/>
              </w:rPr>
              <w:t>（一）广西壮族自治区宾阳公路养护中心</w:t>
            </w:r>
            <w:r>
              <w:rPr>
                <w:rFonts w:hint="eastAsia" w:ascii="宋体" w:hAnsi="宋体" w:eastAsia="宋体" w:cs="宋体"/>
                <w:b/>
                <w:bCs/>
                <w:color w:val="auto"/>
                <w:kern w:val="2"/>
                <w:sz w:val="21"/>
                <w:szCs w:val="21"/>
                <w:highlight w:val="none"/>
                <w:lang w:val="en-US" w:eastAsia="zh-CN" w:bidi="ar-SA"/>
              </w:rPr>
              <w:t>2026-2028年公路日常养护服务项目</w:t>
            </w:r>
            <w:r>
              <w:rPr>
                <w:rFonts w:hint="eastAsia" w:ascii="宋体" w:hAnsi="宋体" w:eastAsia="宋体" w:cs="宋体"/>
                <w:b/>
                <w:bCs/>
                <w:color w:val="auto"/>
                <w:sz w:val="21"/>
                <w:szCs w:val="21"/>
                <w:highlight w:val="none"/>
                <w:lang w:eastAsia="zh-CN"/>
              </w:rPr>
              <w:t>：</w:t>
            </w:r>
          </w:p>
          <w:p w14:paraId="46E9097A">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50" w:line="360" w:lineRule="auto"/>
              <w:ind w:left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lang w:eastAsia="zh-CN"/>
              </w:rPr>
              <w:t>服务范围</w:t>
            </w:r>
            <w:r>
              <w:rPr>
                <w:rFonts w:hint="eastAsia" w:ascii="宋体" w:hAnsi="宋体" w:eastAsia="宋体" w:cs="宋体"/>
                <w:color w:val="auto"/>
                <w:szCs w:val="21"/>
                <w:highlight w:val="none"/>
                <w:lang w:eastAsia="zh-CN"/>
              </w:rPr>
              <w:t>（以最新年报数据为准）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宾阳中心辖区3条国道（G242线、G322线、G358线）和2条省道（S210线、S309线）共计161.972千米。其中2026年公路养护市场化服务里程为161.972千米，2027年里程约为161.972千米，2028年里程约为161.972千米。</w:t>
            </w:r>
          </w:p>
          <w:p w14:paraId="27B1A67E">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50" w:line="360" w:lineRule="auto"/>
              <w:ind w:left="0" w:left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采购</w:t>
            </w:r>
            <w:r>
              <w:rPr>
                <w:rFonts w:hint="eastAsia" w:ascii="宋体" w:hAnsi="宋体" w:eastAsia="宋体" w:cs="宋体"/>
                <w:b/>
                <w:bCs/>
                <w:color w:val="auto"/>
                <w:sz w:val="21"/>
                <w:szCs w:val="21"/>
                <w:highlight w:val="none"/>
                <w:lang w:val="en-US" w:eastAsia="zh-CN"/>
              </w:rPr>
              <w:t>内容：</w:t>
            </w:r>
            <w:r>
              <w:rPr>
                <w:rFonts w:hint="eastAsia" w:ascii="宋体" w:hAnsi="宋体" w:eastAsia="宋体" w:cs="宋体"/>
                <w:color w:val="auto"/>
                <w:sz w:val="21"/>
                <w:szCs w:val="21"/>
                <w:highlight w:val="none"/>
              </w:rPr>
              <w:t>按《公路养护技术标准》（JTG5110-2023）所规定的日常养护工作、突发事件应急处置及日常巡查、经常检查、定期检查（不包括桥涵、隧道）、</w:t>
            </w:r>
            <w:r>
              <w:rPr>
                <w:rFonts w:hint="eastAsia" w:ascii="宋体" w:hAnsi="宋体" w:eastAsia="宋体" w:cs="宋体"/>
                <w:color w:val="auto"/>
                <w:sz w:val="21"/>
                <w:szCs w:val="21"/>
                <w:highlight w:val="none"/>
                <w:lang w:val="en-US" w:eastAsia="zh-CN"/>
              </w:rPr>
              <w:t>日常维修、公路数智化应用</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eastAsia="zh-CN"/>
              </w:rPr>
              <w:t>。</w:t>
            </w:r>
          </w:p>
          <w:p w14:paraId="56BF14C8">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50" w:line="360" w:lineRule="auto"/>
              <w:ind w:left="0" w:leftChars="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2"/>
                <w:sz w:val="21"/>
                <w:szCs w:val="21"/>
                <w:highlight w:val="none"/>
                <w:lang w:val="en-US" w:eastAsia="zh-CN" w:bidi="ar-SA"/>
              </w:rPr>
              <w:t>（二）广西壮族自治区横县公路养护中心2026-2028年公路日常养护服务项目</w:t>
            </w:r>
            <w:r>
              <w:rPr>
                <w:rFonts w:hint="eastAsia" w:ascii="宋体" w:hAnsi="宋体" w:eastAsia="宋体" w:cs="宋体"/>
                <w:b/>
                <w:bCs/>
                <w:color w:val="auto"/>
                <w:sz w:val="21"/>
                <w:szCs w:val="21"/>
                <w:highlight w:val="none"/>
                <w:lang w:eastAsia="zh-CN"/>
              </w:rPr>
              <w:t>：</w:t>
            </w:r>
          </w:p>
          <w:p w14:paraId="353F5C21">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服务范围</w:t>
            </w:r>
            <w:r>
              <w:rPr>
                <w:rFonts w:hint="eastAsia" w:ascii="宋体" w:hAnsi="宋体" w:eastAsia="宋体" w:cs="宋体"/>
                <w:color w:val="auto"/>
                <w:szCs w:val="21"/>
                <w:highlight w:val="none"/>
                <w:lang w:eastAsia="zh-CN"/>
              </w:rPr>
              <w:t>（以最新年报数据为准）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横县中心辖区2条国道（G209线、G324线）和2条省道（S210线、S310线）共计254.742千米。其中2026年公路养护市场化服务里程为206.676千米，2027年里程约为254.742千米，2028年里程约为254.742千米。</w:t>
            </w:r>
          </w:p>
          <w:p w14:paraId="6BA85CBE">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50" w:line="360" w:lineRule="auto"/>
              <w:ind w:left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lang w:eastAsia="zh-CN"/>
              </w:rPr>
              <w:t>采购</w:t>
            </w:r>
            <w:r>
              <w:rPr>
                <w:rFonts w:hint="eastAsia" w:ascii="宋体" w:hAnsi="宋体" w:eastAsia="宋体" w:cs="宋体"/>
                <w:b/>
                <w:bCs/>
                <w:color w:val="auto"/>
                <w:sz w:val="21"/>
                <w:szCs w:val="21"/>
                <w:highlight w:val="none"/>
                <w:lang w:val="en-US" w:eastAsia="zh-CN"/>
              </w:rPr>
              <w:t>内容：</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rPr>
              <w:t>《公路养护技术标准》（JTG5110-2023）所规定的日常养护工作、突发事件应</w:t>
            </w:r>
            <w:r>
              <w:rPr>
                <w:rFonts w:hint="eastAsia" w:ascii="宋体" w:hAnsi="宋体" w:eastAsia="宋体" w:cs="宋体"/>
                <w:color w:val="auto"/>
                <w:sz w:val="21"/>
                <w:szCs w:val="21"/>
                <w:highlight w:val="none"/>
              </w:rPr>
              <w:t>急处置及日常巡查、经常检查、定期检查（不包括桥涵、隧道）、</w:t>
            </w:r>
            <w:r>
              <w:rPr>
                <w:rFonts w:hint="eastAsia" w:ascii="宋体" w:hAnsi="宋体" w:eastAsia="宋体" w:cs="宋体"/>
                <w:color w:val="auto"/>
                <w:sz w:val="21"/>
                <w:szCs w:val="21"/>
                <w:highlight w:val="none"/>
                <w:lang w:val="en-US" w:eastAsia="zh-CN"/>
              </w:rPr>
              <w:t>日常维修、公路数智化应用</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eastAsia="zh-CN"/>
              </w:rPr>
              <w:t>。</w:t>
            </w:r>
          </w:p>
          <w:p w14:paraId="21A99F29">
            <w:pPr>
              <w:keepNext w:val="0"/>
              <w:keepLines w:val="0"/>
              <w:pageBreakBefore w:val="0"/>
              <w:widowControl w:val="0"/>
              <w:numPr>
                <w:ilvl w:val="0"/>
                <w:numId w:val="1"/>
              </w:numPr>
              <w:kinsoku/>
              <w:wordWrap/>
              <w:overflowPunct/>
              <w:topLinePunct w:val="0"/>
              <w:autoSpaceDE/>
              <w:autoSpaceDN/>
              <w:bidi w:val="0"/>
              <w:adjustRightInd/>
              <w:snapToGrid/>
              <w:spacing w:before="0" w:beforeLines="50" w:after="0" w:afterLines="50" w:line="360" w:lineRule="auto"/>
              <w:ind w:left="0" w:leftChars="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广西壮族自治区上林公路养护中心</w:t>
            </w:r>
            <w:r>
              <w:rPr>
                <w:rFonts w:hint="eastAsia" w:ascii="宋体" w:hAnsi="宋体" w:eastAsia="宋体" w:cs="宋体"/>
                <w:b/>
                <w:bCs/>
                <w:color w:val="auto"/>
                <w:kern w:val="2"/>
                <w:sz w:val="21"/>
                <w:szCs w:val="21"/>
                <w:highlight w:val="none"/>
                <w:lang w:val="en-US" w:eastAsia="zh-CN" w:bidi="ar-SA"/>
              </w:rPr>
              <w:t>2026-2028年公路日常养护服务项目</w:t>
            </w:r>
            <w:r>
              <w:rPr>
                <w:rFonts w:hint="eastAsia" w:ascii="宋体" w:hAnsi="宋体" w:eastAsia="宋体" w:cs="宋体"/>
                <w:b/>
                <w:bCs/>
                <w:color w:val="auto"/>
                <w:sz w:val="21"/>
                <w:szCs w:val="21"/>
                <w:highlight w:val="none"/>
                <w:lang w:eastAsia="zh-CN"/>
              </w:rPr>
              <w:t>：</w:t>
            </w:r>
          </w:p>
          <w:p w14:paraId="699F725D">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服务范围</w:t>
            </w:r>
            <w:r>
              <w:rPr>
                <w:rFonts w:hint="eastAsia" w:ascii="宋体" w:hAnsi="宋体" w:eastAsia="宋体" w:cs="宋体"/>
                <w:color w:val="auto"/>
                <w:szCs w:val="21"/>
                <w:highlight w:val="none"/>
                <w:lang w:eastAsia="zh-CN"/>
              </w:rPr>
              <w:t>（以最新年报数据为准）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上林中心辖区条国道（G</w:t>
            </w:r>
            <w:r>
              <w:rPr>
                <w:rFonts w:hint="eastAsia" w:ascii="宋体" w:hAnsi="宋体" w:eastAsia="宋体" w:cs="宋体"/>
                <w:b w:val="0"/>
                <w:bCs w:val="0"/>
                <w:color w:val="auto"/>
                <w:sz w:val="21"/>
                <w:szCs w:val="21"/>
                <w:highlight w:val="none"/>
                <w:lang w:val="en-US" w:eastAsia="zh-CN"/>
              </w:rPr>
              <w:t>242</w:t>
            </w:r>
            <w:r>
              <w:rPr>
                <w:rFonts w:hint="eastAsia" w:ascii="宋体" w:hAnsi="宋体" w:eastAsia="宋体" w:cs="宋体"/>
                <w:b w:val="0"/>
                <w:bCs w:val="0"/>
                <w:color w:val="auto"/>
                <w:sz w:val="21"/>
                <w:szCs w:val="21"/>
                <w:highlight w:val="none"/>
                <w:lang w:eastAsia="zh-CN"/>
              </w:rPr>
              <w:t>线、G</w:t>
            </w:r>
            <w:r>
              <w:rPr>
                <w:rFonts w:hint="eastAsia" w:ascii="宋体" w:hAnsi="宋体" w:eastAsia="宋体" w:cs="宋体"/>
                <w:b w:val="0"/>
                <w:bCs w:val="0"/>
                <w:color w:val="auto"/>
                <w:sz w:val="21"/>
                <w:szCs w:val="21"/>
                <w:highlight w:val="none"/>
                <w:lang w:val="en-US" w:eastAsia="zh-CN"/>
              </w:rPr>
              <w:t>355线</w:t>
            </w:r>
            <w:r>
              <w:rPr>
                <w:rFonts w:hint="eastAsia" w:ascii="宋体" w:hAnsi="宋体" w:eastAsia="宋体" w:cs="宋体"/>
                <w:b w:val="0"/>
                <w:bCs w:val="0"/>
                <w:color w:val="auto"/>
                <w:sz w:val="21"/>
                <w:szCs w:val="21"/>
                <w:highlight w:val="none"/>
                <w:lang w:eastAsia="zh-CN"/>
              </w:rPr>
              <w:t>）和条省道（S</w:t>
            </w:r>
            <w:r>
              <w:rPr>
                <w:rFonts w:hint="eastAsia" w:ascii="宋体" w:hAnsi="宋体" w:eastAsia="宋体" w:cs="宋体"/>
                <w:b w:val="0"/>
                <w:bCs w:val="0"/>
                <w:color w:val="auto"/>
                <w:sz w:val="21"/>
                <w:szCs w:val="21"/>
                <w:highlight w:val="none"/>
                <w:lang w:val="en-US" w:eastAsia="zh-CN"/>
              </w:rPr>
              <w:t>309</w:t>
            </w:r>
            <w:r>
              <w:rPr>
                <w:rFonts w:hint="eastAsia" w:ascii="宋体" w:hAnsi="宋体" w:eastAsia="宋体" w:cs="宋体"/>
                <w:b w:val="0"/>
                <w:bCs w:val="0"/>
                <w:color w:val="auto"/>
                <w:sz w:val="21"/>
                <w:szCs w:val="21"/>
                <w:highlight w:val="none"/>
                <w:lang w:eastAsia="zh-CN"/>
              </w:rPr>
              <w:t>线）共计</w:t>
            </w:r>
            <w:r>
              <w:rPr>
                <w:rFonts w:hint="eastAsia" w:ascii="宋体" w:hAnsi="宋体" w:eastAsia="宋体" w:cs="宋体"/>
                <w:b w:val="0"/>
                <w:bCs w:val="0"/>
                <w:color w:val="auto"/>
                <w:sz w:val="21"/>
                <w:szCs w:val="21"/>
                <w:highlight w:val="none"/>
                <w:lang w:val="en-US" w:eastAsia="zh-CN"/>
              </w:rPr>
              <w:t>172.636</w:t>
            </w:r>
            <w:r>
              <w:rPr>
                <w:rFonts w:hint="eastAsia" w:ascii="宋体" w:hAnsi="宋体" w:eastAsia="宋体" w:cs="宋体"/>
                <w:b w:val="0"/>
                <w:bCs w:val="0"/>
                <w:color w:val="auto"/>
                <w:sz w:val="21"/>
                <w:szCs w:val="21"/>
                <w:highlight w:val="none"/>
                <w:lang w:eastAsia="zh-CN"/>
              </w:rPr>
              <w:t xml:space="preserve">千米。其中2026年公路养护市场化服务里程为 </w:t>
            </w:r>
            <w:r>
              <w:rPr>
                <w:rFonts w:hint="eastAsia" w:ascii="宋体" w:hAnsi="宋体" w:eastAsia="宋体" w:cs="宋体"/>
                <w:b w:val="0"/>
                <w:bCs w:val="0"/>
                <w:color w:val="auto"/>
                <w:sz w:val="21"/>
                <w:szCs w:val="21"/>
                <w:highlight w:val="none"/>
                <w:lang w:val="en-US" w:eastAsia="zh-CN"/>
              </w:rPr>
              <w:t>172.636</w:t>
            </w:r>
            <w:r>
              <w:rPr>
                <w:rFonts w:hint="eastAsia" w:ascii="宋体" w:hAnsi="宋体" w:eastAsia="宋体" w:cs="宋体"/>
                <w:b w:val="0"/>
                <w:bCs w:val="0"/>
                <w:color w:val="auto"/>
                <w:sz w:val="21"/>
                <w:szCs w:val="21"/>
                <w:highlight w:val="none"/>
                <w:lang w:eastAsia="zh-CN"/>
              </w:rPr>
              <w:t xml:space="preserve"> 千米，2027年里程约为</w:t>
            </w:r>
            <w:r>
              <w:rPr>
                <w:rFonts w:hint="eastAsia" w:ascii="宋体" w:hAnsi="宋体" w:eastAsia="宋体" w:cs="宋体"/>
                <w:b w:val="0"/>
                <w:bCs w:val="0"/>
                <w:color w:val="auto"/>
                <w:sz w:val="21"/>
                <w:szCs w:val="21"/>
                <w:highlight w:val="none"/>
                <w:lang w:val="en-US" w:eastAsia="zh-CN"/>
              </w:rPr>
              <w:t>172.636</w:t>
            </w:r>
            <w:r>
              <w:rPr>
                <w:rFonts w:hint="eastAsia" w:ascii="宋体" w:hAnsi="宋体" w:eastAsia="宋体" w:cs="宋体"/>
                <w:b w:val="0"/>
                <w:bCs w:val="0"/>
                <w:color w:val="auto"/>
                <w:sz w:val="21"/>
                <w:szCs w:val="21"/>
                <w:highlight w:val="none"/>
                <w:lang w:eastAsia="zh-CN"/>
              </w:rPr>
              <w:t>千米，2028年里程约为</w:t>
            </w:r>
            <w:r>
              <w:rPr>
                <w:rFonts w:hint="eastAsia" w:ascii="宋体" w:hAnsi="宋体" w:eastAsia="宋体" w:cs="宋体"/>
                <w:b w:val="0"/>
                <w:bCs w:val="0"/>
                <w:color w:val="auto"/>
                <w:sz w:val="21"/>
                <w:szCs w:val="21"/>
                <w:highlight w:val="none"/>
                <w:lang w:val="en-US" w:eastAsia="zh-CN"/>
              </w:rPr>
              <w:t>172.636</w:t>
            </w:r>
            <w:r>
              <w:rPr>
                <w:rFonts w:hint="eastAsia" w:ascii="宋体" w:hAnsi="宋体" w:eastAsia="宋体" w:cs="宋体"/>
                <w:b w:val="0"/>
                <w:bCs w:val="0"/>
                <w:color w:val="auto"/>
                <w:sz w:val="21"/>
                <w:szCs w:val="21"/>
                <w:highlight w:val="none"/>
                <w:lang w:eastAsia="zh-CN"/>
              </w:rPr>
              <w:t>千米。</w:t>
            </w:r>
          </w:p>
          <w:p w14:paraId="65227E60">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50" w:line="360" w:lineRule="auto"/>
              <w:ind w:left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lang w:eastAsia="zh-CN"/>
              </w:rPr>
              <w:t>采购</w:t>
            </w:r>
            <w:r>
              <w:rPr>
                <w:rFonts w:hint="eastAsia" w:ascii="宋体" w:hAnsi="宋体" w:eastAsia="宋体" w:cs="宋体"/>
                <w:b/>
                <w:bCs/>
                <w:color w:val="auto"/>
                <w:sz w:val="21"/>
                <w:szCs w:val="21"/>
                <w:highlight w:val="none"/>
                <w:lang w:val="en-US" w:eastAsia="zh-CN"/>
              </w:rPr>
              <w:t>内容：</w:t>
            </w:r>
            <w:r>
              <w:rPr>
                <w:rFonts w:hint="eastAsia" w:ascii="宋体" w:hAnsi="宋体" w:eastAsia="宋体" w:cs="宋体"/>
                <w:color w:val="auto"/>
                <w:sz w:val="21"/>
                <w:szCs w:val="21"/>
                <w:highlight w:val="none"/>
              </w:rPr>
              <w:t>按《公路养护技术标准》（JTG5110-2023）所规定的日常养护工作、突发事件应急处置及日常巡查、经常检查、定期检查（不包括桥涵、隧道）、</w:t>
            </w:r>
            <w:r>
              <w:rPr>
                <w:rFonts w:hint="eastAsia" w:ascii="宋体" w:hAnsi="宋体" w:eastAsia="宋体" w:cs="宋体"/>
                <w:color w:val="auto"/>
                <w:sz w:val="21"/>
                <w:szCs w:val="21"/>
                <w:highlight w:val="none"/>
                <w:lang w:val="en-US" w:eastAsia="zh-CN"/>
              </w:rPr>
              <w:t>日常维修、公路数智化应用</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eastAsia="zh-CN"/>
              </w:rPr>
              <w:t>。</w:t>
            </w:r>
          </w:p>
          <w:p w14:paraId="28A8EFFD">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50" w:line="360" w:lineRule="auto"/>
              <w:ind w:left="0" w:leftChars="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2"/>
                <w:sz w:val="21"/>
                <w:szCs w:val="21"/>
                <w:highlight w:val="none"/>
                <w:lang w:val="en-US" w:eastAsia="zh-CN" w:bidi="ar-SA"/>
              </w:rPr>
              <w:t>（四）广西壮族自治区马山公路养护中心2026-2028年公路日常养护服务项目</w:t>
            </w:r>
            <w:r>
              <w:rPr>
                <w:rFonts w:hint="eastAsia" w:ascii="宋体" w:hAnsi="宋体" w:eastAsia="宋体" w:cs="宋体"/>
                <w:b/>
                <w:bCs/>
                <w:color w:val="auto"/>
                <w:sz w:val="21"/>
                <w:szCs w:val="21"/>
                <w:highlight w:val="none"/>
                <w:lang w:eastAsia="zh-CN"/>
              </w:rPr>
              <w:t>：</w:t>
            </w:r>
          </w:p>
          <w:p w14:paraId="491960A0">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50" w:line="360" w:lineRule="auto"/>
              <w:ind w:left="0" w:left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lang w:eastAsia="zh-CN"/>
              </w:rPr>
              <w:t>服务范围</w:t>
            </w:r>
            <w:r>
              <w:rPr>
                <w:rFonts w:hint="eastAsia" w:ascii="宋体" w:hAnsi="宋体" w:eastAsia="宋体" w:cs="宋体"/>
                <w:color w:val="auto"/>
                <w:szCs w:val="21"/>
                <w:highlight w:val="none"/>
                <w:lang w:eastAsia="zh-CN"/>
              </w:rPr>
              <w:t>（以最新年报数据为准）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Cs w:val="21"/>
                <w:highlight w:val="none"/>
                <w:lang w:val="en-US" w:eastAsia="zh-CN"/>
              </w:rPr>
              <w:t>马山</w:t>
            </w:r>
            <w:r>
              <w:rPr>
                <w:rFonts w:hint="eastAsia" w:ascii="宋体" w:hAnsi="宋体" w:eastAsia="宋体" w:cs="宋体"/>
                <w:color w:val="auto"/>
                <w:szCs w:val="21"/>
                <w:highlight w:val="none"/>
                <w:lang w:eastAsia="zh-CN"/>
              </w:rPr>
              <w:t>中心辖区条</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国道（G</w:t>
            </w:r>
            <w:r>
              <w:rPr>
                <w:rFonts w:hint="eastAsia" w:ascii="宋体" w:hAnsi="宋体" w:eastAsia="宋体" w:cs="宋体"/>
                <w:color w:val="auto"/>
                <w:szCs w:val="21"/>
                <w:highlight w:val="none"/>
                <w:lang w:val="en-US" w:eastAsia="zh-CN"/>
              </w:rPr>
              <w:t>210</w:t>
            </w:r>
            <w:r>
              <w:rPr>
                <w:rFonts w:hint="eastAsia" w:ascii="宋体" w:hAnsi="宋体" w:eastAsia="宋体" w:cs="宋体"/>
                <w:color w:val="auto"/>
                <w:szCs w:val="21"/>
                <w:highlight w:val="none"/>
                <w:lang w:eastAsia="zh-CN"/>
              </w:rPr>
              <w:t>线、G</w:t>
            </w:r>
            <w:r>
              <w:rPr>
                <w:rFonts w:hint="eastAsia" w:ascii="宋体" w:hAnsi="宋体" w:eastAsia="宋体" w:cs="宋体"/>
                <w:color w:val="auto"/>
                <w:szCs w:val="21"/>
                <w:highlight w:val="none"/>
                <w:lang w:val="en-US" w:eastAsia="zh-CN"/>
              </w:rPr>
              <w:t>355</w:t>
            </w:r>
            <w:r>
              <w:rPr>
                <w:rFonts w:hint="eastAsia" w:ascii="宋体" w:hAnsi="宋体" w:eastAsia="宋体" w:cs="宋体"/>
                <w:color w:val="auto"/>
                <w:szCs w:val="21"/>
                <w:highlight w:val="none"/>
                <w:lang w:eastAsia="zh-CN"/>
              </w:rPr>
              <w:t>线）和</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条省道（S</w:t>
            </w:r>
            <w:r>
              <w:rPr>
                <w:rFonts w:hint="eastAsia" w:ascii="宋体" w:hAnsi="宋体" w:eastAsia="宋体" w:cs="宋体"/>
                <w:color w:val="auto"/>
                <w:szCs w:val="21"/>
                <w:highlight w:val="none"/>
                <w:lang w:val="en-US" w:eastAsia="zh-CN"/>
              </w:rPr>
              <w:t>211</w:t>
            </w:r>
            <w:r>
              <w:rPr>
                <w:rFonts w:hint="eastAsia" w:ascii="宋体" w:hAnsi="宋体" w:eastAsia="宋体" w:cs="宋体"/>
                <w:color w:val="auto"/>
                <w:szCs w:val="21"/>
                <w:highlight w:val="none"/>
                <w:lang w:eastAsia="zh-CN"/>
              </w:rPr>
              <w:t>线、S</w:t>
            </w:r>
            <w:r>
              <w:rPr>
                <w:rFonts w:hint="eastAsia" w:ascii="宋体" w:hAnsi="宋体" w:eastAsia="宋体" w:cs="宋体"/>
                <w:color w:val="auto"/>
                <w:szCs w:val="21"/>
                <w:highlight w:val="none"/>
                <w:lang w:val="en-US" w:eastAsia="zh-CN"/>
              </w:rPr>
              <w:t>510</w:t>
            </w:r>
            <w:r>
              <w:rPr>
                <w:rFonts w:hint="eastAsia" w:ascii="宋体" w:hAnsi="宋体" w:eastAsia="宋体" w:cs="宋体"/>
                <w:color w:val="auto"/>
                <w:szCs w:val="21"/>
                <w:highlight w:val="none"/>
                <w:lang w:eastAsia="zh-CN"/>
              </w:rPr>
              <w:t>线、S</w:t>
            </w:r>
            <w:r>
              <w:rPr>
                <w:rFonts w:hint="eastAsia" w:ascii="宋体" w:hAnsi="宋体" w:eastAsia="宋体" w:cs="宋体"/>
                <w:color w:val="auto"/>
                <w:szCs w:val="21"/>
                <w:highlight w:val="none"/>
                <w:lang w:val="en-US" w:eastAsia="zh-CN"/>
              </w:rPr>
              <w:t>309</w:t>
            </w:r>
            <w:r>
              <w:rPr>
                <w:rFonts w:hint="eastAsia" w:ascii="宋体" w:hAnsi="宋体" w:eastAsia="宋体" w:cs="宋体"/>
                <w:color w:val="auto"/>
                <w:szCs w:val="21"/>
                <w:highlight w:val="none"/>
                <w:lang w:eastAsia="zh-CN"/>
              </w:rPr>
              <w:t>线）共计</w:t>
            </w:r>
            <w:r>
              <w:rPr>
                <w:rFonts w:hint="eastAsia" w:ascii="宋体" w:hAnsi="宋体" w:eastAsia="宋体" w:cs="宋体"/>
                <w:color w:val="auto"/>
                <w:szCs w:val="21"/>
                <w:highlight w:val="none"/>
                <w:lang w:val="en-US" w:eastAsia="zh-CN"/>
              </w:rPr>
              <w:t>132.320</w:t>
            </w:r>
            <w:r>
              <w:rPr>
                <w:rFonts w:hint="eastAsia" w:ascii="宋体" w:hAnsi="宋体" w:eastAsia="宋体" w:cs="宋体"/>
                <w:color w:val="auto"/>
                <w:szCs w:val="21"/>
                <w:highlight w:val="none"/>
                <w:lang w:eastAsia="zh-CN"/>
              </w:rPr>
              <w:t>千米。其中2026年公路养护市场化服务里程为</w:t>
            </w:r>
            <w:r>
              <w:rPr>
                <w:rFonts w:hint="eastAsia" w:ascii="宋体" w:hAnsi="宋体" w:eastAsia="宋体" w:cs="宋体"/>
                <w:color w:val="auto"/>
                <w:szCs w:val="21"/>
                <w:highlight w:val="none"/>
                <w:lang w:val="en-US" w:eastAsia="zh-CN"/>
              </w:rPr>
              <w:t>132.320</w:t>
            </w:r>
            <w:r>
              <w:rPr>
                <w:rFonts w:hint="eastAsia" w:ascii="宋体" w:hAnsi="宋体" w:eastAsia="宋体" w:cs="宋体"/>
                <w:color w:val="auto"/>
                <w:szCs w:val="21"/>
                <w:highlight w:val="none"/>
                <w:lang w:eastAsia="zh-CN"/>
              </w:rPr>
              <w:t>千米，2027年里程约为</w:t>
            </w:r>
            <w:r>
              <w:rPr>
                <w:rFonts w:hint="eastAsia" w:ascii="宋体" w:hAnsi="宋体" w:eastAsia="宋体" w:cs="宋体"/>
                <w:color w:val="auto"/>
                <w:szCs w:val="21"/>
                <w:highlight w:val="none"/>
                <w:lang w:val="en-US" w:eastAsia="zh-CN"/>
              </w:rPr>
              <w:t>132.320</w:t>
            </w:r>
            <w:r>
              <w:rPr>
                <w:rFonts w:hint="eastAsia" w:ascii="宋体" w:hAnsi="宋体" w:eastAsia="宋体" w:cs="宋体"/>
                <w:color w:val="auto"/>
                <w:szCs w:val="21"/>
                <w:highlight w:val="none"/>
                <w:lang w:eastAsia="zh-CN"/>
              </w:rPr>
              <w:t>千米，2028年里程约为</w:t>
            </w:r>
            <w:r>
              <w:rPr>
                <w:rFonts w:hint="eastAsia" w:ascii="宋体" w:hAnsi="宋体" w:eastAsia="宋体" w:cs="宋体"/>
                <w:color w:val="auto"/>
                <w:szCs w:val="21"/>
                <w:highlight w:val="none"/>
                <w:lang w:val="en-US" w:eastAsia="zh-CN"/>
              </w:rPr>
              <w:t>132.320千米。</w:t>
            </w:r>
          </w:p>
          <w:p w14:paraId="6E6AB1CC">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50" w:line="360" w:lineRule="auto"/>
              <w:ind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采购</w:t>
            </w:r>
            <w:r>
              <w:rPr>
                <w:rFonts w:hint="eastAsia" w:ascii="宋体" w:hAnsi="宋体" w:eastAsia="宋体" w:cs="宋体"/>
                <w:b/>
                <w:bCs/>
                <w:color w:val="auto"/>
                <w:sz w:val="21"/>
                <w:szCs w:val="21"/>
                <w:highlight w:val="none"/>
                <w:lang w:val="en-US" w:eastAsia="zh-CN"/>
              </w:rPr>
              <w:t>内容：</w:t>
            </w:r>
            <w:r>
              <w:rPr>
                <w:rFonts w:hint="eastAsia" w:ascii="宋体" w:hAnsi="宋体" w:eastAsia="宋体" w:cs="宋体"/>
                <w:color w:val="auto"/>
                <w:sz w:val="21"/>
                <w:szCs w:val="21"/>
                <w:highlight w:val="none"/>
              </w:rPr>
              <w:t>按《公路养护技术标准》（JTG5110-2023）所规定的日常养护工作、突发事件应急处置及日常巡查、经常检查、定期检查（不包括桥涵、隧道）</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日常维修、公路数智化应用</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eastAsia="zh-CN"/>
              </w:rPr>
              <w:t>。</w:t>
            </w:r>
          </w:p>
          <w:p w14:paraId="1D4FC674">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50" w:line="360" w:lineRule="auto"/>
              <w:ind w:leftChars="0"/>
              <w:textAlignment w:val="auto"/>
              <w:rPr>
                <w:rFonts w:hint="eastAsia" w:ascii="宋体" w:hAnsi="宋体" w:eastAsia="宋体" w:cs="宋体"/>
                <w:color w:val="auto"/>
                <w:sz w:val="21"/>
                <w:szCs w:val="21"/>
                <w:highlight w:val="none"/>
                <w:lang w:eastAsia="zh-CN"/>
              </w:rPr>
            </w:pPr>
          </w:p>
          <w:p w14:paraId="2ADB3786">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50" w:line="360" w:lineRule="auto"/>
              <w:ind w:lef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二、各养护中心具体管养里程如下</w:t>
            </w:r>
            <w:r>
              <w:rPr>
                <w:rFonts w:hint="eastAsia" w:ascii="宋体" w:hAnsi="宋体" w:eastAsia="宋体" w:cs="宋体"/>
                <w:color w:val="auto"/>
                <w:szCs w:val="21"/>
                <w:highlight w:val="none"/>
                <w:lang w:eastAsia="zh-CN"/>
              </w:rPr>
              <w:t>（以最新年报数据为准）</w:t>
            </w:r>
            <w:r>
              <w:rPr>
                <w:rFonts w:hint="eastAsia" w:ascii="宋体" w:hAnsi="宋体" w:eastAsia="宋体" w:cs="宋体"/>
                <w:b/>
                <w:bCs/>
                <w:color w:val="auto"/>
                <w:sz w:val="21"/>
                <w:szCs w:val="21"/>
                <w:highlight w:val="none"/>
                <w:lang w:val="en-US" w:eastAsia="zh-CN"/>
              </w:rPr>
              <w:t>：</w:t>
            </w:r>
          </w:p>
          <w:tbl>
            <w:tblPr>
              <w:tblStyle w:val="17"/>
              <w:tblW w:w="6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1170"/>
              <w:gridCol w:w="1072"/>
              <w:gridCol w:w="1075"/>
              <w:gridCol w:w="1110"/>
              <w:gridCol w:w="1155"/>
            </w:tblGrid>
            <w:tr w14:paraId="24B3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14:paraId="5F1FBDFF">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年度</w:t>
                  </w:r>
                </w:p>
              </w:tc>
              <w:tc>
                <w:tcPr>
                  <w:tcW w:w="1170" w:type="dxa"/>
                  <w:noWrap w:val="0"/>
                  <w:vAlign w:val="center"/>
                </w:tcPr>
                <w:p w14:paraId="69465803">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辖区县中心</w:t>
                  </w:r>
                </w:p>
              </w:tc>
              <w:tc>
                <w:tcPr>
                  <w:tcW w:w="1072" w:type="dxa"/>
                  <w:noWrap w:val="0"/>
                  <w:vAlign w:val="center"/>
                </w:tcPr>
                <w:p w14:paraId="7448B600">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一级公路</w:t>
                  </w:r>
                </w:p>
                <w:p w14:paraId="695F24AA">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（公里）</w:t>
                  </w:r>
                </w:p>
              </w:tc>
              <w:tc>
                <w:tcPr>
                  <w:tcW w:w="1075" w:type="dxa"/>
                  <w:noWrap w:val="0"/>
                  <w:vAlign w:val="center"/>
                </w:tcPr>
                <w:p w14:paraId="15418732">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二级公路</w:t>
                  </w:r>
                </w:p>
                <w:p w14:paraId="269C5C36">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（公里）</w:t>
                  </w:r>
                </w:p>
              </w:tc>
              <w:tc>
                <w:tcPr>
                  <w:tcW w:w="1110" w:type="dxa"/>
                  <w:noWrap w:val="0"/>
                  <w:vAlign w:val="center"/>
                </w:tcPr>
                <w:p w14:paraId="7AEA8687">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三、四级公路（公里）</w:t>
                  </w:r>
                </w:p>
              </w:tc>
              <w:tc>
                <w:tcPr>
                  <w:tcW w:w="1155" w:type="dxa"/>
                  <w:noWrap w:val="0"/>
                  <w:vAlign w:val="center"/>
                </w:tcPr>
                <w:p w14:paraId="19FFAB95">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合计服务里程（公里）</w:t>
                  </w:r>
                </w:p>
              </w:tc>
            </w:tr>
            <w:tr w14:paraId="5EB3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restart"/>
                  <w:noWrap w:val="0"/>
                  <w:vAlign w:val="center"/>
                </w:tcPr>
                <w:p w14:paraId="042C5A3E">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2026年里程</w:t>
                  </w:r>
                </w:p>
              </w:tc>
              <w:tc>
                <w:tcPr>
                  <w:tcW w:w="1170" w:type="dxa"/>
                  <w:noWrap w:val="0"/>
                  <w:vAlign w:val="center"/>
                </w:tcPr>
                <w:p w14:paraId="2C28A7A3">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宾阳中心</w:t>
                  </w:r>
                </w:p>
              </w:tc>
              <w:tc>
                <w:tcPr>
                  <w:tcW w:w="1072" w:type="dxa"/>
                  <w:noWrap w:val="0"/>
                  <w:vAlign w:val="center"/>
                </w:tcPr>
                <w:p w14:paraId="6C8377AE">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ascii="宋体" w:hAnsi="宋体" w:cs="宋体"/>
                      <w:color w:val="auto"/>
                      <w:kern w:val="0"/>
                      <w:sz w:val="21"/>
                      <w:szCs w:val="21"/>
                      <w:highlight w:val="none"/>
                    </w:rPr>
                    <w:t>15.858</w:t>
                  </w:r>
                </w:p>
              </w:tc>
              <w:tc>
                <w:tcPr>
                  <w:tcW w:w="1075" w:type="dxa"/>
                  <w:noWrap w:val="0"/>
                  <w:vAlign w:val="center"/>
                </w:tcPr>
                <w:p w14:paraId="3F7B4901">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ascii="宋体" w:hAnsi="宋体" w:cs="宋体"/>
                      <w:color w:val="auto"/>
                      <w:kern w:val="0"/>
                      <w:sz w:val="21"/>
                      <w:szCs w:val="21"/>
                      <w:highlight w:val="none"/>
                    </w:rPr>
                    <w:t>146.114</w:t>
                  </w:r>
                </w:p>
              </w:tc>
              <w:tc>
                <w:tcPr>
                  <w:tcW w:w="1110" w:type="dxa"/>
                  <w:noWrap w:val="0"/>
                  <w:vAlign w:val="center"/>
                </w:tcPr>
                <w:p w14:paraId="2B827731">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1"/>
                      <w:szCs w:val="21"/>
                      <w:highlight w:val="none"/>
                    </w:rPr>
                    <w:t>0</w:t>
                  </w:r>
                </w:p>
              </w:tc>
              <w:tc>
                <w:tcPr>
                  <w:tcW w:w="1155" w:type="dxa"/>
                  <w:noWrap w:val="0"/>
                  <w:vAlign w:val="center"/>
                </w:tcPr>
                <w:p w14:paraId="507C974D">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ascii="宋体" w:hAnsi="宋体" w:cs="宋体"/>
                      <w:color w:val="auto"/>
                      <w:kern w:val="0"/>
                      <w:sz w:val="21"/>
                      <w:szCs w:val="21"/>
                      <w:highlight w:val="none"/>
                    </w:rPr>
                    <w:t>161.972</w:t>
                  </w:r>
                </w:p>
              </w:tc>
            </w:tr>
            <w:tr w14:paraId="61BB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continue"/>
                  <w:noWrap w:val="0"/>
                  <w:vAlign w:val="center"/>
                </w:tcPr>
                <w:p w14:paraId="4DA3A6A0">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0" w:type="dxa"/>
                  <w:noWrap w:val="0"/>
                  <w:vAlign w:val="center"/>
                </w:tcPr>
                <w:p w14:paraId="7A004624">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横县中心</w:t>
                  </w:r>
                </w:p>
              </w:tc>
              <w:tc>
                <w:tcPr>
                  <w:tcW w:w="1072" w:type="dxa"/>
                  <w:noWrap w:val="0"/>
                  <w:vAlign w:val="center"/>
                </w:tcPr>
                <w:p w14:paraId="41E74BBE">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1"/>
                      <w:szCs w:val="21"/>
                      <w:highlight w:val="none"/>
                    </w:rPr>
                    <w:t>0</w:t>
                  </w:r>
                </w:p>
              </w:tc>
              <w:tc>
                <w:tcPr>
                  <w:tcW w:w="1075" w:type="dxa"/>
                  <w:noWrap w:val="0"/>
                  <w:vAlign w:val="center"/>
                </w:tcPr>
                <w:p w14:paraId="61DDF531">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1"/>
                      <w:szCs w:val="21"/>
                      <w:highlight w:val="none"/>
                    </w:rPr>
                    <w:t>206.676</w:t>
                  </w:r>
                </w:p>
              </w:tc>
              <w:tc>
                <w:tcPr>
                  <w:tcW w:w="1110" w:type="dxa"/>
                  <w:noWrap w:val="0"/>
                  <w:vAlign w:val="center"/>
                </w:tcPr>
                <w:p w14:paraId="57D7EE68">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1"/>
                      <w:szCs w:val="21"/>
                      <w:highlight w:val="none"/>
                    </w:rPr>
                    <w:t>0</w:t>
                  </w:r>
                </w:p>
              </w:tc>
              <w:tc>
                <w:tcPr>
                  <w:tcW w:w="1155" w:type="dxa"/>
                  <w:noWrap w:val="0"/>
                  <w:vAlign w:val="center"/>
                </w:tcPr>
                <w:p w14:paraId="2C7FEBFD">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sz w:val="21"/>
                      <w:szCs w:val="21"/>
                      <w:highlight w:val="none"/>
                    </w:rPr>
                    <w:t>206.676</w:t>
                  </w:r>
                </w:p>
              </w:tc>
            </w:tr>
            <w:tr w14:paraId="4881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continue"/>
                  <w:noWrap w:val="0"/>
                  <w:vAlign w:val="center"/>
                </w:tcPr>
                <w:p w14:paraId="5A55F7A4">
                  <w:pPr>
                    <w:keepNext w:val="0"/>
                    <w:keepLines w:val="0"/>
                    <w:pageBreakBefore w:val="0"/>
                    <w:tabs>
                      <w:tab w:val="left" w:pos="0"/>
                    </w:tabs>
                    <w:wordWrap/>
                    <w:overflowPunct/>
                    <w:topLinePunct w:val="0"/>
                    <w:bidi w:val="0"/>
                    <w:spacing w:before="0" w:beforeLines="50" w:after="0" w:afterLines="50" w:line="300" w:lineRule="exact"/>
                    <w:jc w:val="center"/>
                    <w:rPr>
                      <w:rFonts w:hint="eastAsia" w:ascii="宋体" w:hAnsi="宋体" w:eastAsia="宋体" w:cs="宋体"/>
                      <w:b w:val="0"/>
                      <w:bCs w:val="0"/>
                      <w:color w:val="auto"/>
                      <w:sz w:val="21"/>
                      <w:szCs w:val="21"/>
                      <w:highlight w:val="none"/>
                      <w:vertAlign w:val="baseline"/>
                      <w:lang w:val="en-US" w:eastAsia="zh-CN"/>
                    </w:rPr>
                  </w:pPr>
                </w:p>
              </w:tc>
              <w:tc>
                <w:tcPr>
                  <w:tcW w:w="1170" w:type="dxa"/>
                  <w:noWrap w:val="0"/>
                  <w:vAlign w:val="center"/>
                </w:tcPr>
                <w:p w14:paraId="5585DA62">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上林中心</w:t>
                  </w:r>
                </w:p>
              </w:tc>
              <w:tc>
                <w:tcPr>
                  <w:tcW w:w="1072" w:type="dxa"/>
                  <w:noWrap w:val="0"/>
                  <w:vAlign w:val="center"/>
                </w:tcPr>
                <w:p w14:paraId="1AAEBDEF">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1"/>
                      <w:szCs w:val="21"/>
                      <w:highlight w:val="none"/>
                      <w:lang w:val="en-US" w:eastAsia="zh-CN"/>
                    </w:rPr>
                    <w:t>0</w:t>
                  </w:r>
                </w:p>
              </w:tc>
              <w:tc>
                <w:tcPr>
                  <w:tcW w:w="1075" w:type="dxa"/>
                  <w:noWrap w:val="0"/>
                  <w:vAlign w:val="center"/>
                </w:tcPr>
                <w:p w14:paraId="7C1F3108">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1"/>
                      <w:szCs w:val="21"/>
                      <w:highlight w:val="none"/>
                      <w:lang w:val="en-US" w:eastAsia="zh-CN"/>
                    </w:rPr>
                    <w:t>172.636</w:t>
                  </w:r>
                </w:p>
              </w:tc>
              <w:tc>
                <w:tcPr>
                  <w:tcW w:w="1110" w:type="dxa"/>
                  <w:noWrap w:val="0"/>
                  <w:vAlign w:val="center"/>
                </w:tcPr>
                <w:p w14:paraId="3FA6C35D">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1"/>
                      <w:szCs w:val="21"/>
                      <w:highlight w:val="none"/>
                      <w:lang w:val="en-US" w:eastAsia="zh-CN"/>
                    </w:rPr>
                    <w:t>0</w:t>
                  </w:r>
                </w:p>
              </w:tc>
              <w:tc>
                <w:tcPr>
                  <w:tcW w:w="1155" w:type="dxa"/>
                  <w:noWrap w:val="0"/>
                  <w:vAlign w:val="center"/>
                </w:tcPr>
                <w:p w14:paraId="37762D77">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1"/>
                      <w:szCs w:val="21"/>
                      <w:highlight w:val="none"/>
                      <w:lang w:val="en-US" w:eastAsia="zh-CN"/>
                    </w:rPr>
                    <w:t>172.636</w:t>
                  </w:r>
                </w:p>
              </w:tc>
            </w:tr>
            <w:tr w14:paraId="0A6D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continue"/>
                  <w:noWrap w:val="0"/>
                  <w:vAlign w:val="center"/>
                </w:tcPr>
                <w:p w14:paraId="71D541EA">
                  <w:pPr>
                    <w:keepNext w:val="0"/>
                    <w:keepLines w:val="0"/>
                    <w:pageBreakBefore w:val="0"/>
                    <w:tabs>
                      <w:tab w:val="left" w:pos="0"/>
                    </w:tabs>
                    <w:wordWrap/>
                    <w:overflowPunct/>
                    <w:topLinePunct w:val="0"/>
                    <w:bidi w:val="0"/>
                    <w:spacing w:before="0" w:beforeLines="50" w:after="0" w:afterLines="50" w:line="300" w:lineRule="exact"/>
                    <w:jc w:val="center"/>
                    <w:rPr>
                      <w:rFonts w:hint="eastAsia" w:ascii="宋体" w:hAnsi="宋体" w:eastAsia="宋体" w:cs="宋体"/>
                      <w:b w:val="0"/>
                      <w:bCs w:val="0"/>
                      <w:color w:val="auto"/>
                      <w:sz w:val="21"/>
                      <w:szCs w:val="21"/>
                      <w:highlight w:val="none"/>
                      <w:vertAlign w:val="baseline"/>
                      <w:lang w:val="en-US" w:eastAsia="zh-CN"/>
                    </w:rPr>
                  </w:pPr>
                </w:p>
              </w:tc>
              <w:tc>
                <w:tcPr>
                  <w:tcW w:w="1170" w:type="dxa"/>
                  <w:noWrap w:val="0"/>
                  <w:vAlign w:val="center"/>
                </w:tcPr>
                <w:p w14:paraId="6E033B6C">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马山中心</w:t>
                  </w:r>
                </w:p>
              </w:tc>
              <w:tc>
                <w:tcPr>
                  <w:tcW w:w="1072" w:type="dxa"/>
                  <w:noWrap w:val="0"/>
                  <w:vAlign w:val="center"/>
                </w:tcPr>
                <w:p w14:paraId="3C9C4A3C">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1"/>
                      <w:szCs w:val="21"/>
                      <w:highlight w:val="none"/>
                      <w:lang w:val="en-US" w:eastAsia="zh-CN"/>
                    </w:rPr>
                    <w:t>0</w:t>
                  </w:r>
                </w:p>
              </w:tc>
              <w:tc>
                <w:tcPr>
                  <w:tcW w:w="1075" w:type="dxa"/>
                  <w:noWrap w:val="0"/>
                  <w:vAlign w:val="center"/>
                </w:tcPr>
                <w:p w14:paraId="1B8356FC">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1"/>
                      <w:szCs w:val="21"/>
                      <w:highlight w:val="none"/>
                      <w:lang w:val="en-US" w:eastAsia="zh-CN"/>
                    </w:rPr>
                    <w:t>120.62</w:t>
                  </w:r>
                </w:p>
              </w:tc>
              <w:tc>
                <w:tcPr>
                  <w:tcW w:w="1110" w:type="dxa"/>
                  <w:noWrap w:val="0"/>
                  <w:vAlign w:val="center"/>
                </w:tcPr>
                <w:p w14:paraId="4CA4ED21">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1"/>
                      <w:szCs w:val="21"/>
                      <w:highlight w:val="none"/>
                      <w:lang w:val="en-US" w:eastAsia="zh-CN"/>
                    </w:rPr>
                    <w:t>11.7</w:t>
                  </w:r>
                </w:p>
              </w:tc>
              <w:tc>
                <w:tcPr>
                  <w:tcW w:w="1155" w:type="dxa"/>
                  <w:noWrap w:val="0"/>
                  <w:vAlign w:val="center"/>
                </w:tcPr>
                <w:p w14:paraId="76BEB35E">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1"/>
                      <w:szCs w:val="21"/>
                      <w:highlight w:val="none"/>
                      <w:lang w:val="en-US" w:eastAsia="zh-CN"/>
                    </w:rPr>
                    <w:t>132.32</w:t>
                  </w:r>
                </w:p>
              </w:tc>
            </w:tr>
            <w:tr w14:paraId="6414C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continue"/>
                  <w:noWrap w:val="0"/>
                  <w:vAlign w:val="center"/>
                </w:tcPr>
                <w:p w14:paraId="5440C80F">
                  <w:pPr>
                    <w:keepNext w:val="0"/>
                    <w:keepLines w:val="0"/>
                    <w:pageBreakBefore w:val="0"/>
                    <w:tabs>
                      <w:tab w:val="left" w:pos="0"/>
                    </w:tabs>
                    <w:wordWrap/>
                    <w:overflowPunct/>
                    <w:topLinePunct w:val="0"/>
                    <w:bidi w:val="0"/>
                    <w:spacing w:before="0" w:beforeLines="50" w:after="0" w:afterLines="50" w:line="300" w:lineRule="exact"/>
                    <w:jc w:val="center"/>
                    <w:rPr>
                      <w:rFonts w:hint="eastAsia" w:ascii="宋体" w:hAnsi="宋体" w:eastAsia="宋体" w:cs="宋体"/>
                      <w:b w:val="0"/>
                      <w:bCs w:val="0"/>
                      <w:color w:val="auto"/>
                      <w:sz w:val="21"/>
                      <w:szCs w:val="21"/>
                      <w:highlight w:val="none"/>
                      <w:vertAlign w:val="baseline"/>
                      <w:lang w:val="en-US" w:eastAsia="zh-CN"/>
                    </w:rPr>
                  </w:pPr>
                </w:p>
              </w:tc>
              <w:tc>
                <w:tcPr>
                  <w:tcW w:w="1170" w:type="dxa"/>
                  <w:noWrap w:val="0"/>
                  <w:vAlign w:val="center"/>
                </w:tcPr>
                <w:p w14:paraId="03AF290F">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分项汇总</w:t>
                  </w:r>
                </w:p>
              </w:tc>
              <w:tc>
                <w:tcPr>
                  <w:tcW w:w="1072" w:type="dxa"/>
                  <w:noWrap w:val="0"/>
                  <w:vAlign w:val="center"/>
                </w:tcPr>
                <w:p w14:paraId="1EC2262B">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15.858</w:t>
                  </w:r>
                </w:p>
              </w:tc>
              <w:tc>
                <w:tcPr>
                  <w:tcW w:w="1075" w:type="dxa"/>
                  <w:noWrap w:val="0"/>
                  <w:vAlign w:val="center"/>
                </w:tcPr>
                <w:p w14:paraId="56008F2A">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646.046</w:t>
                  </w:r>
                </w:p>
              </w:tc>
              <w:tc>
                <w:tcPr>
                  <w:tcW w:w="1110" w:type="dxa"/>
                  <w:noWrap w:val="0"/>
                  <w:vAlign w:val="center"/>
                </w:tcPr>
                <w:p w14:paraId="264FEDAB">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11.7</w:t>
                  </w:r>
                </w:p>
              </w:tc>
              <w:tc>
                <w:tcPr>
                  <w:tcW w:w="1155" w:type="dxa"/>
                  <w:noWrap w:val="0"/>
                  <w:vAlign w:val="center"/>
                </w:tcPr>
                <w:p w14:paraId="70AA3494">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673.604</w:t>
                  </w:r>
                </w:p>
              </w:tc>
            </w:tr>
            <w:tr w14:paraId="6D69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restart"/>
                  <w:noWrap w:val="0"/>
                  <w:vAlign w:val="center"/>
                </w:tcPr>
                <w:p w14:paraId="34B7C6DD">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2027年里程</w:t>
                  </w:r>
                </w:p>
              </w:tc>
              <w:tc>
                <w:tcPr>
                  <w:tcW w:w="1170" w:type="dxa"/>
                  <w:noWrap w:val="0"/>
                  <w:vAlign w:val="center"/>
                </w:tcPr>
                <w:p w14:paraId="10B7F90C">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宾阳中心</w:t>
                  </w:r>
                </w:p>
              </w:tc>
              <w:tc>
                <w:tcPr>
                  <w:tcW w:w="1072" w:type="dxa"/>
                  <w:noWrap w:val="0"/>
                  <w:vAlign w:val="center"/>
                </w:tcPr>
                <w:p w14:paraId="3168F69C">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ascii="宋体" w:hAnsi="宋体" w:cs="宋体"/>
                      <w:color w:val="auto"/>
                      <w:kern w:val="0"/>
                      <w:sz w:val="21"/>
                      <w:szCs w:val="21"/>
                      <w:highlight w:val="none"/>
                    </w:rPr>
                    <w:t>15.858</w:t>
                  </w:r>
                </w:p>
              </w:tc>
              <w:tc>
                <w:tcPr>
                  <w:tcW w:w="1075" w:type="dxa"/>
                  <w:noWrap w:val="0"/>
                  <w:vAlign w:val="center"/>
                </w:tcPr>
                <w:p w14:paraId="056D4867">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ascii="宋体" w:hAnsi="宋体" w:cs="宋体"/>
                      <w:color w:val="auto"/>
                      <w:kern w:val="0"/>
                      <w:sz w:val="21"/>
                      <w:szCs w:val="21"/>
                      <w:highlight w:val="none"/>
                    </w:rPr>
                    <w:t>146.114</w:t>
                  </w:r>
                </w:p>
              </w:tc>
              <w:tc>
                <w:tcPr>
                  <w:tcW w:w="1110" w:type="dxa"/>
                  <w:noWrap w:val="0"/>
                  <w:vAlign w:val="center"/>
                </w:tcPr>
                <w:p w14:paraId="28BF3DD9">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1"/>
                      <w:szCs w:val="21"/>
                      <w:highlight w:val="none"/>
                    </w:rPr>
                    <w:t>0</w:t>
                  </w:r>
                </w:p>
              </w:tc>
              <w:tc>
                <w:tcPr>
                  <w:tcW w:w="1155" w:type="dxa"/>
                  <w:noWrap w:val="0"/>
                  <w:vAlign w:val="center"/>
                </w:tcPr>
                <w:p w14:paraId="5FF8A92F">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ascii="宋体" w:hAnsi="宋体" w:cs="宋体"/>
                      <w:color w:val="auto"/>
                      <w:kern w:val="0"/>
                      <w:sz w:val="21"/>
                      <w:szCs w:val="21"/>
                      <w:highlight w:val="none"/>
                    </w:rPr>
                    <w:t>161.972</w:t>
                  </w:r>
                </w:p>
              </w:tc>
            </w:tr>
            <w:tr w14:paraId="6DA2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continue"/>
                  <w:noWrap w:val="0"/>
                  <w:vAlign w:val="center"/>
                </w:tcPr>
                <w:p w14:paraId="1C073A95">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0" w:type="dxa"/>
                  <w:noWrap w:val="0"/>
                  <w:vAlign w:val="center"/>
                </w:tcPr>
                <w:p w14:paraId="5DE9EA94">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横县中心</w:t>
                  </w:r>
                </w:p>
              </w:tc>
              <w:tc>
                <w:tcPr>
                  <w:tcW w:w="1072" w:type="dxa"/>
                  <w:noWrap w:val="0"/>
                  <w:vAlign w:val="center"/>
                </w:tcPr>
                <w:p w14:paraId="3C1AFE7E">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1"/>
                      <w:szCs w:val="21"/>
                      <w:highlight w:val="none"/>
                    </w:rPr>
                    <w:t>0</w:t>
                  </w:r>
                </w:p>
              </w:tc>
              <w:tc>
                <w:tcPr>
                  <w:tcW w:w="1075" w:type="dxa"/>
                  <w:noWrap w:val="0"/>
                  <w:vAlign w:val="center"/>
                </w:tcPr>
                <w:p w14:paraId="52B35FE6">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1"/>
                      <w:szCs w:val="21"/>
                      <w:highlight w:val="none"/>
                    </w:rPr>
                    <w:t>254.742</w:t>
                  </w:r>
                </w:p>
              </w:tc>
              <w:tc>
                <w:tcPr>
                  <w:tcW w:w="1110" w:type="dxa"/>
                  <w:noWrap w:val="0"/>
                  <w:vAlign w:val="center"/>
                </w:tcPr>
                <w:p w14:paraId="54611B4C">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1"/>
                      <w:szCs w:val="21"/>
                      <w:highlight w:val="none"/>
                    </w:rPr>
                    <w:t>0</w:t>
                  </w:r>
                </w:p>
              </w:tc>
              <w:tc>
                <w:tcPr>
                  <w:tcW w:w="1155" w:type="dxa"/>
                  <w:noWrap w:val="0"/>
                  <w:vAlign w:val="center"/>
                </w:tcPr>
                <w:p w14:paraId="4E98B02F">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1"/>
                      <w:szCs w:val="21"/>
                      <w:highlight w:val="none"/>
                    </w:rPr>
                    <w:t>254.742</w:t>
                  </w:r>
                </w:p>
              </w:tc>
            </w:tr>
            <w:tr w14:paraId="7052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continue"/>
                  <w:noWrap w:val="0"/>
                  <w:vAlign w:val="center"/>
                </w:tcPr>
                <w:p w14:paraId="24A84B19">
                  <w:pPr>
                    <w:keepNext w:val="0"/>
                    <w:keepLines w:val="0"/>
                    <w:pageBreakBefore w:val="0"/>
                    <w:tabs>
                      <w:tab w:val="left" w:pos="0"/>
                    </w:tabs>
                    <w:wordWrap/>
                    <w:overflowPunct/>
                    <w:topLinePunct w:val="0"/>
                    <w:bidi w:val="0"/>
                    <w:spacing w:before="0" w:beforeLines="50" w:after="0" w:afterLines="50" w:line="300" w:lineRule="exact"/>
                    <w:jc w:val="center"/>
                    <w:rPr>
                      <w:rFonts w:hint="eastAsia" w:ascii="宋体" w:hAnsi="宋体" w:eastAsia="宋体" w:cs="宋体"/>
                      <w:b w:val="0"/>
                      <w:bCs w:val="0"/>
                      <w:color w:val="auto"/>
                      <w:sz w:val="21"/>
                      <w:szCs w:val="21"/>
                      <w:highlight w:val="none"/>
                      <w:vertAlign w:val="baseline"/>
                      <w:lang w:val="en-US" w:eastAsia="zh-CN"/>
                    </w:rPr>
                  </w:pPr>
                </w:p>
              </w:tc>
              <w:tc>
                <w:tcPr>
                  <w:tcW w:w="1170" w:type="dxa"/>
                  <w:noWrap w:val="0"/>
                  <w:vAlign w:val="center"/>
                </w:tcPr>
                <w:p w14:paraId="36F9DCD5">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上林中心</w:t>
                  </w:r>
                </w:p>
              </w:tc>
              <w:tc>
                <w:tcPr>
                  <w:tcW w:w="1072" w:type="dxa"/>
                  <w:noWrap w:val="0"/>
                  <w:vAlign w:val="center"/>
                </w:tcPr>
                <w:p w14:paraId="65267113">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color w:val="auto"/>
                      <w:kern w:val="0"/>
                      <w:sz w:val="21"/>
                      <w:szCs w:val="21"/>
                      <w:highlight w:val="none"/>
                      <w:lang w:val="en-US" w:eastAsia="zh-CN"/>
                    </w:rPr>
                    <w:t>0</w:t>
                  </w:r>
                </w:p>
              </w:tc>
              <w:tc>
                <w:tcPr>
                  <w:tcW w:w="1075" w:type="dxa"/>
                  <w:noWrap w:val="0"/>
                  <w:vAlign w:val="center"/>
                </w:tcPr>
                <w:p w14:paraId="7AD1D12D">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color w:val="auto"/>
                      <w:kern w:val="0"/>
                      <w:sz w:val="21"/>
                      <w:szCs w:val="21"/>
                      <w:highlight w:val="none"/>
                      <w:lang w:val="en-US" w:eastAsia="zh-CN"/>
                    </w:rPr>
                    <w:t>172.636</w:t>
                  </w:r>
                </w:p>
              </w:tc>
              <w:tc>
                <w:tcPr>
                  <w:tcW w:w="1110" w:type="dxa"/>
                  <w:noWrap w:val="0"/>
                  <w:vAlign w:val="center"/>
                </w:tcPr>
                <w:p w14:paraId="4FFE13FF">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color w:val="auto"/>
                      <w:kern w:val="0"/>
                      <w:sz w:val="21"/>
                      <w:szCs w:val="21"/>
                      <w:highlight w:val="none"/>
                      <w:lang w:val="en-US" w:eastAsia="zh-CN"/>
                    </w:rPr>
                    <w:t>0</w:t>
                  </w:r>
                </w:p>
              </w:tc>
              <w:tc>
                <w:tcPr>
                  <w:tcW w:w="1155" w:type="dxa"/>
                  <w:noWrap w:val="0"/>
                  <w:vAlign w:val="center"/>
                </w:tcPr>
                <w:p w14:paraId="739195AE">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color w:val="auto"/>
                      <w:kern w:val="0"/>
                      <w:sz w:val="21"/>
                      <w:szCs w:val="21"/>
                      <w:highlight w:val="none"/>
                      <w:lang w:val="en-US" w:eastAsia="zh-CN"/>
                    </w:rPr>
                    <w:t>172.636</w:t>
                  </w:r>
                </w:p>
              </w:tc>
            </w:tr>
            <w:tr w14:paraId="21D1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continue"/>
                  <w:noWrap w:val="0"/>
                  <w:vAlign w:val="center"/>
                </w:tcPr>
                <w:p w14:paraId="7289A217">
                  <w:pPr>
                    <w:keepNext w:val="0"/>
                    <w:keepLines w:val="0"/>
                    <w:pageBreakBefore w:val="0"/>
                    <w:tabs>
                      <w:tab w:val="left" w:pos="0"/>
                    </w:tabs>
                    <w:wordWrap/>
                    <w:overflowPunct/>
                    <w:topLinePunct w:val="0"/>
                    <w:bidi w:val="0"/>
                    <w:spacing w:before="0" w:beforeLines="50" w:after="0" w:afterLines="50" w:line="300" w:lineRule="exact"/>
                    <w:jc w:val="center"/>
                    <w:rPr>
                      <w:rFonts w:hint="eastAsia" w:ascii="宋体" w:hAnsi="宋体" w:eastAsia="宋体" w:cs="宋体"/>
                      <w:b w:val="0"/>
                      <w:bCs w:val="0"/>
                      <w:color w:val="auto"/>
                      <w:sz w:val="21"/>
                      <w:szCs w:val="21"/>
                      <w:highlight w:val="none"/>
                      <w:vertAlign w:val="baseline"/>
                      <w:lang w:val="en-US" w:eastAsia="zh-CN"/>
                    </w:rPr>
                  </w:pPr>
                </w:p>
              </w:tc>
              <w:tc>
                <w:tcPr>
                  <w:tcW w:w="1170" w:type="dxa"/>
                  <w:noWrap w:val="0"/>
                  <w:vAlign w:val="center"/>
                </w:tcPr>
                <w:p w14:paraId="06B29D6A">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马山中心</w:t>
                  </w:r>
                </w:p>
              </w:tc>
              <w:tc>
                <w:tcPr>
                  <w:tcW w:w="1072" w:type="dxa"/>
                  <w:noWrap w:val="0"/>
                  <w:vAlign w:val="center"/>
                </w:tcPr>
                <w:p w14:paraId="547BED0E">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1"/>
                      <w:szCs w:val="21"/>
                      <w:highlight w:val="none"/>
                      <w:lang w:val="en-US" w:eastAsia="zh-CN"/>
                    </w:rPr>
                    <w:t>0</w:t>
                  </w:r>
                </w:p>
              </w:tc>
              <w:tc>
                <w:tcPr>
                  <w:tcW w:w="1075" w:type="dxa"/>
                  <w:noWrap w:val="0"/>
                  <w:vAlign w:val="center"/>
                </w:tcPr>
                <w:p w14:paraId="7525EDE0">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1"/>
                      <w:szCs w:val="21"/>
                      <w:highlight w:val="none"/>
                      <w:lang w:val="en-US" w:eastAsia="zh-CN"/>
                    </w:rPr>
                    <w:t>120.62</w:t>
                  </w:r>
                </w:p>
              </w:tc>
              <w:tc>
                <w:tcPr>
                  <w:tcW w:w="1110" w:type="dxa"/>
                  <w:noWrap w:val="0"/>
                  <w:vAlign w:val="center"/>
                </w:tcPr>
                <w:p w14:paraId="0809030F">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1"/>
                      <w:szCs w:val="21"/>
                      <w:highlight w:val="none"/>
                      <w:lang w:val="en-US" w:eastAsia="zh-CN"/>
                    </w:rPr>
                    <w:t>11.7</w:t>
                  </w:r>
                </w:p>
              </w:tc>
              <w:tc>
                <w:tcPr>
                  <w:tcW w:w="1155" w:type="dxa"/>
                  <w:noWrap w:val="0"/>
                  <w:vAlign w:val="center"/>
                </w:tcPr>
                <w:p w14:paraId="498DB1A2">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1"/>
                      <w:szCs w:val="21"/>
                      <w:highlight w:val="none"/>
                      <w:lang w:val="en-US" w:eastAsia="zh-CN"/>
                    </w:rPr>
                    <w:t>132.32</w:t>
                  </w:r>
                </w:p>
              </w:tc>
            </w:tr>
            <w:tr w14:paraId="7D3C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continue"/>
                  <w:noWrap w:val="0"/>
                  <w:vAlign w:val="center"/>
                </w:tcPr>
                <w:p w14:paraId="0A77E230">
                  <w:pPr>
                    <w:keepNext w:val="0"/>
                    <w:keepLines w:val="0"/>
                    <w:pageBreakBefore w:val="0"/>
                    <w:tabs>
                      <w:tab w:val="left" w:pos="0"/>
                    </w:tabs>
                    <w:wordWrap/>
                    <w:overflowPunct/>
                    <w:topLinePunct w:val="0"/>
                    <w:bidi w:val="0"/>
                    <w:spacing w:before="0" w:beforeLines="50" w:after="0" w:afterLines="50" w:line="300" w:lineRule="exact"/>
                    <w:jc w:val="center"/>
                    <w:rPr>
                      <w:rFonts w:hint="eastAsia" w:ascii="宋体" w:hAnsi="宋体" w:eastAsia="宋体" w:cs="宋体"/>
                      <w:b w:val="0"/>
                      <w:bCs w:val="0"/>
                      <w:color w:val="auto"/>
                      <w:sz w:val="21"/>
                      <w:szCs w:val="21"/>
                      <w:highlight w:val="none"/>
                      <w:vertAlign w:val="baseline"/>
                      <w:lang w:val="en-US" w:eastAsia="zh-CN"/>
                    </w:rPr>
                  </w:pPr>
                </w:p>
              </w:tc>
              <w:tc>
                <w:tcPr>
                  <w:tcW w:w="1170" w:type="dxa"/>
                  <w:noWrap w:val="0"/>
                  <w:vAlign w:val="center"/>
                </w:tcPr>
                <w:p w14:paraId="0D367544">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分项汇总</w:t>
                  </w:r>
                </w:p>
              </w:tc>
              <w:tc>
                <w:tcPr>
                  <w:tcW w:w="1072" w:type="dxa"/>
                  <w:noWrap w:val="0"/>
                  <w:vAlign w:val="center"/>
                </w:tcPr>
                <w:p w14:paraId="52D13B0E">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15.858</w:t>
                  </w:r>
                </w:p>
              </w:tc>
              <w:tc>
                <w:tcPr>
                  <w:tcW w:w="1075" w:type="dxa"/>
                  <w:noWrap w:val="0"/>
                  <w:vAlign w:val="center"/>
                </w:tcPr>
                <w:p w14:paraId="47EB05DB">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694.112</w:t>
                  </w:r>
                </w:p>
              </w:tc>
              <w:tc>
                <w:tcPr>
                  <w:tcW w:w="1110" w:type="dxa"/>
                  <w:noWrap w:val="0"/>
                  <w:vAlign w:val="center"/>
                </w:tcPr>
                <w:p w14:paraId="50EB2674">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11.7</w:t>
                  </w:r>
                </w:p>
              </w:tc>
              <w:tc>
                <w:tcPr>
                  <w:tcW w:w="1155" w:type="dxa"/>
                  <w:noWrap w:val="0"/>
                  <w:vAlign w:val="center"/>
                </w:tcPr>
                <w:p w14:paraId="77BCF3DD">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721.67</w:t>
                  </w:r>
                </w:p>
              </w:tc>
            </w:tr>
            <w:tr w14:paraId="5E90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restart"/>
                  <w:noWrap w:val="0"/>
                  <w:vAlign w:val="center"/>
                </w:tcPr>
                <w:p w14:paraId="5B4353DF">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2028年里程</w:t>
                  </w:r>
                </w:p>
              </w:tc>
              <w:tc>
                <w:tcPr>
                  <w:tcW w:w="1170" w:type="dxa"/>
                  <w:noWrap w:val="0"/>
                  <w:vAlign w:val="center"/>
                </w:tcPr>
                <w:p w14:paraId="2C747EB2">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宾阳中心</w:t>
                  </w:r>
                </w:p>
              </w:tc>
              <w:tc>
                <w:tcPr>
                  <w:tcW w:w="1072" w:type="dxa"/>
                  <w:noWrap w:val="0"/>
                  <w:vAlign w:val="center"/>
                </w:tcPr>
                <w:p w14:paraId="2E0FF569">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ascii="宋体" w:hAnsi="宋体" w:cs="宋体"/>
                      <w:color w:val="auto"/>
                      <w:kern w:val="0"/>
                      <w:sz w:val="21"/>
                      <w:szCs w:val="21"/>
                      <w:highlight w:val="none"/>
                    </w:rPr>
                    <w:t>15.858</w:t>
                  </w:r>
                </w:p>
              </w:tc>
              <w:tc>
                <w:tcPr>
                  <w:tcW w:w="1075" w:type="dxa"/>
                  <w:noWrap w:val="0"/>
                  <w:vAlign w:val="center"/>
                </w:tcPr>
                <w:p w14:paraId="621A5BF2">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ascii="宋体" w:hAnsi="宋体" w:cs="宋体"/>
                      <w:color w:val="auto"/>
                      <w:kern w:val="0"/>
                      <w:sz w:val="21"/>
                      <w:szCs w:val="21"/>
                      <w:highlight w:val="none"/>
                    </w:rPr>
                    <w:t>146.114</w:t>
                  </w:r>
                </w:p>
              </w:tc>
              <w:tc>
                <w:tcPr>
                  <w:tcW w:w="1110" w:type="dxa"/>
                  <w:noWrap w:val="0"/>
                  <w:vAlign w:val="center"/>
                </w:tcPr>
                <w:p w14:paraId="2E26F286">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color w:val="auto"/>
                      <w:kern w:val="0"/>
                      <w:sz w:val="21"/>
                      <w:szCs w:val="21"/>
                      <w:highlight w:val="none"/>
                    </w:rPr>
                    <w:t>0</w:t>
                  </w:r>
                </w:p>
              </w:tc>
              <w:tc>
                <w:tcPr>
                  <w:tcW w:w="1155" w:type="dxa"/>
                  <w:noWrap w:val="0"/>
                  <w:vAlign w:val="center"/>
                </w:tcPr>
                <w:p w14:paraId="08155B0A">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ascii="宋体" w:hAnsi="宋体" w:cs="宋体"/>
                      <w:color w:val="auto"/>
                      <w:kern w:val="0"/>
                      <w:sz w:val="21"/>
                      <w:szCs w:val="21"/>
                      <w:highlight w:val="none"/>
                    </w:rPr>
                    <w:t>161.972</w:t>
                  </w:r>
                </w:p>
              </w:tc>
            </w:tr>
            <w:tr w14:paraId="3218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continue"/>
                  <w:noWrap w:val="0"/>
                  <w:vAlign w:val="center"/>
                </w:tcPr>
                <w:p w14:paraId="41CF7AEF">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0" w:type="dxa"/>
                  <w:noWrap w:val="0"/>
                  <w:vAlign w:val="center"/>
                </w:tcPr>
                <w:p w14:paraId="4B34E577">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横县中心</w:t>
                  </w:r>
                </w:p>
              </w:tc>
              <w:tc>
                <w:tcPr>
                  <w:tcW w:w="1072" w:type="dxa"/>
                  <w:noWrap w:val="0"/>
                  <w:vAlign w:val="center"/>
                </w:tcPr>
                <w:p w14:paraId="775B498C">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color w:val="auto"/>
                      <w:kern w:val="0"/>
                      <w:sz w:val="21"/>
                      <w:szCs w:val="21"/>
                      <w:highlight w:val="none"/>
                    </w:rPr>
                    <w:t>0</w:t>
                  </w:r>
                </w:p>
              </w:tc>
              <w:tc>
                <w:tcPr>
                  <w:tcW w:w="1075" w:type="dxa"/>
                  <w:noWrap w:val="0"/>
                  <w:vAlign w:val="center"/>
                </w:tcPr>
                <w:p w14:paraId="73823E9E">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color w:val="auto"/>
                      <w:kern w:val="0"/>
                      <w:sz w:val="21"/>
                      <w:szCs w:val="21"/>
                      <w:highlight w:val="none"/>
                    </w:rPr>
                    <w:t>254.742</w:t>
                  </w:r>
                </w:p>
              </w:tc>
              <w:tc>
                <w:tcPr>
                  <w:tcW w:w="1110" w:type="dxa"/>
                  <w:noWrap w:val="0"/>
                  <w:vAlign w:val="center"/>
                </w:tcPr>
                <w:p w14:paraId="694CB850">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color w:val="auto"/>
                      <w:kern w:val="0"/>
                      <w:sz w:val="21"/>
                      <w:szCs w:val="21"/>
                      <w:highlight w:val="none"/>
                    </w:rPr>
                    <w:t>0</w:t>
                  </w:r>
                </w:p>
              </w:tc>
              <w:tc>
                <w:tcPr>
                  <w:tcW w:w="1155" w:type="dxa"/>
                  <w:noWrap w:val="0"/>
                  <w:vAlign w:val="center"/>
                </w:tcPr>
                <w:p w14:paraId="665A181E">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color w:val="auto"/>
                      <w:kern w:val="0"/>
                      <w:sz w:val="21"/>
                      <w:szCs w:val="21"/>
                      <w:highlight w:val="none"/>
                    </w:rPr>
                    <w:t>254.742</w:t>
                  </w:r>
                </w:p>
              </w:tc>
            </w:tr>
            <w:tr w14:paraId="793A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continue"/>
                  <w:noWrap w:val="0"/>
                  <w:vAlign w:val="center"/>
                </w:tcPr>
                <w:p w14:paraId="63326F52">
                  <w:pPr>
                    <w:keepNext w:val="0"/>
                    <w:keepLines w:val="0"/>
                    <w:pageBreakBefore w:val="0"/>
                    <w:tabs>
                      <w:tab w:val="left" w:pos="0"/>
                    </w:tabs>
                    <w:wordWrap/>
                    <w:overflowPunct/>
                    <w:topLinePunct w:val="0"/>
                    <w:bidi w:val="0"/>
                    <w:spacing w:before="0" w:beforeLines="50" w:after="0" w:afterLines="50" w:line="300" w:lineRule="exact"/>
                    <w:jc w:val="center"/>
                    <w:rPr>
                      <w:rFonts w:hint="eastAsia" w:ascii="宋体" w:hAnsi="宋体" w:eastAsia="宋体" w:cs="宋体"/>
                      <w:b w:val="0"/>
                      <w:bCs w:val="0"/>
                      <w:color w:val="auto"/>
                      <w:sz w:val="21"/>
                      <w:szCs w:val="21"/>
                      <w:highlight w:val="none"/>
                      <w:vertAlign w:val="baseline"/>
                      <w:lang w:val="en-US" w:eastAsia="zh-CN"/>
                    </w:rPr>
                  </w:pPr>
                </w:p>
              </w:tc>
              <w:tc>
                <w:tcPr>
                  <w:tcW w:w="1170" w:type="dxa"/>
                  <w:noWrap w:val="0"/>
                  <w:vAlign w:val="center"/>
                </w:tcPr>
                <w:p w14:paraId="1ABDEFDB">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上林中心</w:t>
                  </w:r>
                </w:p>
              </w:tc>
              <w:tc>
                <w:tcPr>
                  <w:tcW w:w="1072" w:type="dxa"/>
                  <w:noWrap w:val="0"/>
                  <w:vAlign w:val="center"/>
                </w:tcPr>
                <w:p w14:paraId="6D0A4B39">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color w:val="auto"/>
                      <w:kern w:val="0"/>
                      <w:sz w:val="21"/>
                      <w:szCs w:val="21"/>
                      <w:highlight w:val="none"/>
                      <w:lang w:val="en-US" w:eastAsia="zh-CN"/>
                    </w:rPr>
                    <w:t>0</w:t>
                  </w:r>
                </w:p>
              </w:tc>
              <w:tc>
                <w:tcPr>
                  <w:tcW w:w="1075" w:type="dxa"/>
                  <w:noWrap w:val="0"/>
                  <w:vAlign w:val="center"/>
                </w:tcPr>
                <w:p w14:paraId="1030AE6F">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color w:val="auto"/>
                      <w:kern w:val="0"/>
                      <w:sz w:val="21"/>
                      <w:szCs w:val="21"/>
                      <w:highlight w:val="none"/>
                      <w:lang w:val="en-US" w:eastAsia="zh-CN"/>
                    </w:rPr>
                    <w:t>172.636</w:t>
                  </w:r>
                </w:p>
              </w:tc>
              <w:tc>
                <w:tcPr>
                  <w:tcW w:w="1110" w:type="dxa"/>
                  <w:noWrap w:val="0"/>
                  <w:vAlign w:val="center"/>
                </w:tcPr>
                <w:p w14:paraId="5DBCFB2D">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color w:val="auto"/>
                      <w:kern w:val="0"/>
                      <w:sz w:val="21"/>
                      <w:szCs w:val="21"/>
                      <w:highlight w:val="none"/>
                      <w:lang w:val="en-US" w:eastAsia="zh-CN"/>
                    </w:rPr>
                    <w:t>0</w:t>
                  </w:r>
                </w:p>
              </w:tc>
              <w:tc>
                <w:tcPr>
                  <w:tcW w:w="1155" w:type="dxa"/>
                  <w:noWrap w:val="0"/>
                  <w:vAlign w:val="center"/>
                </w:tcPr>
                <w:p w14:paraId="7EA050BF">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color w:val="auto"/>
                      <w:kern w:val="0"/>
                      <w:sz w:val="21"/>
                      <w:szCs w:val="21"/>
                      <w:highlight w:val="none"/>
                      <w:lang w:val="en-US" w:eastAsia="zh-CN"/>
                    </w:rPr>
                    <w:t>172.636</w:t>
                  </w:r>
                </w:p>
              </w:tc>
            </w:tr>
            <w:tr w14:paraId="0E71D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continue"/>
                  <w:noWrap w:val="0"/>
                  <w:vAlign w:val="center"/>
                </w:tcPr>
                <w:p w14:paraId="1374C0ED">
                  <w:pPr>
                    <w:keepNext w:val="0"/>
                    <w:keepLines w:val="0"/>
                    <w:pageBreakBefore w:val="0"/>
                    <w:tabs>
                      <w:tab w:val="left" w:pos="0"/>
                    </w:tabs>
                    <w:wordWrap/>
                    <w:overflowPunct/>
                    <w:topLinePunct w:val="0"/>
                    <w:bidi w:val="0"/>
                    <w:spacing w:before="0" w:beforeLines="50" w:after="0" w:afterLines="50" w:line="300" w:lineRule="exact"/>
                    <w:jc w:val="center"/>
                    <w:rPr>
                      <w:rFonts w:hint="eastAsia" w:ascii="宋体" w:hAnsi="宋体" w:eastAsia="宋体" w:cs="宋体"/>
                      <w:b w:val="0"/>
                      <w:bCs w:val="0"/>
                      <w:color w:val="auto"/>
                      <w:sz w:val="21"/>
                      <w:szCs w:val="21"/>
                      <w:highlight w:val="none"/>
                      <w:vertAlign w:val="baseline"/>
                      <w:lang w:val="en-US" w:eastAsia="zh-CN"/>
                    </w:rPr>
                  </w:pPr>
                </w:p>
              </w:tc>
              <w:tc>
                <w:tcPr>
                  <w:tcW w:w="1170" w:type="dxa"/>
                  <w:noWrap w:val="0"/>
                  <w:vAlign w:val="center"/>
                </w:tcPr>
                <w:p w14:paraId="0BC434B9">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马山中心</w:t>
                  </w:r>
                </w:p>
              </w:tc>
              <w:tc>
                <w:tcPr>
                  <w:tcW w:w="1072" w:type="dxa"/>
                  <w:noWrap w:val="0"/>
                  <w:vAlign w:val="center"/>
                </w:tcPr>
                <w:p w14:paraId="30A2D59A">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color w:val="auto"/>
                      <w:kern w:val="0"/>
                      <w:sz w:val="21"/>
                      <w:szCs w:val="21"/>
                      <w:highlight w:val="none"/>
                      <w:lang w:val="en-US" w:eastAsia="zh-CN"/>
                    </w:rPr>
                    <w:t>0</w:t>
                  </w:r>
                </w:p>
              </w:tc>
              <w:tc>
                <w:tcPr>
                  <w:tcW w:w="1075" w:type="dxa"/>
                  <w:noWrap w:val="0"/>
                  <w:vAlign w:val="center"/>
                </w:tcPr>
                <w:p w14:paraId="6C632AB2">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color w:val="auto"/>
                      <w:kern w:val="0"/>
                      <w:sz w:val="21"/>
                      <w:szCs w:val="21"/>
                      <w:highlight w:val="none"/>
                      <w:lang w:val="en-US" w:eastAsia="zh-CN"/>
                    </w:rPr>
                    <w:t>120.62</w:t>
                  </w:r>
                </w:p>
              </w:tc>
              <w:tc>
                <w:tcPr>
                  <w:tcW w:w="1110" w:type="dxa"/>
                  <w:noWrap w:val="0"/>
                  <w:vAlign w:val="center"/>
                </w:tcPr>
                <w:p w14:paraId="3CE8AC58">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color w:val="auto"/>
                      <w:kern w:val="0"/>
                      <w:sz w:val="21"/>
                      <w:szCs w:val="21"/>
                      <w:highlight w:val="none"/>
                      <w:lang w:val="en-US" w:eastAsia="zh-CN"/>
                    </w:rPr>
                    <w:t>11.7</w:t>
                  </w:r>
                </w:p>
              </w:tc>
              <w:tc>
                <w:tcPr>
                  <w:tcW w:w="1155" w:type="dxa"/>
                  <w:noWrap w:val="0"/>
                  <w:vAlign w:val="center"/>
                </w:tcPr>
                <w:p w14:paraId="423404E9">
                  <w:pPr>
                    <w:keepNext w:val="0"/>
                    <w:keepLines w:val="0"/>
                    <w:pageBreakBefore w:val="0"/>
                    <w:widowControl/>
                    <w:tabs>
                      <w:tab w:val="left" w:pos="0"/>
                    </w:tabs>
                    <w:wordWrap/>
                    <w:overflowPunct/>
                    <w:topLinePunct w:val="0"/>
                    <w:bidi w:val="0"/>
                    <w:spacing w:before="0" w:beforeLines="50" w:after="0" w:afterLines="5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color w:val="auto"/>
                      <w:kern w:val="0"/>
                      <w:sz w:val="21"/>
                      <w:szCs w:val="21"/>
                      <w:highlight w:val="none"/>
                      <w:lang w:val="en-US" w:eastAsia="zh-CN"/>
                    </w:rPr>
                    <w:t>132.32</w:t>
                  </w:r>
                </w:p>
              </w:tc>
            </w:tr>
            <w:tr w14:paraId="5016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continue"/>
                  <w:noWrap w:val="0"/>
                  <w:vAlign w:val="center"/>
                </w:tcPr>
                <w:p w14:paraId="00413E84">
                  <w:pPr>
                    <w:keepNext w:val="0"/>
                    <w:keepLines w:val="0"/>
                    <w:pageBreakBefore w:val="0"/>
                    <w:tabs>
                      <w:tab w:val="left" w:pos="0"/>
                    </w:tabs>
                    <w:wordWrap/>
                    <w:overflowPunct/>
                    <w:topLinePunct w:val="0"/>
                    <w:bidi w:val="0"/>
                    <w:spacing w:before="0" w:beforeLines="50" w:after="0" w:afterLines="50" w:line="300" w:lineRule="exact"/>
                    <w:jc w:val="center"/>
                    <w:rPr>
                      <w:rFonts w:hint="eastAsia" w:ascii="宋体" w:hAnsi="宋体" w:eastAsia="宋体" w:cs="宋体"/>
                      <w:b w:val="0"/>
                      <w:bCs w:val="0"/>
                      <w:color w:val="auto"/>
                      <w:sz w:val="21"/>
                      <w:szCs w:val="21"/>
                      <w:highlight w:val="none"/>
                      <w:vertAlign w:val="baseline"/>
                      <w:lang w:val="en-US" w:eastAsia="zh-CN"/>
                    </w:rPr>
                  </w:pPr>
                </w:p>
              </w:tc>
              <w:tc>
                <w:tcPr>
                  <w:tcW w:w="1170" w:type="dxa"/>
                  <w:noWrap w:val="0"/>
                  <w:vAlign w:val="center"/>
                </w:tcPr>
                <w:p w14:paraId="30B68349">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分项汇总</w:t>
                  </w:r>
                </w:p>
              </w:tc>
              <w:tc>
                <w:tcPr>
                  <w:tcW w:w="1072" w:type="dxa"/>
                  <w:noWrap w:val="0"/>
                  <w:vAlign w:val="center"/>
                </w:tcPr>
                <w:p w14:paraId="6636EC00">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15.858</w:t>
                  </w:r>
                </w:p>
              </w:tc>
              <w:tc>
                <w:tcPr>
                  <w:tcW w:w="1075" w:type="dxa"/>
                  <w:noWrap w:val="0"/>
                  <w:vAlign w:val="center"/>
                </w:tcPr>
                <w:p w14:paraId="04663B3D">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694.112</w:t>
                  </w:r>
                </w:p>
              </w:tc>
              <w:tc>
                <w:tcPr>
                  <w:tcW w:w="1110" w:type="dxa"/>
                  <w:noWrap w:val="0"/>
                  <w:vAlign w:val="center"/>
                </w:tcPr>
                <w:p w14:paraId="1CC3033C">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11.7</w:t>
                  </w:r>
                </w:p>
              </w:tc>
              <w:tc>
                <w:tcPr>
                  <w:tcW w:w="1155" w:type="dxa"/>
                  <w:noWrap w:val="0"/>
                  <w:vAlign w:val="center"/>
                </w:tcPr>
                <w:p w14:paraId="5F678775">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721.67</w:t>
                  </w:r>
                </w:p>
              </w:tc>
            </w:tr>
          </w:tbl>
          <w:p w14:paraId="3D24F2DE">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50" w:line="360" w:lineRule="auto"/>
              <w:ind w:left="0" w:left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三、</w:t>
            </w:r>
            <w:r>
              <w:rPr>
                <w:rFonts w:hint="eastAsia" w:ascii="宋体" w:hAnsi="宋体" w:eastAsia="宋体" w:cs="宋体"/>
                <w:b/>
                <w:bCs/>
                <w:color w:val="auto"/>
                <w:sz w:val="21"/>
                <w:szCs w:val="21"/>
                <w:highlight w:val="none"/>
                <w:lang w:val="en-US" w:eastAsia="zh-CN"/>
              </w:rPr>
              <w:t>各养护中心养护的</w:t>
            </w:r>
            <w:r>
              <w:rPr>
                <w:rFonts w:hint="eastAsia" w:ascii="宋体" w:hAnsi="宋体" w:eastAsia="宋体" w:cs="宋体"/>
                <w:b/>
                <w:bCs/>
                <w:color w:val="auto"/>
                <w:sz w:val="21"/>
                <w:szCs w:val="21"/>
                <w:highlight w:val="none"/>
                <w:lang w:val="en-US" w:eastAsia="zh-CN"/>
              </w:rPr>
              <w:t>管理服务设施</w:t>
            </w:r>
            <w:r>
              <w:rPr>
                <w:rFonts w:hint="eastAsia" w:ascii="宋体" w:hAnsi="宋体" w:eastAsia="宋体" w:cs="宋体"/>
                <w:b/>
                <w:bCs/>
                <w:color w:val="auto"/>
                <w:sz w:val="21"/>
                <w:szCs w:val="21"/>
                <w:highlight w:val="none"/>
                <w:lang w:val="en-US" w:eastAsia="zh-CN"/>
              </w:rPr>
              <w:t>如下：</w:t>
            </w:r>
          </w:p>
          <w:tbl>
            <w:tblPr>
              <w:tblStyle w:val="17"/>
              <w:tblW w:w="6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1518"/>
              <w:gridCol w:w="2242"/>
              <w:gridCol w:w="2267"/>
            </w:tblGrid>
            <w:tr w14:paraId="166E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44EF1674">
                  <w:pPr>
                    <w:keepNext w:val="0"/>
                    <w:keepLines w:val="0"/>
                    <w:pageBreakBefore w:val="0"/>
                    <w:widowControl/>
                    <w:wordWrap/>
                    <w:overflowPunct/>
                    <w:topLinePunct w:val="0"/>
                    <w:bidi w:val="0"/>
                    <w:spacing w:before="0" w:beforeLines="50" w:after="0" w:afterLines="50" w:line="240" w:lineRule="auto"/>
                    <w:ind w:firstLine="0" w:firstLineChars="0"/>
                    <w:jc w:val="center"/>
                    <w:rPr>
                      <w:rFonts w:hint="eastAsia"/>
                      <w:color w:val="auto"/>
                      <w:sz w:val="21"/>
                      <w:szCs w:val="21"/>
                      <w:highlight w:val="none"/>
                      <w:vertAlign w:val="baseline"/>
                    </w:rPr>
                  </w:pPr>
                  <w:r>
                    <w:rPr>
                      <w:rFonts w:hint="eastAsia" w:ascii="宋体" w:hAnsi="宋体" w:eastAsia="宋体" w:cs="宋体"/>
                      <w:color w:val="auto"/>
                      <w:kern w:val="0"/>
                      <w:sz w:val="21"/>
                      <w:szCs w:val="21"/>
                      <w:highlight w:val="none"/>
                    </w:rPr>
                    <w:t>序号</w:t>
                  </w:r>
                </w:p>
              </w:tc>
              <w:tc>
                <w:tcPr>
                  <w:tcW w:w="1518" w:type="dxa"/>
                  <w:noWrap w:val="0"/>
                  <w:vAlign w:val="center"/>
                </w:tcPr>
                <w:p w14:paraId="2686DA62">
                  <w:pPr>
                    <w:keepNext w:val="0"/>
                    <w:keepLines w:val="0"/>
                    <w:pageBreakBefore w:val="0"/>
                    <w:widowControl/>
                    <w:wordWrap/>
                    <w:overflowPunct/>
                    <w:topLinePunct w:val="0"/>
                    <w:bidi w:val="0"/>
                    <w:spacing w:before="0" w:beforeLines="50" w:after="0" w:afterLines="50" w:line="240" w:lineRule="auto"/>
                    <w:ind w:firstLine="0" w:firstLineChars="0"/>
                    <w:jc w:val="center"/>
                    <w:rPr>
                      <w:rFonts w:hint="eastAsia"/>
                      <w:color w:val="auto"/>
                      <w:sz w:val="21"/>
                      <w:szCs w:val="21"/>
                      <w:highlight w:val="none"/>
                      <w:vertAlign w:val="baseline"/>
                    </w:rPr>
                  </w:pPr>
                  <w:r>
                    <w:rPr>
                      <w:rFonts w:hint="eastAsia" w:ascii="宋体" w:hAnsi="宋体" w:eastAsia="宋体" w:cs="宋体"/>
                      <w:color w:val="auto"/>
                      <w:kern w:val="0"/>
                      <w:sz w:val="21"/>
                      <w:szCs w:val="21"/>
                      <w:highlight w:val="none"/>
                    </w:rPr>
                    <w:t>养护站点名称</w:t>
                  </w:r>
                </w:p>
              </w:tc>
              <w:tc>
                <w:tcPr>
                  <w:tcW w:w="2242" w:type="dxa"/>
                  <w:noWrap w:val="0"/>
                  <w:vAlign w:val="center"/>
                </w:tcPr>
                <w:p w14:paraId="3EC16E84">
                  <w:pPr>
                    <w:keepNext w:val="0"/>
                    <w:keepLines w:val="0"/>
                    <w:pageBreakBefore w:val="0"/>
                    <w:widowControl/>
                    <w:wordWrap/>
                    <w:overflowPunct/>
                    <w:topLinePunct w:val="0"/>
                    <w:bidi w:val="0"/>
                    <w:spacing w:before="0" w:beforeLines="50" w:after="0" w:afterLines="50" w:line="240" w:lineRule="auto"/>
                    <w:ind w:firstLine="0" w:firstLineChars="0"/>
                    <w:jc w:val="center"/>
                    <w:rPr>
                      <w:rFonts w:hint="eastAsia" w:eastAsia="宋体"/>
                      <w:color w:val="auto"/>
                      <w:sz w:val="21"/>
                      <w:szCs w:val="21"/>
                      <w:highlight w:val="none"/>
                      <w:vertAlign w:val="baseline"/>
                      <w:lang w:eastAsia="zh-CN"/>
                    </w:rPr>
                  </w:pPr>
                  <w:r>
                    <w:rPr>
                      <w:rFonts w:hint="eastAsia" w:ascii="宋体" w:hAnsi="宋体" w:eastAsia="宋体" w:cs="宋体"/>
                      <w:color w:val="auto"/>
                      <w:kern w:val="0"/>
                      <w:sz w:val="21"/>
                      <w:szCs w:val="21"/>
                      <w:highlight w:val="none"/>
                    </w:rPr>
                    <w:t>所属项目</w:t>
                  </w:r>
                  <w:r>
                    <w:rPr>
                      <w:rFonts w:hint="eastAsia" w:ascii="宋体" w:hAnsi="宋体" w:eastAsia="宋体" w:cs="宋体"/>
                      <w:color w:val="auto"/>
                      <w:kern w:val="0"/>
                      <w:sz w:val="21"/>
                      <w:szCs w:val="21"/>
                      <w:highlight w:val="none"/>
                      <w:lang w:eastAsia="zh-CN"/>
                    </w:rPr>
                    <w:t>采购人</w:t>
                  </w:r>
                </w:p>
              </w:tc>
              <w:tc>
                <w:tcPr>
                  <w:tcW w:w="2267" w:type="dxa"/>
                  <w:noWrap w:val="0"/>
                  <w:vAlign w:val="center"/>
                </w:tcPr>
                <w:p w14:paraId="001591A3">
                  <w:pPr>
                    <w:keepNext w:val="0"/>
                    <w:keepLines w:val="0"/>
                    <w:pageBreakBefore w:val="0"/>
                    <w:widowControl/>
                    <w:wordWrap/>
                    <w:overflowPunct/>
                    <w:topLinePunct w:val="0"/>
                    <w:bidi w:val="0"/>
                    <w:spacing w:before="0" w:beforeLines="50" w:after="0" w:afterLines="50" w:line="240" w:lineRule="auto"/>
                    <w:ind w:firstLine="0" w:firstLineChars="0"/>
                    <w:jc w:val="center"/>
                    <w:rPr>
                      <w:rFonts w:hint="eastAsia"/>
                      <w:color w:val="auto"/>
                      <w:sz w:val="21"/>
                      <w:szCs w:val="21"/>
                      <w:highlight w:val="none"/>
                      <w:vertAlign w:val="baseline"/>
                    </w:rPr>
                  </w:pPr>
                  <w:r>
                    <w:rPr>
                      <w:rFonts w:hint="eastAsia" w:ascii="宋体" w:hAnsi="宋体" w:eastAsia="宋体" w:cs="宋体"/>
                      <w:color w:val="auto"/>
                      <w:kern w:val="0"/>
                      <w:sz w:val="21"/>
                      <w:szCs w:val="21"/>
                      <w:highlight w:val="none"/>
                    </w:rPr>
                    <w:t>地点、位置</w:t>
                  </w:r>
                </w:p>
              </w:tc>
            </w:tr>
            <w:tr w14:paraId="13BF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2A928F66">
                  <w:pPr>
                    <w:keepNext w:val="0"/>
                    <w:keepLines w:val="0"/>
                    <w:pageBreakBefore w:val="0"/>
                    <w:widowControl/>
                    <w:wordWrap/>
                    <w:overflowPunct/>
                    <w:topLinePunct w:val="0"/>
                    <w:bidi w:val="0"/>
                    <w:spacing w:before="0" w:beforeLines="50" w:after="0" w:afterLines="5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518" w:type="dxa"/>
                  <w:noWrap w:val="0"/>
                  <w:vAlign w:val="center"/>
                </w:tcPr>
                <w:p w14:paraId="60750549">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宾阳公路养护中心</w:t>
                  </w:r>
                </w:p>
              </w:tc>
              <w:tc>
                <w:tcPr>
                  <w:tcW w:w="2242" w:type="dxa"/>
                  <w:noWrap w:val="0"/>
                  <w:vAlign w:val="center"/>
                </w:tcPr>
                <w:p w14:paraId="64CBACC1">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广西壮族自治区宾阳公路养护中心</w:t>
                  </w:r>
                </w:p>
              </w:tc>
              <w:tc>
                <w:tcPr>
                  <w:tcW w:w="2267" w:type="dxa"/>
                  <w:noWrap w:val="0"/>
                  <w:vAlign w:val="center"/>
                </w:tcPr>
                <w:p w14:paraId="05502F24">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新宾养护站</w:t>
                  </w:r>
                </w:p>
              </w:tc>
            </w:tr>
            <w:tr w14:paraId="71B9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29757D33">
                  <w:pPr>
                    <w:keepNext w:val="0"/>
                    <w:keepLines w:val="0"/>
                    <w:pageBreakBefore w:val="0"/>
                    <w:widowControl/>
                    <w:wordWrap/>
                    <w:overflowPunct/>
                    <w:topLinePunct w:val="0"/>
                    <w:bidi w:val="0"/>
                    <w:spacing w:before="0" w:beforeLines="50" w:after="0" w:afterLines="50" w:line="240" w:lineRule="auto"/>
                    <w:ind w:firstLine="0" w:firstLineChars="0"/>
                    <w:jc w:val="center"/>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2</w:t>
                  </w:r>
                </w:p>
              </w:tc>
              <w:tc>
                <w:tcPr>
                  <w:tcW w:w="1518" w:type="dxa"/>
                  <w:noWrap w:val="0"/>
                  <w:vAlign w:val="top"/>
                </w:tcPr>
                <w:p w14:paraId="6F559B5C">
                  <w:pPr>
                    <w:keepNext w:val="0"/>
                    <w:keepLines w:val="0"/>
                    <w:pageBreakBefore w:val="0"/>
                    <w:widowControl/>
                    <w:wordWrap/>
                    <w:overflowPunct/>
                    <w:topLinePunct w:val="0"/>
                    <w:bidi w:val="0"/>
                    <w:spacing w:before="0" w:beforeLines="50" w:after="0" w:afterLines="50" w:line="240" w:lineRule="exact"/>
                    <w:jc w:val="center"/>
                    <w:rPr>
                      <w:rFonts w:ascii="宋体" w:hAnsi="宋体" w:cs="宋体"/>
                      <w:color w:val="auto"/>
                      <w:kern w:val="0"/>
                      <w:sz w:val="21"/>
                      <w:szCs w:val="21"/>
                      <w:highlight w:val="none"/>
                    </w:rPr>
                  </w:pPr>
                </w:p>
                <w:p w14:paraId="62C19959">
                  <w:pPr>
                    <w:keepNext w:val="0"/>
                    <w:keepLines w:val="0"/>
                    <w:pageBreakBefore w:val="0"/>
                    <w:widowControl/>
                    <w:wordWrap/>
                    <w:overflowPunct/>
                    <w:topLinePunct w:val="0"/>
                    <w:bidi w:val="0"/>
                    <w:spacing w:before="0" w:beforeLines="50" w:after="0" w:afterLines="50" w:line="240" w:lineRule="exact"/>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云表养护站</w:t>
                  </w:r>
                </w:p>
              </w:tc>
              <w:tc>
                <w:tcPr>
                  <w:tcW w:w="2242" w:type="dxa"/>
                  <w:noWrap w:val="0"/>
                  <w:vAlign w:val="center"/>
                </w:tcPr>
                <w:p w14:paraId="3D01813A">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广西壮族自治区横县公路养护中心</w:t>
                  </w:r>
                </w:p>
              </w:tc>
              <w:tc>
                <w:tcPr>
                  <w:tcW w:w="2267" w:type="dxa"/>
                  <w:noWrap w:val="0"/>
                  <w:vAlign w:val="center"/>
                </w:tcPr>
                <w:p w14:paraId="328E3308">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ascii="宋体" w:hAnsi="宋体" w:cs="宋体"/>
                      <w:color w:val="auto"/>
                      <w:kern w:val="0"/>
                      <w:sz w:val="21"/>
                      <w:szCs w:val="21"/>
                      <w:highlight w:val="none"/>
                    </w:rPr>
                    <w:t>横县云表镇云表桥南G209线K3513+792</w:t>
                  </w:r>
                </w:p>
              </w:tc>
            </w:tr>
            <w:tr w14:paraId="7098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7087CED4">
                  <w:pPr>
                    <w:keepNext w:val="0"/>
                    <w:keepLines w:val="0"/>
                    <w:pageBreakBefore w:val="0"/>
                    <w:widowControl/>
                    <w:wordWrap/>
                    <w:overflowPunct/>
                    <w:topLinePunct w:val="0"/>
                    <w:bidi w:val="0"/>
                    <w:spacing w:before="0" w:beforeLines="50" w:after="0" w:afterLines="50" w:line="240" w:lineRule="auto"/>
                    <w:ind w:firstLine="0" w:firstLineChars="0"/>
                    <w:jc w:val="center"/>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3</w:t>
                  </w:r>
                </w:p>
              </w:tc>
              <w:tc>
                <w:tcPr>
                  <w:tcW w:w="1518" w:type="dxa"/>
                  <w:noWrap w:val="0"/>
                  <w:vAlign w:val="center"/>
                </w:tcPr>
                <w:p w14:paraId="2F107EFA">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新旺养护站</w:t>
                  </w:r>
                </w:p>
              </w:tc>
              <w:tc>
                <w:tcPr>
                  <w:tcW w:w="2242" w:type="dxa"/>
                  <w:noWrap w:val="0"/>
                  <w:vAlign w:val="center"/>
                </w:tcPr>
                <w:p w14:paraId="0B934C77">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广西壮族自治区横县公路养护中心</w:t>
                  </w:r>
                </w:p>
              </w:tc>
              <w:tc>
                <w:tcPr>
                  <w:tcW w:w="2267" w:type="dxa"/>
                  <w:noWrap w:val="0"/>
                  <w:vAlign w:val="center"/>
                </w:tcPr>
                <w:p w14:paraId="00FC46C8">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ascii="宋体" w:hAnsi="宋体" w:cs="宋体"/>
                      <w:color w:val="auto"/>
                      <w:kern w:val="0"/>
                      <w:sz w:val="21"/>
                      <w:szCs w:val="21"/>
                      <w:highlight w:val="none"/>
                    </w:rPr>
                    <w:t>国道新旺村G209线K3525+792</w:t>
                  </w:r>
                </w:p>
              </w:tc>
            </w:tr>
            <w:tr w14:paraId="4D63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66F904EE">
                  <w:pPr>
                    <w:keepNext w:val="0"/>
                    <w:keepLines w:val="0"/>
                    <w:pageBreakBefore w:val="0"/>
                    <w:widowControl/>
                    <w:wordWrap/>
                    <w:overflowPunct/>
                    <w:topLinePunct w:val="0"/>
                    <w:bidi w:val="0"/>
                    <w:spacing w:before="0" w:beforeLines="50" w:after="0" w:afterLines="50" w:line="240" w:lineRule="auto"/>
                    <w:ind w:firstLine="0" w:firstLineChars="0"/>
                    <w:jc w:val="center"/>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4</w:t>
                  </w:r>
                </w:p>
              </w:tc>
              <w:tc>
                <w:tcPr>
                  <w:tcW w:w="1518" w:type="dxa"/>
                  <w:noWrap w:val="0"/>
                  <w:vAlign w:val="center"/>
                </w:tcPr>
                <w:p w14:paraId="30C2C6B5">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新那阳站</w:t>
                  </w:r>
                </w:p>
              </w:tc>
              <w:tc>
                <w:tcPr>
                  <w:tcW w:w="2242" w:type="dxa"/>
                  <w:noWrap w:val="0"/>
                  <w:vAlign w:val="center"/>
                </w:tcPr>
                <w:p w14:paraId="021235B2">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广西壮族自治区横县公路养护中心</w:t>
                  </w:r>
                </w:p>
              </w:tc>
              <w:tc>
                <w:tcPr>
                  <w:tcW w:w="2267" w:type="dxa"/>
                  <w:noWrap w:val="0"/>
                  <w:vAlign w:val="center"/>
                </w:tcPr>
                <w:p w14:paraId="2A8B5CE4">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ascii="宋体" w:hAnsi="宋体" w:cs="宋体"/>
                      <w:color w:val="auto"/>
                      <w:kern w:val="0"/>
                      <w:sz w:val="21"/>
                      <w:szCs w:val="21"/>
                      <w:highlight w:val="none"/>
                    </w:rPr>
                    <w:t>横县那阳镇那阳加油站旁G209K3537+492</w:t>
                  </w:r>
                </w:p>
              </w:tc>
            </w:tr>
            <w:tr w14:paraId="3B09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030557E6">
                  <w:pPr>
                    <w:keepNext w:val="0"/>
                    <w:keepLines w:val="0"/>
                    <w:pageBreakBefore w:val="0"/>
                    <w:widowControl/>
                    <w:wordWrap/>
                    <w:overflowPunct/>
                    <w:topLinePunct w:val="0"/>
                    <w:bidi w:val="0"/>
                    <w:spacing w:before="0" w:beforeLines="50" w:after="0" w:afterLines="50" w:line="240" w:lineRule="auto"/>
                    <w:ind w:firstLine="0" w:firstLineChars="0"/>
                    <w:jc w:val="center"/>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5</w:t>
                  </w:r>
                </w:p>
              </w:tc>
              <w:tc>
                <w:tcPr>
                  <w:tcW w:w="1518" w:type="dxa"/>
                  <w:noWrap w:val="0"/>
                  <w:vAlign w:val="center"/>
                </w:tcPr>
                <w:p w14:paraId="2AD91F6C">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新那阳站空地</w:t>
                  </w:r>
                </w:p>
              </w:tc>
              <w:tc>
                <w:tcPr>
                  <w:tcW w:w="2242" w:type="dxa"/>
                  <w:noWrap w:val="0"/>
                  <w:vAlign w:val="center"/>
                </w:tcPr>
                <w:p w14:paraId="30AAFA14">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广西壮族自治区横县公路养护中心</w:t>
                  </w:r>
                </w:p>
              </w:tc>
              <w:tc>
                <w:tcPr>
                  <w:tcW w:w="2267" w:type="dxa"/>
                  <w:noWrap w:val="0"/>
                  <w:vAlign w:val="center"/>
                </w:tcPr>
                <w:p w14:paraId="5E1677F2">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横县那阳镇罗塘岭G209线K3537+520</w:t>
                  </w:r>
                </w:p>
              </w:tc>
            </w:tr>
            <w:tr w14:paraId="6902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71388877">
                  <w:pPr>
                    <w:keepNext w:val="0"/>
                    <w:keepLines w:val="0"/>
                    <w:pageBreakBefore w:val="0"/>
                    <w:widowControl/>
                    <w:wordWrap/>
                    <w:overflowPunct/>
                    <w:topLinePunct w:val="0"/>
                    <w:bidi w:val="0"/>
                    <w:spacing w:before="0" w:beforeLines="50" w:after="0" w:afterLines="50" w:line="240" w:lineRule="auto"/>
                    <w:ind w:firstLine="0" w:firstLineChars="0"/>
                    <w:jc w:val="center"/>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6</w:t>
                  </w:r>
                </w:p>
              </w:tc>
              <w:tc>
                <w:tcPr>
                  <w:tcW w:w="1518" w:type="dxa"/>
                  <w:noWrap w:val="0"/>
                  <w:vAlign w:val="center"/>
                </w:tcPr>
                <w:p w14:paraId="73289BF3">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板路收费站</w:t>
                  </w:r>
                </w:p>
              </w:tc>
              <w:tc>
                <w:tcPr>
                  <w:tcW w:w="2242" w:type="dxa"/>
                  <w:noWrap w:val="0"/>
                  <w:vAlign w:val="center"/>
                </w:tcPr>
                <w:p w14:paraId="027FA693">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广西壮族自治区横县公路养护中心</w:t>
                  </w:r>
                </w:p>
              </w:tc>
              <w:tc>
                <w:tcPr>
                  <w:tcW w:w="2267" w:type="dxa"/>
                  <w:noWrap w:val="0"/>
                  <w:vAlign w:val="center"/>
                </w:tcPr>
                <w:p w14:paraId="667F42EA">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南乡镇G209线K3561+500</w:t>
                  </w:r>
                </w:p>
              </w:tc>
            </w:tr>
            <w:tr w14:paraId="506F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634B6F31">
                  <w:pPr>
                    <w:keepNext w:val="0"/>
                    <w:keepLines w:val="0"/>
                    <w:pageBreakBefore w:val="0"/>
                    <w:widowControl/>
                    <w:wordWrap/>
                    <w:overflowPunct/>
                    <w:topLinePunct w:val="0"/>
                    <w:bidi w:val="0"/>
                    <w:spacing w:before="0" w:beforeLines="50" w:after="0" w:afterLines="50" w:line="240" w:lineRule="auto"/>
                    <w:ind w:firstLine="0" w:firstLineChars="0"/>
                    <w:jc w:val="center"/>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7</w:t>
                  </w:r>
                </w:p>
              </w:tc>
              <w:tc>
                <w:tcPr>
                  <w:tcW w:w="1518" w:type="dxa"/>
                  <w:noWrap w:val="0"/>
                  <w:vAlign w:val="center"/>
                </w:tcPr>
                <w:p w14:paraId="1F9ED03F">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横州养护站</w:t>
                  </w:r>
                </w:p>
              </w:tc>
              <w:tc>
                <w:tcPr>
                  <w:tcW w:w="2242" w:type="dxa"/>
                  <w:noWrap w:val="0"/>
                  <w:vAlign w:val="center"/>
                </w:tcPr>
                <w:p w14:paraId="72DBE523">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广西壮族自治区横县公路养护中心</w:t>
                  </w:r>
                </w:p>
              </w:tc>
              <w:tc>
                <w:tcPr>
                  <w:tcW w:w="2267" w:type="dxa"/>
                  <w:noWrap w:val="0"/>
                  <w:vAlign w:val="center"/>
                </w:tcPr>
                <w:p w14:paraId="1762202E">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横州镇G324线K1559+100</w:t>
                  </w:r>
                </w:p>
              </w:tc>
            </w:tr>
            <w:tr w14:paraId="5144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4AD23093">
                  <w:pPr>
                    <w:keepNext w:val="0"/>
                    <w:keepLines w:val="0"/>
                    <w:pageBreakBefore w:val="0"/>
                    <w:widowControl/>
                    <w:wordWrap/>
                    <w:overflowPunct/>
                    <w:topLinePunct w:val="0"/>
                    <w:bidi w:val="0"/>
                    <w:spacing w:before="0" w:beforeLines="50" w:after="0" w:afterLines="50" w:line="240" w:lineRule="auto"/>
                    <w:ind w:firstLine="0" w:firstLineChars="0"/>
                    <w:jc w:val="center"/>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8</w:t>
                  </w:r>
                </w:p>
              </w:tc>
              <w:tc>
                <w:tcPr>
                  <w:tcW w:w="1518" w:type="dxa"/>
                  <w:noWrap w:val="0"/>
                  <w:vAlign w:val="center"/>
                </w:tcPr>
                <w:p w14:paraId="60D206DE">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莲塘养护站</w:t>
                  </w:r>
                </w:p>
              </w:tc>
              <w:tc>
                <w:tcPr>
                  <w:tcW w:w="2242" w:type="dxa"/>
                  <w:noWrap w:val="0"/>
                  <w:vAlign w:val="center"/>
                </w:tcPr>
                <w:p w14:paraId="5A3A1F2E">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广西壮族自治区横县公路养护中心</w:t>
                  </w:r>
                </w:p>
              </w:tc>
              <w:tc>
                <w:tcPr>
                  <w:tcW w:w="2267" w:type="dxa"/>
                  <w:noWrap w:val="0"/>
                  <w:vAlign w:val="center"/>
                </w:tcPr>
                <w:p w14:paraId="40AE2B81">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莲塘六香村委甘香村定吉岭G324线K1578+277</w:t>
                  </w:r>
                </w:p>
              </w:tc>
            </w:tr>
            <w:tr w14:paraId="25A5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1BB44877">
                  <w:pPr>
                    <w:keepNext w:val="0"/>
                    <w:keepLines w:val="0"/>
                    <w:pageBreakBefore w:val="0"/>
                    <w:widowControl/>
                    <w:wordWrap/>
                    <w:overflowPunct/>
                    <w:topLinePunct w:val="0"/>
                    <w:bidi w:val="0"/>
                    <w:spacing w:before="0" w:beforeLines="50" w:after="0" w:afterLines="50"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1518" w:type="dxa"/>
                  <w:noWrap w:val="0"/>
                  <w:vAlign w:val="center"/>
                </w:tcPr>
                <w:p w14:paraId="4A133DF8">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快龙养护站</w:t>
                  </w:r>
                </w:p>
              </w:tc>
              <w:tc>
                <w:tcPr>
                  <w:tcW w:w="2242" w:type="dxa"/>
                  <w:noWrap w:val="0"/>
                  <w:vAlign w:val="center"/>
                </w:tcPr>
                <w:p w14:paraId="6251AA39">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广西壮族自治区横县公路养护中心</w:t>
                  </w:r>
                </w:p>
              </w:tc>
              <w:tc>
                <w:tcPr>
                  <w:tcW w:w="2267" w:type="dxa"/>
                  <w:noWrap w:val="0"/>
                  <w:vAlign w:val="center"/>
                </w:tcPr>
                <w:p w14:paraId="2F164C9A">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平马镇快龙村委快龙村G324线K1590+427</w:t>
                  </w:r>
                </w:p>
              </w:tc>
            </w:tr>
            <w:tr w14:paraId="6CC0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22F92E15">
                  <w:pPr>
                    <w:keepNext w:val="0"/>
                    <w:keepLines w:val="0"/>
                    <w:pageBreakBefore w:val="0"/>
                    <w:widowControl/>
                    <w:wordWrap/>
                    <w:overflowPunct/>
                    <w:topLinePunct w:val="0"/>
                    <w:bidi w:val="0"/>
                    <w:spacing w:before="0" w:beforeLines="50" w:after="0" w:afterLines="50"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518" w:type="dxa"/>
                  <w:noWrap w:val="0"/>
                  <w:vAlign w:val="center"/>
                </w:tcPr>
                <w:p w14:paraId="2287827D">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良圻养护站</w:t>
                  </w:r>
                </w:p>
              </w:tc>
              <w:tc>
                <w:tcPr>
                  <w:tcW w:w="2242" w:type="dxa"/>
                  <w:noWrap w:val="0"/>
                  <w:vAlign w:val="center"/>
                </w:tcPr>
                <w:p w14:paraId="78D716AF">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广西壮族自治区横县公路养护中心</w:t>
                  </w:r>
                </w:p>
              </w:tc>
              <w:tc>
                <w:tcPr>
                  <w:tcW w:w="2267" w:type="dxa"/>
                  <w:noWrap w:val="0"/>
                  <w:vAlign w:val="center"/>
                </w:tcPr>
                <w:p w14:paraId="2AD33A41">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六景镇G324线K1594+900</w:t>
                  </w:r>
                </w:p>
              </w:tc>
            </w:tr>
            <w:tr w14:paraId="3D7E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58263BE3">
                  <w:pPr>
                    <w:keepNext w:val="0"/>
                    <w:keepLines w:val="0"/>
                    <w:pageBreakBefore w:val="0"/>
                    <w:widowControl/>
                    <w:wordWrap/>
                    <w:overflowPunct/>
                    <w:topLinePunct w:val="0"/>
                    <w:bidi w:val="0"/>
                    <w:spacing w:before="0" w:beforeLines="50" w:after="0" w:afterLines="50"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1518" w:type="dxa"/>
                  <w:noWrap w:val="0"/>
                  <w:vAlign w:val="center"/>
                </w:tcPr>
                <w:p w14:paraId="4071699F">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滑石养护站</w:t>
                  </w:r>
                </w:p>
              </w:tc>
              <w:tc>
                <w:tcPr>
                  <w:tcW w:w="2242" w:type="dxa"/>
                  <w:noWrap w:val="0"/>
                  <w:vAlign w:val="center"/>
                </w:tcPr>
                <w:p w14:paraId="2B0911FC">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广西壮族自治区横县公路养护中心</w:t>
                  </w:r>
                </w:p>
              </w:tc>
              <w:tc>
                <w:tcPr>
                  <w:tcW w:w="2267" w:type="dxa"/>
                  <w:noWrap w:val="0"/>
                  <w:vAlign w:val="center"/>
                </w:tcPr>
                <w:p w14:paraId="0F469EDA">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良圻镇滑石村G324线K1601+927</w:t>
                  </w:r>
                </w:p>
              </w:tc>
            </w:tr>
            <w:tr w14:paraId="600A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6DFF68B4">
                  <w:pPr>
                    <w:keepNext w:val="0"/>
                    <w:keepLines w:val="0"/>
                    <w:pageBreakBefore w:val="0"/>
                    <w:widowControl/>
                    <w:wordWrap/>
                    <w:overflowPunct/>
                    <w:topLinePunct w:val="0"/>
                    <w:bidi w:val="0"/>
                    <w:spacing w:before="0" w:beforeLines="50" w:after="0" w:afterLines="50"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1518" w:type="dxa"/>
                  <w:noWrap w:val="0"/>
                  <w:vAlign w:val="center"/>
                </w:tcPr>
                <w:p w14:paraId="3BB6DCBD">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峦城养护站</w:t>
                  </w:r>
                </w:p>
              </w:tc>
              <w:tc>
                <w:tcPr>
                  <w:tcW w:w="2242" w:type="dxa"/>
                  <w:noWrap w:val="0"/>
                  <w:vAlign w:val="center"/>
                </w:tcPr>
                <w:p w14:paraId="48DF3420">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广西壮族自治区横县公路养护中心</w:t>
                  </w:r>
                </w:p>
              </w:tc>
              <w:tc>
                <w:tcPr>
                  <w:tcW w:w="2267" w:type="dxa"/>
                  <w:noWrap w:val="0"/>
                  <w:vAlign w:val="center"/>
                </w:tcPr>
                <w:p w14:paraId="3546D4D4">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横县峦城镇石柱坪G324线K1606+427</w:t>
                  </w:r>
                </w:p>
              </w:tc>
            </w:tr>
            <w:tr w14:paraId="0F59C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35AAA103">
                  <w:pPr>
                    <w:keepNext w:val="0"/>
                    <w:keepLines w:val="0"/>
                    <w:pageBreakBefore w:val="0"/>
                    <w:widowControl/>
                    <w:wordWrap/>
                    <w:overflowPunct/>
                    <w:topLinePunct w:val="0"/>
                    <w:bidi w:val="0"/>
                    <w:spacing w:before="0" w:beforeLines="50" w:after="0" w:afterLines="50"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1518" w:type="dxa"/>
                  <w:noWrap w:val="0"/>
                  <w:vAlign w:val="center"/>
                </w:tcPr>
                <w:p w14:paraId="2BFA5E90">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太平养护站</w:t>
                  </w:r>
                </w:p>
              </w:tc>
              <w:tc>
                <w:tcPr>
                  <w:tcW w:w="2242" w:type="dxa"/>
                  <w:noWrap w:val="0"/>
                  <w:vAlign w:val="center"/>
                </w:tcPr>
                <w:p w14:paraId="1013DBD2">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广西壮族自治区横县公路养护中心</w:t>
                  </w:r>
                </w:p>
              </w:tc>
              <w:tc>
                <w:tcPr>
                  <w:tcW w:w="2267" w:type="dxa"/>
                  <w:noWrap w:val="0"/>
                  <w:vAlign w:val="center"/>
                </w:tcPr>
                <w:p w14:paraId="70147175">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横县峦城镇那檀村委太平村G324线K1611+427</w:t>
                  </w:r>
                </w:p>
              </w:tc>
            </w:tr>
            <w:tr w14:paraId="32A3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09E196DB">
                  <w:pPr>
                    <w:keepNext w:val="0"/>
                    <w:keepLines w:val="0"/>
                    <w:pageBreakBefore w:val="0"/>
                    <w:widowControl/>
                    <w:wordWrap/>
                    <w:overflowPunct/>
                    <w:topLinePunct w:val="0"/>
                    <w:bidi w:val="0"/>
                    <w:spacing w:before="0" w:beforeLines="50" w:after="0" w:afterLines="50"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1518" w:type="dxa"/>
                  <w:noWrap w:val="0"/>
                  <w:vAlign w:val="center"/>
                </w:tcPr>
                <w:p w14:paraId="4BFAB3F1">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新石塘养护站</w:t>
                  </w:r>
                </w:p>
              </w:tc>
              <w:tc>
                <w:tcPr>
                  <w:tcW w:w="2242" w:type="dxa"/>
                  <w:noWrap w:val="0"/>
                  <w:vAlign w:val="center"/>
                </w:tcPr>
                <w:p w14:paraId="270C03D3">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广西壮族自治区横县公路养护中心</w:t>
                  </w:r>
                </w:p>
              </w:tc>
              <w:tc>
                <w:tcPr>
                  <w:tcW w:w="2267" w:type="dxa"/>
                  <w:noWrap w:val="0"/>
                  <w:vAlign w:val="center"/>
                </w:tcPr>
                <w:p w14:paraId="3B8E3881">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石塘镇S210线K317+300</w:t>
                  </w:r>
                </w:p>
              </w:tc>
            </w:tr>
            <w:tr w14:paraId="7D22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58C634C3">
                  <w:pPr>
                    <w:keepNext w:val="0"/>
                    <w:keepLines w:val="0"/>
                    <w:pageBreakBefore w:val="0"/>
                    <w:widowControl/>
                    <w:wordWrap/>
                    <w:overflowPunct/>
                    <w:topLinePunct w:val="0"/>
                    <w:bidi w:val="0"/>
                    <w:spacing w:before="0" w:beforeLines="50" w:after="0" w:afterLines="50"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w:t>
                  </w:r>
                </w:p>
              </w:tc>
              <w:tc>
                <w:tcPr>
                  <w:tcW w:w="1518" w:type="dxa"/>
                  <w:noWrap w:val="0"/>
                  <w:vAlign w:val="center"/>
                </w:tcPr>
                <w:p w14:paraId="79CE681B">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旧石塘养护站</w:t>
                  </w:r>
                </w:p>
              </w:tc>
              <w:tc>
                <w:tcPr>
                  <w:tcW w:w="2242" w:type="dxa"/>
                  <w:noWrap w:val="0"/>
                  <w:vAlign w:val="center"/>
                </w:tcPr>
                <w:p w14:paraId="62465C36">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广西壮族自治区横县公路养护中心</w:t>
                  </w:r>
                </w:p>
              </w:tc>
              <w:tc>
                <w:tcPr>
                  <w:tcW w:w="2267" w:type="dxa"/>
                  <w:noWrap w:val="0"/>
                  <w:vAlign w:val="center"/>
                </w:tcPr>
                <w:p w14:paraId="56710347">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横县石塘镇石塘街S210线K318+200</w:t>
                  </w:r>
                </w:p>
              </w:tc>
            </w:tr>
            <w:tr w14:paraId="5FFC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2FBFB429">
                  <w:pPr>
                    <w:keepNext w:val="0"/>
                    <w:keepLines w:val="0"/>
                    <w:pageBreakBefore w:val="0"/>
                    <w:widowControl/>
                    <w:wordWrap/>
                    <w:overflowPunct/>
                    <w:topLinePunct w:val="0"/>
                    <w:bidi w:val="0"/>
                    <w:spacing w:before="0" w:beforeLines="50" w:after="0" w:afterLines="50"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16</w:t>
                  </w:r>
                </w:p>
              </w:tc>
              <w:tc>
                <w:tcPr>
                  <w:tcW w:w="1518" w:type="dxa"/>
                  <w:noWrap w:val="0"/>
                  <w:vAlign w:val="center"/>
                </w:tcPr>
                <w:p w14:paraId="2E16D42F">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马岭站</w:t>
                  </w:r>
                </w:p>
              </w:tc>
              <w:tc>
                <w:tcPr>
                  <w:tcW w:w="2242" w:type="dxa"/>
                  <w:noWrap w:val="0"/>
                  <w:vAlign w:val="center"/>
                </w:tcPr>
                <w:p w14:paraId="14CD0DAE">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广西壮族自治区横县公路养护中心</w:t>
                  </w:r>
                </w:p>
              </w:tc>
              <w:tc>
                <w:tcPr>
                  <w:tcW w:w="2267" w:type="dxa"/>
                  <w:noWrap w:val="0"/>
                  <w:vAlign w:val="center"/>
                </w:tcPr>
                <w:p w14:paraId="48A94BD4">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横县马岭镇龙坪村委会S310线K277+009</w:t>
                  </w:r>
                </w:p>
              </w:tc>
            </w:tr>
            <w:tr w14:paraId="11D2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3043A496">
                  <w:pPr>
                    <w:keepNext w:val="0"/>
                    <w:keepLines w:val="0"/>
                    <w:pageBreakBefore w:val="0"/>
                    <w:widowControl/>
                    <w:wordWrap/>
                    <w:overflowPunct/>
                    <w:topLinePunct w:val="0"/>
                    <w:bidi w:val="0"/>
                    <w:spacing w:before="0" w:beforeLines="50" w:after="0" w:afterLines="50"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17</w:t>
                  </w:r>
                </w:p>
              </w:tc>
              <w:tc>
                <w:tcPr>
                  <w:tcW w:w="1518" w:type="dxa"/>
                  <w:noWrap w:val="0"/>
                  <w:vAlign w:val="center"/>
                </w:tcPr>
                <w:p w14:paraId="0AF2EAF5">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龙头养护站</w:t>
                  </w:r>
                </w:p>
              </w:tc>
              <w:tc>
                <w:tcPr>
                  <w:tcW w:w="2242" w:type="dxa"/>
                  <w:noWrap w:val="0"/>
                  <w:vAlign w:val="center"/>
                </w:tcPr>
                <w:p w14:paraId="6E17C2AD">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广西壮族自治区横县公路养护中心</w:t>
                  </w:r>
                </w:p>
              </w:tc>
              <w:tc>
                <w:tcPr>
                  <w:tcW w:w="2267" w:type="dxa"/>
                  <w:noWrap w:val="0"/>
                  <w:vAlign w:val="center"/>
                </w:tcPr>
                <w:p w14:paraId="3CB97AA4">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横县陶圩镇S310线292+479</w:t>
                  </w:r>
                </w:p>
              </w:tc>
            </w:tr>
            <w:tr w14:paraId="536F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3047288C">
                  <w:pPr>
                    <w:keepNext w:val="0"/>
                    <w:keepLines w:val="0"/>
                    <w:pageBreakBefore w:val="0"/>
                    <w:widowControl/>
                    <w:wordWrap/>
                    <w:overflowPunct/>
                    <w:topLinePunct w:val="0"/>
                    <w:bidi w:val="0"/>
                    <w:spacing w:before="0" w:beforeLines="50" w:after="0" w:afterLines="50"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18</w:t>
                  </w:r>
                </w:p>
              </w:tc>
              <w:tc>
                <w:tcPr>
                  <w:tcW w:w="1518" w:type="dxa"/>
                  <w:noWrap w:val="0"/>
                  <w:vAlign w:val="center"/>
                </w:tcPr>
                <w:p w14:paraId="38FE5781">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百合养护站</w:t>
                  </w:r>
                </w:p>
              </w:tc>
              <w:tc>
                <w:tcPr>
                  <w:tcW w:w="2242" w:type="dxa"/>
                  <w:noWrap w:val="0"/>
                  <w:vAlign w:val="center"/>
                </w:tcPr>
                <w:p w14:paraId="6E51162F">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广西壮族自治区横县公路养护中心</w:t>
                  </w:r>
                </w:p>
              </w:tc>
              <w:tc>
                <w:tcPr>
                  <w:tcW w:w="2267" w:type="dxa"/>
                  <w:noWrap w:val="0"/>
                  <w:vAlign w:val="center"/>
                </w:tcPr>
                <w:p w14:paraId="5FDEE225">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横县百合政和路76号X471线K27+850</w:t>
                  </w:r>
                </w:p>
              </w:tc>
            </w:tr>
            <w:tr w14:paraId="359C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04F4D1C4">
                  <w:pPr>
                    <w:keepNext w:val="0"/>
                    <w:keepLines w:val="0"/>
                    <w:pageBreakBefore w:val="0"/>
                    <w:widowControl/>
                    <w:wordWrap/>
                    <w:overflowPunct/>
                    <w:topLinePunct w:val="0"/>
                    <w:bidi w:val="0"/>
                    <w:spacing w:before="0" w:beforeLines="50" w:after="0" w:afterLines="50"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19</w:t>
                  </w:r>
                </w:p>
              </w:tc>
              <w:tc>
                <w:tcPr>
                  <w:tcW w:w="1518" w:type="dxa"/>
                  <w:noWrap w:val="0"/>
                  <w:vAlign w:val="center"/>
                </w:tcPr>
                <w:p w14:paraId="73A975FF">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莲塘收费站</w:t>
                  </w:r>
                </w:p>
              </w:tc>
              <w:tc>
                <w:tcPr>
                  <w:tcW w:w="2242" w:type="dxa"/>
                  <w:noWrap w:val="0"/>
                  <w:vAlign w:val="center"/>
                </w:tcPr>
                <w:p w14:paraId="4600007F">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广西壮族自治区横县公路养护中心</w:t>
                  </w:r>
                </w:p>
              </w:tc>
              <w:tc>
                <w:tcPr>
                  <w:tcW w:w="2267" w:type="dxa"/>
                  <w:noWrap w:val="0"/>
                  <w:vAlign w:val="center"/>
                </w:tcPr>
                <w:p w14:paraId="66FF4EC4">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莲塘镇Y419线K16+200</w:t>
                  </w:r>
                </w:p>
              </w:tc>
            </w:tr>
            <w:tr w14:paraId="11DE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717B40B1">
                  <w:pPr>
                    <w:keepNext w:val="0"/>
                    <w:keepLines w:val="0"/>
                    <w:pageBreakBefore w:val="0"/>
                    <w:widowControl/>
                    <w:wordWrap/>
                    <w:overflowPunct/>
                    <w:topLinePunct w:val="0"/>
                    <w:bidi w:val="0"/>
                    <w:spacing w:before="0" w:beforeLines="50" w:after="0" w:afterLines="50"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w:t>
                  </w:r>
                </w:p>
              </w:tc>
              <w:tc>
                <w:tcPr>
                  <w:tcW w:w="1518" w:type="dxa"/>
                  <w:noWrap w:val="0"/>
                  <w:vAlign w:val="center"/>
                </w:tcPr>
                <w:p w14:paraId="1907BC98">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校椅养护站</w:t>
                  </w:r>
                </w:p>
              </w:tc>
              <w:tc>
                <w:tcPr>
                  <w:tcW w:w="2242" w:type="dxa"/>
                  <w:noWrap w:val="0"/>
                  <w:vAlign w:val="center"/>
                </w:tcPr>
                <w:p w14:paraId="52A41290">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广西壮族自治区横县公路养护中心</w:t>
                  </w:r>
                </w:p>
              </w:tc>
              <w:tc>
                <w:tcPr>
                  <w:tcW w:w="2267" w:type="dxa"/>
                  <w:noWrap w:val="0"/>
                  <w:vAlign w:val="center"/>
                </w:tcPr>
                <w:p w14:paraId="02133F27">
                  <w:pPr>
                    <w:keepNext w:val="0"/>
                    <w:keepLines w:val="0"/>
                    <w:pageBreakBefore w:val="0"/>
                    <w:widowControl/>
                    <w:wordWrap/>
                    <w:overflowPunct/>
                    <w:topLinePunct w:val="0"/>
                    <w:bidi w:val="0"/>
                    <w:spacing w:before="0" w:beforeLines="50" w:after="0" w:afterLines="50"/>
                    <w:jc w:val="center"/>
                    <w:rPr>
                      <w:rFonts w:hint="eastAsia"/>
                      <w:color w:val="auto"/>
                      <w:sz w:val="21"/>
                      <w:szCs w:val="21"/>
                      <w:highlight w:val="none"/>
                      <w:vertAlign w:val="baseline"/>
                    </w:rPr>
                  </w:pPr>
                  <w:r>
                    <w:rPr>
                      <w:rFonts w:hint="eastAsia" w:ascii="宋体" w:hAnsi="宋体" w:cs="宋体"/>
                      <w:color w:val="auto"/>
                      <w:kern w:val="0"/>
                      <w:sz w:val="21"/>
                      <w:szCs w:val="21"/>
                      <w:highlight w:val="none"/>
                    </w:rPr>
                    <w:t>横县校椅镇校椅社区居委会北Y420线K32+600</w:t>
                  </w:r>
                </w:p>
              </w:tc>
            </w:tr>
            <w:tr w14:paraId="4760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3AB95FDD">
                  <w:pPr>
                    <w:keepNext w:val="0"/>
                    <w:keepLines w:val="0"/>
                    <w:pageBreakBefore w:val="0"/>
                    <w:widowControl/>
                    <w:wordWrap/>
                    <w:overflowPunct/>
                    <w:topLinePunct w:val="0"/>
                    <w:bidi w:val="0"/>
                    <w:spacing w:before="0" w:beforeLines="50" w:after="0" w:afterLines="50"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21</w:t>
                  </w:r>
                </w:p>
              </w:tc>
              <w:tc>
                <w:tcPr>
                  <w:tcW w:w="1518" w:type="dxa"/>
                  <w:noWrap w:val="0"/>
                  <w:vAlign w:val="center"/>
                </w:tcPr>
                <w:p w14:paraId="09C4A47C">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横岭养护站</w:t>
                  </w:r>
                </w:p>
              </w:tc>
              <w:tc>
                <w:tcPr>
                  <w:tcW w:w="2242" w:type="dxa"/>
                  <w:noWrap w:val="0"/>
                  <w:vAlign w:val="center"/>
                </w:tcPr>
                <w:p w14:paraId="6C93C201">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广西壮族自治区上林公路养护中心</w:t>
                  </w:r>
                </w:p>
              </w:tc>
              <w:tc>
                <w:tcPr>
                  <w:tcW w:w="2267" w:type="dxa"/>
                  <w:noWrap w:val="0"/>
                  <w:vAlign w:val="center"/>
                </w:tcPr>
                <w:p w14:paraId="0FBD022E">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上林县乔贤镇横岭村</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K3439+400</w:t>
                  </w:r>
                </w:p>
              </w:tc>
            </w:tr>
            <w:tr w14:paraId="617E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730EC301">
                  <w:pPr>
                    <w:keepNext w:val="0"/>
                    <w:keepLines w:val="0"/>
                    <w:pageBreakBefore w:val="0"/>
                    <w:widowControl/>
                    <w:wordWrap/>
                    <w:overflowPunct/>
                    <w:topLinePunct w:val="0"/>
                    <w:bidi w:val="0"/>
                    <w:spacing w:before="0" w:beforeLines="50" w:after="0" w:afterLines="50"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w:t>
                  </w:r>
                </w:p>
              </w:tc>
              <w:tc>
                <w:tcPr>
                  <w:tcW w:w="1518" w:type="dxa"/>
                  <w:noWrap w:val="0"/>
                  <w:vAlign w:val="center"/>
                </w:tcPr>
                <w:p w14:paraId="1E730B03">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龙保养护站</w:t>
                  </w:r>
                </w:p>
              </w:tc>
              <w:tc>
                <w:tcPr>
                  <w:tcW w:w="2242" w:type="dxa"/>
                  <w:noWrap w:val="0"/>
                  <w:vAlign w:val="center"/>
                </w:tcPr>
                <w:p w14:paraId="028F78B1">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广西壮族自治区上林公路养护中心</w:t>
                  </w:r>
                </w:p>
              </w:tc>
              <w:tc>
                <w:tcPr>
                  <w:tcW w:w="2267" w:type="dxa"/>
                  <w:noWrap w:val="0"/>
                  <w:vAlign w:val="center"/>
                </w:tcPr>
                <w:p w14:paraId="56ACC79E">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上林县乔贤镇龙保村古达庄</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G242线3451+750</w:t>
                  </w:r>
                </w:p>
              </w:tc>
            </w:tr>
            <w:tr w14:paraId="5C32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04C46073">
                  <w:pPr>
                    <w:keepNext w:val="0"/>
                    <w:keepLines w:val="0"/>
                    <w:pageBreakBefore w:val="0"/>
                    <w:widowControl/>
                    <w:wordWrap/>
                    <w:overflowPunct/>
                    <w:topLinePunct w:val="0"/>
                    <w:bidi w:val="0"/>
                    <w:spacing w:before="0" w:beforeLines="50" w:after="0" w:afterLines="50"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w:t>
                  </w:r>
                </w:p>
              </w:tc>
              <w:tc>
                <w:tcPr>
                  <w:tcW w:w="1518" w:type="dxa"/>
                  <w:noWrap w:val="0"/>
                  <w:vAlign w:val="center"/>
                </w:tcPr>
                <w:p w14:paraId="720C6A12">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高仁养护站</w:t>
                  </w:r>
                </w:p>
              </w:tc>
              <w:tc>
                <w:tcPr>
                  <w:tcW w:w="2242" w:type="dxa"/>
                  <w:noWrap w:val="0"/>
                  <w:vAlign w:val="center"/>
                </w:tcPr>
                <w:p w14:paraId="3EA83A49">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广西壮族自治区上林公路养护中心</w:t>
                  </w:r>
                </w:p>
              </w:tc>
              <w:tc>
                <w:tcPr>
                  <w:tcW w:w="2267" w:type="dxa"/>
                  <w:noWrap w:val="0"/>
                  <w:vAlign w:val="center"/>
                </w:tcPr>
                <w:p w14:paraId="05D7E832">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上林县三里镇高仁村</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G242线K3463+800</w:t>
                  </w:r>
                </w:p>
              </w:tc>
            </w:tr>
            <w:tr w14:paraId="1404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4D8514AA">
                  <w:pPr>
                    <w:keepNext w:val="0"/>
                    <w:keepLines w:val="0"/>
                    <w:pageBreakBefore w:val="0"/>
                    <w:widowControl/>
                    <w:wordWrap/>
                    <w:overflowPunct/>
                    <w:topLinePunct w:val="0"/>
                    <w:bidi w:val="0"/>
                    <w:spacing w:before="0" w:beforeLines="50" w:after="0" w:afterLines="50"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24</w:t>
                  </w:r>
                </w:p>
              </w:tc>
              <w:tc>
                <w:tcPr>
                  <w:tcW w:w="1518" w:type="dxa"/>
                  <w:noWrap w:val="0"/>
                  <w:vAlign w:val="center"/>
                </w:tcPr>
                <w:p w14:paraId="640F1921">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洋渡养护站</w:t>
                  </w:r>
                </w:p>
              </w:tc>
              <w:tc>
                <w:tcPr>
                  <w:tcW w:w="2242" w:type="dxa"/>
                  <w:noWrap w:val="0"/>
                  <w:vAlign w:val="center"/>
                </w:tcPr>
                <w:p w14:paraId="0AD9FDF9">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广西壮族自治区上林公路养护中心</w:t>
                  </w:r>
                </w:p>
              </w:tc>
              <w:tc>
                <w:tcPr>
                  <w:tcW w:w="2267" w:type="dxa"/>
                  <w:noWrap w:val="0"/>
                  <w:vAlign w:val="center"/>
                </w:tcPr>
                <w:p w14:paraId="75B0DF12">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上林县澄泰乡洋渡村</w:t>
                  </w:r>
                  <w:r>
                    <w:rPr>
                      <w:rFonts w:hint="eastAsia" w:ascii="宋体" w:hAnsi="宋体" w:eastAsia="宋体" w:cs="宋体"/>
                      <w:color w:val="auto"/>
                      <w:kern w:val="0"/>
                      <w:sz w:val="21"/>
                      <w:szCs w:val="21"/>
                      <w:highlight w:val="none"/>
                      <w:lang w:val="en-US" w:eastAsia="zh-CN"/>
                    </w:rPr>
                    <w:t>G242线K3474+250</w:t>
                  </w:r>
                </w:p>
              </w:tc>
            </w:tr>
            <w:tr w14:paraId="2965A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28BC958B">
                  <w:pPr>
                    <w:keepNext w:val="0"/>
                    <w:keepLines w:val="0"/>
                    <w:pageBreakBefore w:val="0"/>
                    <w:widowControl/>
                    <w:wordWrap/>
                    <w:overflowPunct/>
                    <w:topLinePunct w:val="0"/>
                    <w:bidi w:val="0"/>
                    <w:spacing w:before="0" w:beforeLines="50" w:after="0" w:afterLines="50"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25</w:t>
                  </w:r>
                </w:p>
              </w:tc>
              <w:tc>
                <w:tcPr>
                  <w:tcW w:w="1518" w:type="dxa"/>
                  <w:noWrap w:val="0"/>
                  <w:vAlign w:val="center"/>
                </w:tcPr>
                <w:p w14:paraId="3B5CB552">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木山养护站</w:t>
                  </w:r>
                </w:p>
              </w:tc>
              <w:tc>
                <w:tcPr>
                  <w:tcW w:w="2242" w:type="dxa"/>
                  <w:noWrap w:val="0"/>
                  <w:vAlign w:val="center"/>
                </w:tcPr>
                <w:p w14:paraId="47D7E6CE">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广西壮族自治区上林公路养护中心</w:t>
                  </w:r>
                </w:p>
              </w:tc>
              <w:tc>
                <w:tcPr>
                  <w:tcW w:w="2267" w:type="dxa"/>
                  <w:noWrap w:val="0"/>
                  <w:vAlign w:val="center"/>
                </w:tcPr>
                <w:p w14:paraId="53DCFBE5">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上林县木山乡塘旺庄</w:t>
                  </w:r>
                  <w:r>
                    <w:rPr>
                      <w:rFonts w:hint="eastAsia" w:ascii="宋体" w:hAnsi="宋体" w:eastAsia="宋体" w:cs="宋体"/>
                      <w:color w:val="auto"/>
                      <w:kern w:val="0"/>
                      <w:sz w:val="21"/>
                      <w:szCs w:val="21"/>
                      <w:highlight w:val="none"/>
                      <w:lang w:val="en-US" w:eastAsia="zh-CN"/>
                    </w:rPr>
                    <w:t>G355线K1881+150</w:t>
                  </w:r>
                </w:p>
              </w:tc>
            </w:tr>
            <w:tr w14:paraId="39DC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36007507">
                  <w:pPr>
                    <w:keepNext w:val="0"/>
                    <w:keepLines w:val="0"/>
                    <w:pageBreakBefore w:val="0"/>
                    <w:widowControl/>
                    <w:wordWrap/>
                    <w:overflowPunct/>
                    <w:topLinePunct w:val="0"/>
                    <w:bidi w:val="0"/>
                    <w:spacing w:before="0" w:beforeLines="50" w:after="0" w:afterLines="50"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26</w:t>
                  </w:r>
                </w:p>
              </w:tc>
              <w:tc>
                <w:tcPr>
                  <w:tcW w:w="1518" w:type="dxa"/>
                  <w:noWrap w:val="0"/>
                  <w:vAlign w:val="center"/>
                </w:tcPr>
                <w:p w14:paraId="4C6F70F2">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中可养护站</w:t>
                  </w:r>
                </w:p>
              </w:tc>
              <w:tc>
                <w:tcPr>
                  <w:tcW w:w="2242" w:type="dxa"/>
                  <w:noWrap w:val="0"/>
                  <w:vAlign w:val="center"/>
                </w:tcPr>
                <w:p w14:paraId="7CDCC0D7">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广西壮族自治区上林公路养护中心</w:t>
                  </w:r>
                </w:p>
              </w:tc>
              <w:tc>
                <w:tcPr>
                  <w:tcW w:w="2267" w:type="dxa"/>
                  <w:noWrap w:val="0"/>
                  <w:vAlign w:val="center"/>
                </w:tcPr>
                <w:p w14:paraId="20D2F01C">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上林县塘红乡中可村</w:t>
                  </w:r>
                  <w:r>
                    <w:rPr>
                      <w:rFonts w:hint="eastAsia" w:ascii="宋体" w:hAnsi="宋体" w:eastAsia="宋体" w:cs="宋体"/>
                      <w:color w:val="auto"/>
                      <w:kern w:val="0"/>
                      <w:sz w:val="21"/>
                      <w:szCs w:val="21"/>
                      <w:highlight w:val="none"/>
                      <w:lang w:val="en-US" w:eastAsia="zh-CN"/>
                    </w:rPr>
                    <w:t>G355线K1905+020</w:t>
                  </w:r>
                </w:p>
              </w:tc>
            </w:tr>
            <w:tr w14:paraId="074E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49C9D95B">
                  <w:pPr>
                    <w:keepNext w:val="0"/>
                    <w:keepLines w:val="0"/>
                    <w:pageBreakBefore w:val="0"/>
                    <w:widowControl/>
                    <w:wordWrap/>
                    <w:overflowPunct/>
                    <w:topLinePunct w:val="0"/>
                    <w:bidi w:val="0"/>
                    <w:spacing w:before="0" w:beforeLines="50" w:after="0" w:afterLines="50"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27</w:t>
                  </w:r>
                </w:p>
              </w:tc>
              <w:tc>
                <w:tcPr>
                  <w:tcW w:w="1518" w:type="dxa"/>
                  <w:noWrap w:val="0"/>
                  <w:vAlign w:val="center"/>
                </w:tcPr>
                <w:p w14:paraId="5B552DF6">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大丰养护站</w:t>
                  </w:r>
                </w:p>
              </w:tc>
              <w:tc>
                <w:tcPr>
                  <w:tcW w:w="2242" w:type="dxa"/>
                  <w:noWrap w:val="0"/>
                  <w:vAlign w:val="center"/>
                </w:tcPr>
                <w:p w14:paraId="1047A7AE">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广西壮族自治区上林公路养护中心</w:t>
                  </w:r>
                </w:p>
              </w:tc>
              <w:tc>
                <w:tcPr>
                  <w:tcW w:w="2267" w:type="dxa"/>
                  <w:noWrap w:val="0"/>
                  <w:vAlign w:val="center"/>
                </w:tcPr>
                <w:p w14:paraId="538EAA8B">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上林县</w:t>
                  </w:r>
                  <w:r>
                    <w:rPr>
                      <w:rFonts w:hint="eastAsia" w:ascii="宋体" w:hAnsi="宋体" w:eastAsia="宋体" w:cs="宋体"/>
                      <w:color w:val="auto"/>
                      <w:kern w:val="0"/>
                      <w:sz w:val="21"/>
                      <w:szCs w:val="21"/>
                      <w:highlight w:val="none"/>
                    </w:rPr>
                    <w:t>大丰镇莲花</w:t>
                  </w:r>
                  <w:r>
                    <w:rPr>
                      <w:rFonts w:hint="eastAsia" w:ascii="宋体" w:hAnsi="宋体" w:eastAsia="宋体" w:cs="宋体"/>
                      <w:color w:val="auto"/>
                      <w:kern w:val="0"/>
                      <w:sz w:val="21"/>
                      <w:szCs w:val="21"/>
                      <w:highlight w:val="none"/>
                      <w:lang w:val="en-US" w:eastAsia="zh-CN"/>
                    </w:rPr>
                    <w:t>S309线K37+320</w:t>
                  </w:r>
                </w:p>
              </w:tc>
            </w:tr>
            <w:tr w14:paraId="73B8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301C433C">
                  <w:pPr>
                    <w:keepNext w:val="0"/>
                    <w:keepLines w:val="0"/>
                    <w:pageBreakBefore w:val="0"/>
                    <w:widowControl/>
                    <w:wordWrap/>
                    <w:overflowPunct/>
                    <w:topLinePunct w:val="0"/>
                    <w:bidi w:val="0"/>
                    <w:spacing w:before="0" w:beforeLines="50" w:after="0" w:afterLines="50"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28</w:t>
                  </w:r>
                </w:p>
              </w:tc>
              <w:tc>
                <w:tcPr>
                  <w:tcW w:w="1518" w:type="dxa"/>
                  <w:noWrap w:val="0"/>
                  <w:vAlign w:val="center"/>
                </w:tcPr>
                <w:p w14:paraId="1909F0F1">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寨塘养护站</w:t>
                  </w:r>
                </w:p>
              </w:tc>
              <w:tc>
                <w:tcPr>
                  <w:tcW w:w="2242" w:type="dxa"/>
                  <w:noWrap w:val="0"/>
                  <w:vAlign w:val="center"/>
                </w:tcPr>
                <w:p w14:paraId="5F634D3B">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广西壮族自治区上林公路养护中心</w:t>
                  </w:r>
                </w:p>
              </w:tc>
              <w:tc>
                <w:tcPr>
                  <w:tcW w:w="2267" w:type="dxa"/>
                  <w:noWrap w:val="0"/>
                  <w:vAlign w:val="center"/>
                </w:tcPr>
                <w:p w14:paraId="5E2D5131">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上林县西燕镇寨塘庄</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S309线K59+350</w:t>
                  </w:r>
                </w:p>
              </w:tc>
            </w:tr>
            <w:tr w14:paraId="3F3FD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79" w:type="dxa"/>
                  <w:noWrap w:val="0"/>
                  <w:vAlign w:val="center"/>
                </w:tcPr>
                <w:p w14:paraId="2C6A2710">
                  <w:pPr>
                    <w:keepNext w:val="0"/>
                    <w:keepLines w:val="0"/>
                    <w:pageBreakBefore w:val="0"/>
                    <w:widowControl/>
                    <w:wordWrap/>
                    <w:overflowPunct/>
                    <w:topLinePunct w:val="0"/>
                    <w:bidi w:val="0"/>
                    <w:spacing w:before="0" w:beforeLines="50" w:after="0" w:afterLines="50"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29</w:t>
                  </w:r>
                </w:p>
              </w:tc>
              <w:tc>
                <w:tcPr>
                  <w:tcW w:w="1518" w:type="dxa"/>
                  <w:noWrap w:val="0"/>
                  <w:vAlign w:val="center"/>
                </w:tcPr>
                <w:p w14:paraId="304FDE89">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金钗渡口管理所</w:t>
                  </w:r>
                </w:p>
              </w:tc>
              <w:tc>
                <w:tcPr>
                  <w:tcW w:w="2242" w:type="dxa"/>
                  <w:noWrap w:val="0"/>
                  <w:vAlign w:val="center"/>
                </w:tcPr>
                <w:p w14:paraId="46875FA8">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马山</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3C74C6D9">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马山县金钗渡口</w:t>
                  </w:r>
                </w:p>
              </w:tc>
            </w:tr>
            <w:tr w14:paraId="4A97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5F8E074A">
                  <w:pPr>
                    <w:keepNext w:val="0"/>
                    <w:keepLines w:val="0"/>
                    <w:pageBreakBefore w:val="0"/>
                    <w:widowControl/>
                    <w:wordWrap/>
                    <w:overflowPunct/>
                    <w:topLinePunct w:val="0"/>
                    <w:bidi w:val="0"/>
                    <w:spacing w:before="0" w:beforeLines="50" w:after="0" w:afterLines="50"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30</w:t>
                  </w:r>
                </w:p>
              </w:tc>
              <w:tc>
                <w:tcPr>
                  <w:tcW w:w="1518" w:type="dxa"/>
                  <w:noWrap w:val="0"/>
                  <w:vAlign w:val="center"/>
                </w:tcPr>
                <w:p w14:paraId="5418A261">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乐圩养护站</w:t>
                  </w:r>
                </w:p>
              </w:tc>
              <w:tc>
                <w:tcPr>
                  <w:tcW w:w="2242" w:type="dxa"/>
                  <w:noWrap w:val="0"/>
                  <w:vAlign w:val="center"/>
                </w:tcPr>
                <w:p w14:paraId="36546360">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马山</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66633D8B">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马山县乔利乡乐圩村</w:t>
                  </w:r>
                </w:p>
              </w:tc>
            </w:tr>
            <w:tr w14:paraId="3D0D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2BCF13E9">
                  <w:pPr>
                    <w:keepNext w:val="0"/>
                    <w:keepLines w:val="0"/>
                    <w:pageBreakBefore w:val="0"/>
                    <w:widowControl/>
                    <w:wordWrap/>
                    <w:overflowPunct/>
                    <w:topLinePunct w:val="0"/>
                    <w:bidi w:val="0"/>
                    <w:spacing w:before="0" w:beforeLines="50" w:after="0" w:afterLines="50"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31</w:t>
                  </w:r>
                </w:p>
              </w:tc>
              <w:tc>
                <w:tcPr>
                  <w:tcW w:w="1518" w:type="dxa"/>
                  <w:noWrap w:val="0"/>
                  <w:vAlign w:val="center"/>
                </w:tcPr>
                <w:p w14:paraId="0140C48E">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白马养护站</w:t>
                  </w:r>
                </w:p>
              </w:tc>
              <w:tc>
                <w:tcPr>
                  <w:tcW w:w="2242" w:type="dxa"/>
                  <w:noWrap w:val="0"/>
                  <w:vAlign w:val="center"/>
                </w:tcPr>
                <w:p w14:paraId="674CCD21">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马山</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317999BC">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马山县乔利乡东鸡村</w:t>
                  </w:r>
                </w:p>
              </w:tc>
            </w:tr>
            <w:tr w14:paraId="33ED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5B4C06E0">
                  <w:pPr>
                    <w:keepNext w:val="0"/>
                    <w:keepLines w:val="0"/>
                    <w:pageBreakBefore w:val="0"/>
                    <w:widowControl/>
                    <w:wordWrap/>
                    <w:overflowPunct/>
                    <w:topLinePunct w:val="0"/>
                    <w:bidi w:val="0"/>
                    <w:spacing w:before="0" w:beforeLines="50" w:after="0" w:afterLines="50"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32</w:t>
                  </w:r>
                </w:p>
              </w:tc>
              <w:tc>
                <w:tcPr>
                  <w:tcW w:w="1518" w:type="dxa"/>
                  <w:noWrap w:val="0"/>
                  <w:vAlign w:val="center"/>
                </w:tcPr>
                <w:p w14:paraId="24828465">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武平养护站</w:t>
                  </w:r>
                </w:p>
              </w:tc>
              <w:tc>
                <w:tcPr>
                  <w:tcW w:w="2242" w:type="dxa"/>
                  <w:noWrap w:val="0"/>
                  <w:vAlign w:val="center"/>
                </w:tcPr>
                <w:p w14:paraId="15072360">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马山</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636C5984">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马山县周鹿镇武平村</w:t>
                  </w:r>
                </w:p>
              </w:tc>
            </w:tr>
            <w:tr w14:paraId="16D6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515991B8">
                  <w:pPr>
                    <w:keepNext w:val="0"/>
                    <w:keepLines w:val="0"/>
                    <w:pageBreakBefore w:val="0"/>
                    <w:widowControl/>
                    <w:wordWrap/>
                    <w:overflowPunct/>
                    <w:topLinePunct w:val="0"/>
                    <w:bidi w:val="0"/>
                    <w:spacing w:before="0" w:beforeLines="50" w:after="0" w:afterLines="50"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33</w:t>
                  </w:r>
                </w:p>
              </w:tc>
              <w:tc>
                <w:tcPr>
                  <w:tcW w:w="1518" w:type="dxa"/>
                  <w:noWrap w:val="0"/>
                  <w:vAlign w:val="center"/>
                </w:tcPr>
                <w:p w14:paraId="61686C75">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民族养护站</w:t>
                  </w:r>
                </w:p>
              </w:tc>
              <w:tc>
                <w:tcPr>
                  <w:tcW w:w="2242" w:type="dxa"/>
                  <w:noWrap w:val="0"/>
                  <w:vAlign w:val="center"/>
                </w:tcPr>
                <w:p w14:paraId="467B2142">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马山</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31AC6BC2">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马山县白山镇民族村</w:t>
                  </w:r>
                </w:p>
              </w:tc>
            </w:tr>
            <w:tr w14:paraId="215EF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77A6D45F">
                  <w:pPr>
                    <w:keepNext w:val="0"/>
                    <w:keepLines w:val="0"/>
                    <w:pageBreakBefore w:val="0"/>
                    <w:widowControl/>
                    <w:wordWrap/>
                    <w:overflowPunct/>
                    <w:topLinePunct w:val="0"/>
                    <w:bidi w:val="0"/>
                    <w:spacing w:before="0" w:beforeLines="50" w:after="0" w:afterLines="50"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34</w:t>
                  </w:r>
                </w:p>
              </w:tc>
              <w:tc>
                <w:tcPr>
                  <w:tcW w:w="1518" w:type="dxa"/>
                  <w:noWrap w:val="0"/>
                  <w:vAlign w:val="center"/>
                </w:tcPr>
                <w:p w14:paraId="3AD22252">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新汉养护站</w:t>
                  </w:r>
                </w:p>
              </w:tc>
              <w:tc>
                <w:tcPr>
                  <w:tcW w:w="2242" w:type="dxa"/>
                  <w:noWrap w:val="0"/>
                  <w:vAlign w:val="center"/>
                </w:tcPr>
                <w:p w14:paraId="6AE421A8">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马山</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4A43ED7F">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马山县白山镇新汉村</w:t>
                  </w:r>
                </w:p>
              </w:tc>
            </w:tr>
            <w:tr w14:paraId="66F0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05BBA874">
                  <w:pPr>
                    <w:keepNext w:val="0"/>
                    <w:keepLines w:val="0"/>
                    <w:pageBreakBefore w:val="0"/>
                    <w:widowControl/>
                    <w:wordWrap/>
                    <w:overflowPunct/>
                    <w:topLinePunct w:val="0"/>
                    <w:bidi w:val="0"/>
                    <w:spacing w:before="0" w:beforeLines="50" w:after="0" w:afterLines="50"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35</w:t>
                  </w:r>
                </w:p>
              </w:tc>
              <w:tc>
                <w:tcPr>
                  <w:tcW w:w="1518" w:type="dxa"/>
                  <w:noWrap w:val="0"/>
                  <w:vAlign w:val="center"/>
                </w:tcPr>
                <w:p w14:paraId="222A95F5">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勉圩养护站</w:t>
                  </w:r>
                </w:p>
              </w:tc>
              <w:tc>
                <w:tcPr>
                  <w:tcW w:w="2242" w:type="dxa"/>
                  <w:noWrap w:val="0"/>
                  <w:vAlign w:val="center"/>
                </w:tcPr>
                <w:p w14:paraId="18F7BC41">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马山</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466F6166">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马山县百龙滩镇勉圩村</w:t>
                  </w:r>
                </w:p>
              </w:tc>
            </w:tr>
            <w:tr w14:paraId="5C2B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4FD0686C">
                  <w:pPr>
                    <w:keepNext w:val="0"/>
                    <w:keepLines w:val="0"/>
                    <w:pageBreakBefore w:val="0"/>
                    <w:widowControl/>
                    <w:wordWrap/>
                    <w:overflowPunct/>
                    <w:topLinePunct w:val="0"/>
                    <w:bidi w:val="0"/>
                    <w:spacing w:before="0" w:beforeLines="50" w:after="0" w:afterLines="50"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36</w:t>
                  </w:r>
                </w:p>
              </w:tc>
              <w:tc>
                <w:tcPr>
                  <w:tcW w:w="1518" w:type="dxa"/>
                  <w:noWrap w:val="0"/>
                  <w:vAlign w:val="center"/>
                </w:tcPr>
                <w:p w14:paraId="5091C43A">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杨圩养护站</w:t>
                  </w:r>
                </w:p>
              </w:tc>
              <w:tc>
                <w:tcPr>
                  <w:tcW w:w="2242" w:type="dxa"/>
                  <w:noWrap w:val="0"/>
                  <w:vAlign w:val="center"/>
                </w:tcPr>
                <w:p w14:paraId="0452E847">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马山</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33D44959">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马山县古零镇杨圩村</w:t>
                  </w:r>
                </w:p>
              </w:tc>
            </w:tr>
            <w:tr w14:paraId="405E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328DD8B8">
                  <w:pPr>
                    <w:keepNext w:val="0"/>
                    <w:keepLines w:val="0"/>
                    <w:pageBreakBefore w:val="0"/>
                    <w:widowControl/>
                    <w:wordWrap/>
                    <w:overflowPunct/>
                    <w:topLinePunct w:val="0"/>
                    <w:bidi w:val="0"/>
                    <w:spacing w:before="0" w:beforeLines="50" w:after="0" w:afterLines="50"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37</w:t>
                  </w:r>
                </w:p>
              </w:tc>
              <w:tc>
                <w:tcPr>
                  <w:tcW w:w="1518" w:type="dxa"/>
                  <w:noWrap w:val="0"/>
                  <w:vAlign w:val="center"/>
                </w:tcPr>
                <w:p w14:paraId="24991FD8">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里民养护站</w:t>
                  </w:r>
                </w:p>
              </w:tc>
              <w:tc>
                <w:tcPr>
                  <w:tcW w:w="2242" w:type="dxa"/>
                  <w:noWrap w:val="0"/>
                  <w:vAlign w:val="center"/>
                </w:tcPr>
                <w:p w14:paraId="4B874C1D">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马山</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5C4EB029">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马山县古零镇里民村新里屯</w:t>
                  </w:r>
                </w:p>
              </w:tc>
            </w:tr>
            <w:tr w14:paraId="1B7D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2BE0B2A8">
                  <w:pPr>
                    <w:keepNext w:val="0"/>
                    <w:keepLines w:val="0"/>
                    <w:pageBreakBefore w:val="0"/>
                    <w:widowControl/>
                    <w:wordWrap/>
                    <w:overflowPunct/>
                    <w:topLinePunct w:val="0"/>
                    <w:bidi w:val="0"/>
                    <w:spacing w:before="0" w:beforeLines="50" w:after="0" w:afterLines="50"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38</w:t>
                  </w:r>
                </w:p>
              </w:tc>
              <w:tc>
                <w:tcPr>
                  <w:tcW w:w="1518" w:type="dxa"/>
                  <w:noWrap w:val="0"/>
                  <w:vAlign w:val="center"/>
                </w:tcPr>
                <w:p w14:paraId="300F2887">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乔老养护站</w:t>
                  </w:r>
                </w:p>
              </w:tc>
              <w:tc>
                <w:tcPr>
                  <w:tcW w:w="2242" w:type="dxa"/>
                  <w:noWrap w:val="0"/>
                  <w:vAlign w:val="center"/>
                </w:tcPr>
                <w:p w14:paraId="155490BD">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马山</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40BB2CEA">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马山县古零镇乔老村下号屯</w:t>
                  </w:r>
                </w:p>
              </w:tc>
            </w:tr>
            <w:tr w14:paraId="1FB5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680648D9">
                  <w:pPr>
                    <w:keepNext w:val="0"/>
                    <w:keepLines w:val="0"/>
                    <w:pageBreakBefore w:val="0"/>
                    <w:widowControl/>
                    <w:wordWrap/>
                    <w:overflowPunct/>
                    <w:topLinePunct w:val="0"/>
                    <w:bidi w:val="0"/>
                    <w:spacing w:before="0" w:beforeLines="50" w:after="0" w:afterLines="50"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39</w:t>
                  </w:r>
                </w:p>
              </w:tc>
              <w:tc>
                <w:tcPr>
                  <w:tcW w:w="1518" w:type="dxa"/>
                  <w:noWrap w:val="0"/>
                  <w:vAlign w:val="center"/>
                </w:tcPr>
                <w:p w14:paraId="21BFEE89">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乐平养护站</w:t>
                  </w:r>
                </w:p>
              </w:tc>
              <w:tc>
                <w:tcPr>
                  <w:tcW w:w="2242" w:type="dxa"/>
                  <w:noWrap w:val="0"/>
                  <w:vAlign w:val="center"/>
                </w:tcPr>
                <w:p w14:paraId="04A55E7B">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马山</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31288182">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马山县古零镇乐平村</w:t>
                  </w:r>
                </w:p>
              </w:tc>
            </w:tr>
            <w:tr w14:paraId="2074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31977D8E">
                  <w:pPr>
                    <w:keepNext w:val="0"/>
                    <w:keepLines w:val="0"/>
                    <w:pageBreakBefore w:val="0"/>
                    <w:widowControl/>
                    <w:wordWrap/>
                    <w:overflowPunct/>
                    <w:topLinePunct w:val="0"/>
                    <w:bidi w:val="0"/>
                    <w:spacing w:before="0" w:beforeLines="50" w:after="0" w:afterLines="50"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40</w:t>
                  </w:r>
                </w:p>
              </w:tc>
              <w:tc>
                <w:tcPr>
                  <w:tcW w:w="1518" w:type="dxa"/>
                  <w:noWrap w:val="0"/>
                  <w:vAlign w:val="center"/>
                </w:tcPr>
                <w:p w14:paraId="12D8BF69">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木棉养护站</w:t>
                  </w:r>
                </w:p>
              </w:tc>
              <w:tc>
                <w:tcPr>
                  <w:tcW w:w="2242" w:type="dxa"/>
                  <w:noWrap w:val="0"/>
                  <w:vAlign w:val="center"/>
                </w:tcPr>
                <w:p w14:paraId="044ACBFA">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马山</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629808AB">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马山县白山镇内昂路木棉坝</w:t>
                  </w:r>
                </w:p>
              </w:tc>
            </w:tr>
            <w:tr w14:paraId="7604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7F665D94">
                  <w:pPr>
                    <w:keepNext w:val="0"/>
                    <w:keepLines w:val="0"/>
                    <w:pageBreakBefore w:val="0"/>
                    <w:widowControl/>
                    <w:wordWrap/>
                    <w:overflowPunct/>
                    <w:topLinePunct w:val="0"/>
                    <w:bidi w:val="0"/>
                    <w:spacing w:before="0" w:beforeLines="50" w:after="0" w:afterLines="50"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41</w:t>
                  </w:r>
                </w:p>
              </w:tc>
              <w:tc>
                <w:tcPr>
                  <w:tcW w:w="1518" w:type="dxa"/>
                  <w:noWrap w:val="0"/>
                  <w:vAlign w:val="center"/>
                </w:tcPr>
                <w:p w14:paraId="779E1B3A">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金钗养护站</w:t>
                  </w:r>
                </w:p>
              </w:tc>
              <w:tc>
                <w:tcPr>
                  <w:tcW w:w="2242" w:type="dxa"/>
                  <w:noWrap w:val="0"/>
                  <w:vAlign w:val="center"/>
                </w:tcPr>
                <w:p w14:paraId="3C7F8485">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马山</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0E70883D">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马山县金钗镇乐江村</w:t>
                  </w:r>
                </w:p>
              </w:tc>
            </w:tr>
            <w:tr w14:paraId="4084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52B24E21">
                  <w:pPr>
                    <w:keepNext w:val="0"/>
                    <w:keepLines w:val="0"/>
                    <w:pageBreakBefore w:val="0"/>
                    <w:widowControl/>
                    <w:wordWrap/>
                    <w:overflowPunct/>
                    <w:topLinePunct w:val="0"/>
                    <w:bidi w:val="0"/>
                    <w:spacing w:before="0" w:beforeLines="50" w:after="0" w:afterLines="50"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42</w:t>
                  </w:r>
                </w:p>
              </w:tc>
              <w:tc>
                <w:tcPr>
                  <w:tcW w:w="1518" w:type="dxa"/>
                  <w:noWrap w:val="0"/>
                  <w:vAlign w:val="center"/>
                </w:tcPr>
                <w:p w14:paraId="29B2B824">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乐江养护站</w:t>
                  </w:r>
                </w:p>
              </w:tc>
              <w:tc>
                <w:tcPr>
                  <w:tcW w:w="2242" w:type="dxa"/>
                  <w:noWrap w:val="0"/>
                  <w:vAlign w:val="center"/>
                </w:tcPr>
                <w:p w14:paraId="544CE8BC">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马山</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73170B1A">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马山县金钗镇乐江村勘等屯</w:t>
                  </w:r>
                </w:p>
              </w:tc>
            </w:tr>
            <w:tr w14:paraId="0C85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43A2C968">
                  <w:pPr>
                    <w:keepNext w:val="0"/>
                    <w:keepLines w:val="0"/>
                    <w:pageBreakBefore w:val="0"/>
                    <w:widowControl/>
                    <w:wordWrap/>
                    <w:overflowPunct/>
                    <w:topLinePunct w:val="0"/>
                    <w:bidi w:val="0"/>
                    <w:spacing w:before="0" w:beforeLines="50" w:after="0" w:afterLines="50"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43</w:t>
                  </w:r>
                </w:p>
              </w:tc>
              <w:tc>
                <w:tcPr>
                  <w:tcW w:w="1518" w:type="dxa"/>
                  <w:noWrap w:val="0"/>
                  <w:vAlign w:val="center"/>
                </w:tcPr>
                <w:p w14:paraId="6DDBE4C1">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周鹿养护站</w:t>
                  </w:r>
                </w:p>
              </w:tc>
              <w:tc>
                <w:tcPr>
                  <w:tcW w:w="2242" w:type="dxa"/>
                  <w:noWrap w:val="0"/>
                  <w:vAlign w:val="center"/>
                </w:tcPr>
                <w:p w14:paraId="7DC00B28">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马山</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5B26BD0E">
                  <w:pPr>
                    <w:keepNext w:val="0"/>
                    <w:keepLines w:val="0"/>
                    <w:pageBreakBefore w:val="0"/>
                    <w:widowControl/>
                    <w:wordWrap/>
                    <w:overflowPunct/>
                    <w:topLinePunct w:val="0"/>
                    <w:bidi w:val="0"/>
                    <w:spacing w:before="0" w:beforeLines="50" w:after="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马山县周鹿镇独秀山下</w:t>
                  </w:r>
                </w:p>
              </w:tc>
            </w:tr>
          </w:tbl>
          <w:p w14:paraId="12952E19">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50" w:line="360" w:lineRule="auto"/>
              <w:ind w:lef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四、各养护中心具体各项招标控制价如下：</w:t>
            </w:r>
          </w:p>
          <w:tbl>
            <w:tblPr>
              <w:tblStyle w:val="17"/>
              <w:tblW w:w="6341"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5"/>
              <w:gridCol w:w="2306"/>
            </w:tblGrid>
            <w:tr w14:paraId="2C50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035" w:type="dxa"/>
                  <w:noWrap w:val="0"/>
                  <w:vAlign w:val="center"/>
                </w:tcPr>
                <w:p w14:paraId="501C3E32">
                  <w:pPr>
                    <w:keepNext w:val="0"/>
                    <w:keepLines w:val="0"/>
                    <w:pageBreakBefore w:val="0"/>
                    <w:widowControl/>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kern w:val="0"/>
                      <w:sz w:val="21"/>
                      <w:szCs w:val="21"/>
                      <w:highlight w:val="none"/>
                      <w:lang w:bidi="ar"/>
                    </w:rPr>
                    <w:t>中心</w:t>
                  </w:r>
                  <w:r>
                    <w:rPr>
                      <w:rFonts w:hint="eastAsia" w:ascii="宋体" w:hAnsi="宋体" w:eastAsia="宋体" w:cs="宋体"/>
                      <w:color w:val="auto"/>
                      <w:kern w:val="0"/>
                      <w:sz w:val="21"/>
                      <w:szCs w:val="21"/>
                      <w:highlight w:val="none"/>
                      <w:lang w:eastAsia="zh-CN" w:bidi="ar"/>
                    </w:rPr>
                    <w:t>名称</w:t>
                  </w:r>
                </w:p>
              </w:tc>
              <w:tc>
                <w:tcPr>
                  <w:tcW w:w="2306" w:type="dxa"/>
                  <w:noWrap w:val="0"/>
                  <w:vAlign w:val="center"/>
                </w:tcPr>
                <w:p w14:paraId="06E21148">
                  <w:pPr>
                    <w:keepNext w:val="0"/>
                    <w:keepLines w:val="0"/>
                    <w:pageBreakBefore w:val="0"/>
                    <w:widowControl/>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kern w:val="0"/>
                      <w:sz w:val="21"/>
                      <w:szCs w:val="21"/>
                      <w:highlight w:val="none"/>
                      <w:lang w:eastAsia="zh-CN" w:bidi="ar"/>
                    </w:rPr>
                    <w:t>招标控制价</w:t>
                  </w:r>
                  <w:r>
                    <w:rPr>
                      <w:rFonts w:hint="eastAsia" w:ascii="宋体" w:hAnsi="宋体" w:eastAsia="宋体" w:cs="宋体"/>
                      <w:color w:val="auto"/>
                      <w:kern w:val="0"/>
                      <w:sz w:val="21"/>
                      <w:szCs w:val="21"/>
                      <w:highlight w:val="none"/>
                      <w:lang w:bidi="ar"/>
                    </w:rPr>
                    <w:t>（万元）</w:t>
                  </w:r>
                </w:p>
              </w:tc>
            </w:tr>
            <w:tr w14:paraId="4326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noWrap w:val="0"/>
                  <w:vAlign w:val="center"/>
                </w:tcPr>
                <w:p w14:paraId="1E4DD8C1">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i w:val="0"/>
                      <w:iCs w:val="0"/>
                      <w:color w:val="auto"/>
                      <w:kern w:val="0"/>
                      <w:sz w:val="21"/>
                      <w:szCs w:val="21"/>
                      <w:highlight w:val="none"/>
                      <w:u w:val="none"/>
                      <w:lang w:val="en-US" w:eastAsia="zh-CN" w:bidi="ar"/>
                    </w:rPr>
                    <w:t>宾阳公路养护中心</w:t>
                  </w:r>
                </w:p>
              </w:tc>
              <w:tc>
                <w:tcPr>
                  <w:tcW w:w="2306" w:type="dxa"/>
                  <w:noWrap w:val="0"/>
                  <w:vAlign w:val="center"/>
                </w:tcPr>
                <w:p w14:paraId="209C918C">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vertAlign w:val="baseline"/>
                      <w:lang w:val="en-US" w:eastAsia="zh-CN"/>
                    </w:rPr>
                    <w:t>1446.09</w:t>
                  </w:r>
                </w:p>
              </w:tc>
            </w:tr>
            <w:tr w14:paraId="08B18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noWrap w:val="0"/>
                  <w:vAlign w:val="center"/>
                </w:tcPr>
                <w:p w14:paraId="40B37036">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i w:val="0"/>
                      <w:iCs w:val="0"/>
                      <w:color w:val="auto"/>
                      <w:kern w:val="0"/>
                      <w:sz w:val="21"/>
                      <w:szCs w:val="21"/>
                      <w:highlight w:val="none"/>
                      <w:u w:val="none"/>
                      <w:lang w:val="en-US" w:eastAsia="zh-CN" w:bidi="ar"/>
                    </w:rPr>
                    <w:t>横县公路养护中心</w:t>
                  </w:r>
                </w:p>
              </w:tc>
              <w:tc>
                <w:tcPr>
                  <w:tcW w:w="2306" w:type="dxa"/>
                  <w:noWrap w:val="0"/>
                  <w:vAlign w:val="center"/>
                </w:tcPr>
                <w:p w14:paraId="5E1B6ACE">
                  <w:pPr>
                    <w:keepNext w:val="0"/>
                    <w:keepLines w:val="0"/>
                    <w:pageBreakBefore w:val="0"/>
                    <w:widowControl/>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vertAlign w:val="baseline"/>
                      <w:lang w:val="en-US" w:eastAsia="zh-CN"/>
                    </w:rPr>
                    <w:t>1567.23</w:t>
                  </w:r>
                </w:p>
              </w:tc>
            </w:tr>
            <w:tr w14:paraId="40AE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noWrap w:val="0"/>
                  <w:vAlign w:val="center"/>
                </w:tcPr>
                <w:p w14:paraId="0C57AE94">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i w:val="0"/>
                      <w:iCs w:val="0"/>
                      <w:color w:val="auto"/>
                      <w:kern w:val="0"/>
                      <w:sz w:val="21"/>
                      <w:szCs w:val="21"/>
                      <w:highlight w:val="none"/>
                      <w:u w:val="none"/>
                      <w:lang w:val="en-US" w:eastAsia="zh-CN" w:bidi="ar"/>
                    </w:rPr>
                    <w:t>上林公路养护中心</w:t>
                  </w:r>
                </w:p>
              </w:tc>
              <w:tc>
                <w:tcPr>
                  <w:tcW w:w="2306" w:type="dxa"/>
                  <w:noWrap w:val="0"/>
                  <w:vAlign w:val="center"/>
                </w:tcPr>
                <w:p w14:paraId="51721591">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1323.624</w:t>
                  </w:r>
                </w:p>
              </w:tc>
            </w:tr>
            <w:tr w14:paraId="15E0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noWrap w:val="0"/>
                  <w:vAlign w:val="center"/>
                </w:tcPr>
                <w:p w14:paraId="324581D1">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i w:val="0"/>
                      <w:iCs w:val="0"/>
                      <w:color w:val="auto"/>
                      <w:kern w:val="0"/>
                      <w:sz w:val="21"/>
                      <w:szCs w:val="21"/>
                      <w:highlight w:val="none"/>
                      <w:u w:val="none"/>
                      <w:lang w:val="en-US" w:eastAsia="zh-CN" w:bidi="ar"/>
                    </w:rPr>
                    <w:t>马山公路养护中心</w:t>
                  </w:r>
                </w:p>
              </w:tc>
              <w:tc>
                <w:tcPr>
                  <w:tcW w:w="2306" w:type="dxa"/>
                  <w:noWrap w:val="0"/>
                  <w:vAlign w:val="center"/>
                </w:tcPr>
                <w:p w14:paraId="0CAF4D4A">
                  <w:pPr>
                    <w:keepNext w:val="0"/>
                    <w:keepLines w:val="0"/>
                    <w:pageBreakBefore w:val="0"/>
                    <w:widowControl/>
                    <w:suppressLineNumbers w:val="0"/>
                    <w:tabs>
                      <w:tab w:val="left" w:pos="0"/>
                    </w:tabs>
                    <w:wordWrap/>
                    <w:overflowPunct/>
                    <w:topLinePunct w:val="0"/>
                    <w:bidi w:val="0"/>
                    <w:spacing w:before="0" w:beforeLines="50" w:after="0" w:afterLines="50" w:line="300" w:lineRule="exact"/>
                    <w:ind w:firstLine="0" w:firstLineChars="0"/>
                    <w:jc w:val="center"/>
                    <w:textAlignment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1066.65</w:t>
                  </w:r>
                </w:p>
              </w:tc>
            </w:tr>
            <w:tr w14:paraId="3348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noWrap w:val="0"/>
                  <w:vAlign w:val="center"/>
                </w:tcPr>
                <w:p w14:paraId="578596C6">
                  <w:pPr>
                    <w:keepNext w:val="0"/>
                    <w:keepLines w:val="0"/>
                    <w:pageBreakBefore w:val="0"/>
                    <w:widowControl/>
                    <w:tabs>
                      <w:tab w:val="left" w:pos="0"/>
                    </w:tabs>
                    <w:wordWrap/>
                    <w:overflowPunct/>
                    <w:topLinePunct w:val="0"/>
                    <w:bidi w:val="0"/>
                    <w:spacing w:before="0" w:beforeLines="50" w:after="0" w:afterLines="50" w:line="300" w:lineRule="exact"/>
                    <w:ind w:firstLine="0" w:firstLineChars="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eastAsia="zh-CN" w:bidi="ar"/>
                    </w:rPr>
                    <w:t>招标控制总价（万元）</w:t>
                  </w:r>
                </w:p>
              </w:tc>
              <w:tc>
                <w:tcPr>
                  <w:tcW w:w="2306" w:type="dxa"/>
                  <w:noWrap w:val="0"/>
                  <w:vAlign w:val="center"/>
                </w:tcPr>
                <w:p w14:paraId="66B56208">
                  <w:pPr>
                    <w:keepNext w:val="0"/>
                    <w:keepLines w:val="0"/>
                    <w:pageBreakBefore w:val="0"/>
                    <w:widowControl/>
                    <w:tabs>
                      <w:tab w:val="left" w:pos="0"/>
                    </w:tabs>
                    <w:wordWrap/>
                    <w:overflowPunct/>
                    <w:topLinePunct w:val="0"/>
                    <w:bidi w:val="0"/>
                    <w:spacing w:before="0" w:beforeLines="50" w:after="0" w:afterLines="50" w:line="300" w:lineRule="exact"/>
                    <w:ind w:firstLine="0" w:firstLineChars="0"/>
                    <w:jc w:val="center"/>
                    <w:textAlignment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5403.594</w:t>
                  </w:r>
                </w:p>
              </w:tc>
            </w:tr>
          </w:tbl>
          <w:p w14:paraId="737FDE42">
            <w:pPr>
              <w:pStyle w:val="10"/>
              <w:keepNext w:val="0"/>
              <w:keepLines w:val="0"/>
              <w:pageBreakBefore w:val="0"/>
              <w:numPr>
                <w:ilvl w:val="0"/>
                <w:numId w:val="0"/>
              </w:numPr>
              <w:wordWrap/>
              <w:overflowPunct/>
              <w:topLinePunct w:val="0"/>
              <w:bidi w:val="0"/>
              <w:spacing w:before="0" w:beforeLines="50" w:after="0" w:afterLines="50" w:line="360" w:lineRule="auto"/>
              <w:rPr>
                <w:rFonts w:hint="eastAsia" w:ascii="宋体" w:hAnsi="宋体" w:eastAsia="宋体" w:cs="宋体"/>
                <w:b/>
                <w:bCs/>
                <w:color w:val="auto"/>
                <w:sz w:val="21"/>
                <w:szCs w:val="21"/>
                <w:highlight w:val="none"/>
                <w:lang w:eastAsia="zh-CN"/>
              </w:rPr>
            </w:pPr>
          </w:p>
          <w:p w14:paraId="42CCF971">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50" w:line="360" w:lineRule="auto"/>
              <w:textAlignment w:val="auto"/>
              <w:rPr>
                <w:rFonts w:hint="eastAsia"/>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0"/>
                <w:sz w:val="21"/>
                <w:szCs w:val="21"/>
                <w:highlight w:val="none"/>
                <w:lang w:val="en-US" w:eastAsia="zh-CN" w:bidi="ar-SA"/>
              </w:rPr>
              <w:t>五、</w:t>
            </w:r>
            <w:r>
              <w:rPr>
                <w:rFonts w:hint="eastAsia"/>
                <w:b/>
                <w:bCs/>
                <w:color w:val="auto"/>
                <w:sz w:val="21"/>
                <w:szCs w:val="21"/>
                <w:highlight w:val="none"/>
              </w:rPr>
              <w:t>服务要求：</w:t>
            </w:r>
          </w:p>
          <w:p w14:paraId="58AB8B01">
            <w:pPr>
              <w:pStyle w:val="10"/>
              <w:keepNext w:val="0"/>
              <w:keepLines w:val="0"/>
              <w:pageBreakBefore w:val="0"/>
              <w:numPr>
                <w:ilvl w:val="0"/>
                <w:numId w:val="0"/>
              </w:numPr>
              <w:wordWrap/>
              <w:overflowPunct/>
              <w:topLinePunct w:val="0"/>
              <w:bidi w:val="0"/>
              <w:spacing w:before="0" w:beforeLines="50" w:after="0" w:afterLines="50" w:line="360" w:lineRule="auto"/>
              <w:rPr>
                <w:rFonts w:hint="eastAsia" w:ascii="宋体" w:hAnsi="宋体" w:eastAsia="宋体" w:cs="宋体"/>
                <w:b/>
                <w:bCs/>
                <w:color w:val="auto"/>
                <w:sz w:val="21"/>
                <w:szCs w:val="21"/>
                <w:highlight w:val="none"/>
              </w:rPr>
            </w:pPr>
            <w:r>
              <w:rPr>
                <w:rFonts w:hint="eastAsia"/>
                <w:b w:val="0"/>
                <w:bCs w:val="0"/>
                <w:color w:val="auto"/>
                <w:sz w:val="21"/>
                <w:szCs w:val="21"/>
                <w:highlight w:val="none"/>
              </w:rPr>
              <w:t>按《公路养护技术标准》(JTG5110-2023)及相关规范要求</w:t>
            </w:r>
            <w:r>
              <w:rPr>
                <w:rFonts w:hint="eastAsia"/>
                <w:color w:val="auto"/>
                <w:sz w:val="21"/>
                <w:szCs w:val="21"/>
                <w:highlight w:val="none"/>
              </w:rPr>
              <w:t>实施公路日常养护作业，有针对性地对不同路段制定科学有效的养护计划方案。包括路基、路面、桥涵</w:t>
            </w:r>
            <w:r>
              <w:rPr>
                <w:rFonts w:hint="eastAsia"/>
                <w:color w:val="auto"/>
                <w:sz w:val="21"/>
                <w:szCs w:val="21"/>
                <w:highlight w:val="none"/>
              </w:rPr>
              <w:t>、隧道、交通工程及沿线设施的日常养护工作、</w:t>
            </w:r>
            <w:r>
              <w:rPr>
                <w:rFonts w:hint="eastAsia"/>
                <w:color w:val="auto"/>
                <w:sz w:val="21"/>
                <w:szCs w:val="21"/>
                <w:highlight w:val="none"/>
              </w:rPr>
              <w:t>突发事件应急处置及日常巡查、经常检查、定期检查（不包括桥涵、隧道），同时利用低空无人机技术和AI智能识别算法，实时采集路基、路面、桥梁、边坡结构物及相关设施的图像和数据，运用AI智能算法自动识别路面状态、结构病害及设施完好性等问题，进行公路智能巡检。配合完成每年度市中心组织的普通国省干线公路养护技能竞赛。</w:t>
            </w:r>
          </w:p>
          <w:p w14:paraId="4F2B0ED1">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六、各养护中心公路日常养护</w:t>
            </w:r>
            <w:r>
              <w:rPr>
                <w:rFonts w:hint="eastAsia" w:ascii="宋体" w:hAnsi="宋体" w:eastAsia="宋体" w:cs="宋体"/>
                <w:b/>
                <w:bCs/>
                <w:color w:val="auto"/>
                <w:sz w:val="21"/>
                <w:szCs w:val="21"/>
                <w:highlight w:val="none"/>
              </w:rPr>
              <w:t>主要</w:t>
            </w:r>
            <w:r>
              <w:rPr>
                <w:rFonts w:hint="eastAsia" w:ascii="宋体" w:hAnsi="宋体" w:eastAsia="宋体" w:cs="宋体"/>
                <w:b/>
                <w:bCs/>
                <w:color w:val="auto"/>
                <w:sz w:val="21"/>
                <w:szCs w:val="21"/>
                <w:highlight w:val="none"/>
                <w:lang w:val="en-US" w:eastAsia="zh-CN"/>
              </w:rPr>
              <w:t>工</w:t>
            </w:r>
            <w:r>
              <w:rPr>
                <w:rFonts w:hint="eastAsia" w:ascii="宋体" w:hAnsi="宋体" w:eastAsia="宋体" w:cs="宋体"/>
                <w:b/>
                <w:bCs/>
                <w:color w:val="auto"/>
                <w:sz w:val="21"/>
                <w:szCs w:val="21"/>
                <w:highlight w:val="none"/>
                <w:lang w:val="en-US" w:eastAsia="zh-CN"/>
              </w:rPr>
              <w:t>作内容（</w:t>
            </w:r>
            <w:r>
              <w:rPr>
                <w:rFonts w:hint="eastAsia" w:ascii="宋体" w:hAnsi="宋体" w:eastAsia="宋体" w:cs="宋体"/>
                <w:b/>
                <w:bCs/>
                <w:color w:val="auto"/>
                <w:sz w:val="21"/>
                <w:szCs w:val="21"/>
                <w:highlight w:val="none"/>
              </w:rPr>
              <w:t>包括</w:t>
            </w:r>
            <w:r>
              <w:rPr>
                <w:rFonts w:hint="eastAsia" w:ascii="宋体" w:hAnsi="宋体" w:eastAsia="宋体" w:cs="宋体"/>
                <w:b/>
                <w:bCs/>
                <w:color w:val="auto"/>
                <w:sz w:val="21"/>
                <w:szCs w:val="21"/>
                <w:highlight w:val="none"/>
                <w:lang w:val="en-US" w:eastAsia="zh-CN"/>
              </w:rPr>
              <w:t>但不限于）如下</w:t>
            </w:r>
            <w:r>
              <w:rPr>
                <w:rFonts w:hint="eastAsia" w:ascii="宋体" w:hAnsi="宋体" w:eastAsia="宋体" w:cs="宋体"/>
                <w:b/>
                <w:bCs/>
                <w:color w:val="auto"/>
                <w:sz w:val="21"/>
                <w:szCs w:val="21"/>
                <w:highlight w:val="none"/>
              </w:rPr>
              <w:t>：</w:t>
            </w:r>
          </w:p>
          <w:p w14:paraId="7FE62B1F">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50"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（1）日常保养具体工作范围为：</w:t>
            </w:r>
          </w:p>
          <w:p w14:paraId="3F0FBDF8">
            <w:pPr>
              <w:keepNext w:val="0"/>
              <w:keepLines w:val="0"/>
              <w:pageBreakBefore w:val="0"/>
              <w:widowControl w:val="0"/>
              <w:numPr>
                <w:ilvl w:val="0"/>
                <w:numId w:val="0"/>
              </w:numPr>
              <w:wordWrap/>
              <w:overflowPunct/>
              <w:topLinePunct w:val="0"/>
              <w:bidi w:val="0"/>
              <w:spacing w:before="0" w:beforeLines="50" w:after="0" w:afterLines="5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路基：整理路肩，修剪路肩杂草，常态化控制杂草高度在15cm以内，清除路肩杂物；整理坡面，缺口培土，修剪坡面杂草，路肩以上1.2米高范围内，杂草要修剪整齐高度不高于15cm、界面线顺直，下边坡杂草不高于路肩，清除坡面杂物；清除护坡、支挡结构物上的杂草、杂物，疏通排（泄）水孔；清理绿化平台、碎落台上的杂物，修剪绿化平台、碎落台上的杂草，常态化控制杂草高度在15cm以内；疏通边沟、截水沟、集水井、泄水槽等排水设施；修整中央分隔带路缘石，清除杂物、杂草，清理排水通道。</w:t>
            </w:r>
          </w:p>
          <w:p w14:paraId="4E22E37A">
            <w:pPr>
              <w:keepNext w:val="0"/>
              <w:keepLines w:val="0"/>
              <w:pageBreakBefore w:val="0"/>
              <w:widowControl w:val="0"/>
              <w:numPr>
                <w:ilvl w:val="0"/>
                <w:numId w:val="0"/>
              </w:numPr>
              <w:wordWrap/>
              <w:overflowPunct/>
              <w:topLinePunct w:val="0"/>
              <w:bidi w:val="0"/>
              <w:spacing w:before="0" w:beforeLines="50" w:after="0" w:afterLines="5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②路面：清除路面泥土积砂杂物、污染物、散落物等；排除路面积水，疏通路面排水。</w:t>
            </w:r>
          </w:p>
          <w:p w14:paraId="218D4387">
            <w:pPr>
              <w:keepNext w:val="0"/>
              <w:keepLines w:val="0"/>
              <w:pageBreakBefore w:val="0"/>
              <w:widowControl w:val="0"/>
              <w:numPr>
                <w:ilvl w:val="0"/>
                <w:numId w:val="0"/>
              </w:numPr>
              <w:wordWrap/>
              <w:overflowPunct/>
              <w:topLinePunct w:val="0"/>
              <w:bidi w:val="0"/>
              <w:spacing w:before="0" w:beforeLines="50" w:after="0" w:afterLines="5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桥梁：加强日常巡查，定期对桥面、主梁、墩台、支座、伸缩缝、护栏等部位进行检查，及时发现裂缝、松动、锈蚀、渗漏等病害，做好记录与跟踪；做好清洁疏通，保持桥面干净整洁，及时清理伸缩缝、桥下空间等杂物、疏通泄水孔，确保排水通畅，减少积水对结构的侵蚀；维护附属设施，保障照明、标志标线、防护设施等正常使用，保持桥梁整体功能完好。通过以上工作，持续保持桥梁处于良好技术状态，保障桥梁安全稳定运行。</w:t>
            </w:r>
          </w:p>
          <w:p w14:paraId="2CA99F76">
            <w:pPr>
              <w:keepNext w:val="0"/>
              <w:keepLines w:val="0"/>
              <w:pageBreakBefore w:val="0"/>
              <w:widowControl w:val="0"/>
              <w:numPr>
                <w:ilvl w:val="0"/>
                <w:numId w:val="0"/>
              </w:numPr>
              <w:wordWrap/>
              <w:overflowPunct/>
              <w:topLinePunct w:val="0"/>
              <w:bidi w:val="0"/>
              <w:spacing w:before="0" w:beforeLines="50" w:after="0" w:afterLines="5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④隧道：定期对隧道主体结构、路面、衬砌、拱顶、边墙、沉降缝、排水系统等关键部位开展全覆盖巡查，重点排查渗漏水、衬砌开裂、路面破损、构件松动</w:t>
            </w:r>
            <w:r>
              <w:rPr>
                <w:rFonts w:hint="eastAsia" w:ascii="宋体" w:hAnsi="宋体" w:eastAsia="宋体" w:cs="宋体"/>
                <w:color w:val="auto"/>
                <w:sz w:val="21"/>
                <w:szCs w:val="21"/>
                <w:highlight w:val="none"/>
                <w:lang w:eastAsia="zh-CN"/>
              </w:rPr>
              <w:t>，以及隧道洞口仰坡、边坡及支护、排水设施完好性和稳定性</w:t>
            </w:r>
            <w:r>
              <w:rPr>
                <w:rFonts w:hint="eastAsia" w:ascii="宋体" w:hAnsi="宋体" w:eastAsia="宋体" w:cs="宋体"/>
                <w:color w:val="auto"/>
                <w:sz w:val="21"/>
                <w:szCs w:val="21"/>
                <w:highlight w:val="none"/>
              </w:rPr>
              <w:t>等问题，做好隐患台账记录，做到早发现、早预警、早处置，杜绝小隐患演变成大问题；常态化清扫隧道路面，清理洞内杂物、尘土及垃圾；及时疏通排水沟、集水井，确保排水系统通畅，避免洞内积水结冰；定期清理通风口、消防栓周边杂物，保障各类设施周边无遮挡，维持洞内整洁干爽的通行环境；定期检查隧道照明、通风、消防、监控、标志标线、应急疏散等附属设施，确保灯具明亮、通风正常、消防器材完好、标识清晰醒目，各类应急设施随时可用，全面满足隧道安全通行与应急防护需求。</w:t>
            </w:r>
          </w:p>
          <w:p w14:paraId="58340208">
            <w:pPr>
              <w:keepNext w:val="0"/>
              <w:keepLines w:val="0"/>
              <w:pageBreakBefore w:val="0"/>
              <w:widowControl w:val="0"/>
              <w:numPr>
                <w:ilvl w:val="0"/>
                <w:numId w:val="0"/>
              </w:numPr>
              <w:wordWrap/>
              <w:overflowPunct/>
              <w:topLinePunct w:val="0"/>
              <w:bidi w:val="0"/>
              <w:spacing w:before="0" w:beforeLines="50" w:after="0" w:afterLines="5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涵洞：日常定期开展全覆盖巡查，重点排查洞身、进出口、边坡及基础，紧盯堵塞、渗漏、裂缝、沉降、构件松动等各类隐患，做好台账登记跟踪；及时清理洞内淤泥杂物，疏通进出口排水沟渠，杜绝积水淤积侵蚀结构。通过常态化保养，有效规避涵洞堵塞、结构受损等风险，整体状态稳定达标。</w:t>
            </w:r>
          </w:p>
          <w:p w14:paraId="6F2644F2">
            <w:pPr>
              <w:keepNext w:val="0"/>
              <w:keepLines w:val="0"/>
              <w:pageBreakBefore w:val="0"/>
              <w:widowControl w:val="0"/>
              <w:numPr>
                <w:ilvl w:val="0"/>
                <w:numId w:val="0"/>
              </w:numPr>
              <w:wordWrap/>
              <w:overflowPunct/>
              <w:topLinePunct w:val="0"/>
              <w:bidi w:val="0"/>
              <w:spacing w:before="0" w:beforeLines="50" w:after="0" w:afterLines="5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⑥交通安全设施：各类交通安全设施定期清洗、扶正；每年年底前对交通安全设施刷白或刷漆。</w:t>
            </w:r>
          </w:p>
          <w:p w14:paraId="0BFDB940">
            <w:pPr>
              <w:keepNext w:val="0"/>
              <w:keepLines w:val="0"/>
              <w:pageBreakBefore w:val="0"/>
              <w:widowControl w:val="0"/>
              <w:numPr>
                <w:ilvl w:val="0"/>
                <w:numId w:val="0"/>
              </w:numPr>
              <w:wordWrap/>
              <w:overflowPunct/>
              <w:topLinePunct w:val="0"/>
              <w:bidi w:val="0"/>
              <w:spacing w:before="0" w:beforeLines="50" w:after="0" w:afterLines="5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⑦养护站及候车亭：对沿线养护站、候车亭巡查看护，定期检查，存在问题及时上报；及时清除杂草、杂物，保持设施完好，环境干净整洁。</w:t>
            </w:r>
          </w:p>
          <w:p w14:paraId="3FF53D7E">
            <w:pPr>
              <w:keepNext w:val="0"/>
              <w:keepLines w:val="0"/>
              <w:pageBreakBefore w:val="0"/>
              <w:widowControl w:val="0"/>
              <w:numPr>
                <w:ilvl w:val="0"/>
                <w:numId w:val="0"/>
              </w:numPr>
              <w:wordWrap/>
              <w:overflowPunct/>
              <w:topLinePunct w:val="0"/>
              <w:bidi w:val="0"/>
              <w:spacing w:before="0" w:beforeLines="50" w:after="0" w:afterLines="5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⑧绿化：及时修剪、整形公路绿化植物，使其不侵入公路建筑限界，不遮挡标志、标牌。</w:t>
            </w:r>
          </w:p>
          <w:p w14:paraId="0BF73C4B">
            <w:pPr>
              <w:keepNext w:val="0"/>
              <w:keepLines w:val="0"/>
              <w:pageBreakBefore w:val="0"/>
              <w:widowControl w:val="0"/>
              <w:numPr>
                <w:ilvl w:val="0"/>
                <w:numId w:val="0"/>
              </w:numPr>
              <w:wordWrap/>
              <w:overflowPunct/>
              <w:topLinePunct w:val="0"/>
              <w:bidi w:val="0"/>
              <w:spacing w:before="0" w:beforeLines="50" w:after="0" w:afterLines="5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应急处置：及时对路树倒伏、洒落物、油污路面、零星塌方（单处边坡塌方在5立方米以下）、水淹路面等影响公路安全通行紧急情况进行处置，接到相关信息后应在1个小时内到达现场进行处置，消除安全隐患，确保公路安全畅通。</w:t>
            </w:r>
          </w:p>
          <w:p w14:paraId="4BD762BF">
            <w:pPr>
              <w:keepNext w:val="0"/>
              <w:keepLines w:val="0"/>
              <w:pageBreakBefore w:val="0"/>
              <w:widowControl w:val="0"/>
              <w:numPr>
                <w:ilvl w:val="0"/>
                <w:numId w:val="0"/>
              </w:numPr>
              <w:wordWrap/>
              <w:overflowPunct/>
              <w:topLinePunct w:val="0"/>
              <w:bidi w:val="0"/>
              <w:spacing w:before="0" w:beforeLines="50" w:after="0" w:afterLines="5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公路日常检查：按《公路养护技术标准》、《交通运输部安委会关于加强交通运输安全生产重大危险源节假日提级管控和日常监管工作的通知》规定频率及要求开展日常巡查、经常检查、定期检查（不包括桥涵、隧道）；日常巡查发现存在影响通行的障碍物或异常情况时，应视情况予以清除或报告；危及行车安全的，应采取临时安全保障措施后再进行处理；不能立即处置的，应现场设置警示标志并及时通知相关单位（部门）处理，在应急处置和抢修人员到场前应进行现场监视。</w:t>
            </w:r>
          </w:p>
          <w:p w14:paraId="613F674C">
            <w:pPr>
              <w:keepNext w:val="0"/>
              <w:keepLines w:val="0"/>
              <w:pageBreakBefore w:val="0"/>
              <w:widowControl w:val="0"/>
              <w:numPr>
                <w:ilvl w:val="0"/>
                <w:numId w:val="0"/>
              </w:numPr>
              <w:wordWrap/>
              <w:overflowPunct/>
              <w:topLinePunct w:val="0"/>
              <w:bidi w:val="0"/>
              <w:spacing w:before="0" w:beforeLines="50" w:after="0" w:afterLines="5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⑪公路数智化：利用既有养护智慧养护平台系统，实行在线巡检、设施监测、防灾应急等工作数字化应用，充分运用桂西中心“空天地”一体公路智能巡检系统的技术体系，通过融合卫星遥感、低空无人机集群、车载移动巡检单元以及地面智能巡检车，构建覆盖项目实施范围内普通国省干线公路的全域化、全天候、智能化的立体巡检体系，逐步实现数据信息现场采集、填报，加强基于数字技术的养护评价、预测，提升公路养护管理数字化水平；熟悉和运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路</w:t>
            </w:r>
            <w:r>
              <w:rPr>
                <w:rFonts w:hint="eastAsia" w:ascii="宋体" w:hAnsi="宋体" w:eastAsia="宋体" w:cs="宋体"/>
                <w:color w:val="auto"/>
                <w:sz w:val="21"/>
                <w:szCs w:val="21"/>
                <w:highlight w:val="none"/>
              </w:rPr>
              <w:t>安巡”</w:t>
            </w:r>
            <w:r>
              <w:rPr>
                <w:rFonts w:hint="eastAsia" w:ascii="宋体" w:hAnsi="宋体" w:eastAsia="宋体" w:cs="宋体"/>
                <w:color w:val="auto"/>
                <w:sz w:val="21"/>
                <w:szCs w:val="21"/>
                <w:highlight w:val="none"/>
              </w:rPr>
              <w:t>和广西公路水路安全畅通与应急处置系统TOCC系统，及时反馈预警、巡查和管控信息。</w:t>
            </w:r>
          </w:p>
          <w:p w14:paraId="38A907A2">
            <w:pPr>
              <w:keepNext w:val="0"/>
              <w:keepLines w:val="0"/>
              <w:pageBreakBefore w:val="0"/>
              <w:widowControl w:val="0"/>
              <w:numPr>
                <w:ilvl w:val="0"/>
                <w:numId w:val="0"/>
              </w:numPr>
              <w:wordWrap/>
              <w:overflowPunct/>
              <w:topLinePunct w:val="0"/>
              <w:bidi w:val="0"/>
              <w:spacing w:before="0" w:beforeLines="50" w:after="0" w:afterLines="50"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（2）日常维修具体工作范围为：</w:t>
            </w:r>
          </w:p>
          <w:p w14:paraId="13FAA6F2">
            <w:pPr>
              <w:keepNext w:val="0"/>
              <w:keepLines w:val="0"/>
              <w:pageBreakBefore w:val="0"/>
              <w:widowControl w:val="0"/>
              <w:numPr>
                <w:ilvl w:val="0"/>
                <w:numId w:val="0"/>
              </w:numPr>
              <w:wordWrap/>
              <w:overflowPunct/>
              <w:topLinePunct w:val="0"/>
              <w:bidi w:val="0"/>
              <w:spacing w:before="0" w:beforeLines="50" w:after="0" w:afterLines="5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路基：修整路肩坡度，处理路肩的轻微病害；清理边坡零星塌方（单处塌方在5立方米以上），清除松动石块，修补坡面冲沟，修理砌石护坡、防护网、绿植等坡面防护工程的局部损坏；修理既有防护及支挡结构物的表观破损和轻微的局部损坏；整修绿化平台、碎落台；局部开挖边沟、截水沟等，铺砌、修复排水设施等。</w:t>
            </w:r>
          </w:p>
          <w:p w14:paraId="74097791">
            <w:pPr>
              <w:keepNext w:val="0"/>
              <w:keepLines w:val="0"/>
              <w:pageBreakBefore w:val="0"/>
              <w:widowControl w:val="0"/>
              <w:numPr>
                <w:ilvl w:val="0"/>
                <w:numId w:val="0"/>
              </w:numPr>
              <w:wordWrap/>
              <w:overflowPunct/>
              <w:topLinePunct w:val="0"/>
              <w:bidi w:val="0"/>
              <w:spacing w:before="0" w:beforeLines="50" w:after="0" w:afterLines="5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路面：处治沥青路面出现的裂缝、坑槽、车辙、沉陷、波浪拥包、松散、泛油等病害；水泥混凝土路面日常清缝、灌缝，处治水泥混凝土路面出现的裂缝、坑洞、板角断裂、错台、拱起、边角脱落、填缝料损坏、唧泥、局部破碎板等病害；桥头、涵顶跳车处治。</w:t>
            </w:r>
          </w:p>
          <w:p w14:paraId="0E346AA7">
            <w:pPr>
              <w:keepNext w:val="0"/>
              <w:keepLines w:val="0"/>
              <w:pageBreakBefore w:val="0"/>
              <w:widowControl w:val="0"/>
              <w:numPr>
                <w:ilvl w:val="0"/>
                <w:numId w:val="0"/>
              </w:numPr>
              <w:wordWrap/>
              <w:overflowPunct/>
              <w:topLinePunct w:val="0"/>
              <w:bidi w:val="0"/>
              <w:spacing w:before="0" w:beforeLines="50" w:after="0" w:afterLines="5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桥梁：桥面铺装局部坑槽、松散、裂缝、麻面、起皮修补，伸缩缝清理杂物、更换密封条、紧固螺栓、局部找平，桥头搭板局部沉陷、裂缝修补、封缝，泄水管疏通、更换、修补、重新固定，栏杆、防撞墙局部破损、露筋、裂缝修补、刷漆，标线、护栏、防抛网的补划、补装、紧固、清洁；梁板表面风化、起皮、蜂窝、麻面、露筋除锈修补，裂缝≤0.2mm封闭、＞0.2mm低压灌缝，支座清洁、除锈、涂油、调整、更换简易支座垫石，铰缝、湿接缝局部脱落、渗水修补；墩台和盖梁混凝土破损、剥落、露筋修补，墩台裂缝封闭、灌缝，台背、锥坡、护坡局部冲坑、塌陷、砌体勾缝修补，基础周边清淤、护砌、防冲刷加固（局部）；检查梯、踏步、栏杆、检修通道、标志、标牌、照明、防雷接地等局部修复，抗震挡块、限位装置局部调整修复。</w:t>
            </w:r>
          </w:p>
          <w:p w14:paraId="4E880FA7">
            <w:pPr>
              <w:keepNext w:val="0"/>
              <w:keepLines w:val="0"/>
              <w:pageBreakBefore w:val="0"/>
              <w:widowControl w:val="0"/>
              <w:numPr>
                <w:ilvl w:val="0"/>
                <w:numId w:val="0"/>
              </w:numPr>
              <w:wordWrap/>
              <w:overflowPunct/>
              <w:topLinePunct w:val="0"/>
              <w:bidi w:val="0"/>
              <w:spacing w:before="0" w:beforeLines="50" w:after="0" w:afterLines="5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隧道：洞门墙、翼墙局部掉块、麻面、裂缝封闭、勾缝、修补，边坡局部浮石清理、小范围护坡修补、勾缝，洞口截水沟、天沟清淤、修补、抹面、疏通，洞口标牌、诱导标清洁、紧固、补装、补漆；拱部和边墙局部起皮、麻面、掉块、露筋修补，裂缝≤0.2mm封闭、＞0.2mm低压灌缝，渗漏水点漏或线漏封堵、引排、注浆（小范围），泛碱清理、防渗处理；洞内沥青或水泥路面局部坑槽、裂缝、沉陷、拥包修补，路缘石、检修道破损更换、找平、修补，盖板修复、紧固、补齐；内侧沟清淤、疏通、修补；反光环清洁、补装、修补；</w:t>
            </w:r>
          </w:p>
          <w:p w14:paraId="718E07AD">
            <w:pPr>
              <w:keepNext w:val="0"/>
              <w:keepLines w:val="0"/>
              <w:pageBreakBefore w:val="0"/>
              <w:widowControl w:val="0"/>
              <w:numPr>
                <w:ilvl w:val="0"/>
                <w:numId w:val="0"/>
              </w:numPr>
              <w:wordWrap/>
              <w:overflowPunct/>
              <w:topLinePunct w:val="0"/>
              <w:bidi w:val="0"/>
              <w:spacing w:before="0" w:beforeLines="50" w:after="0" w:afterLines="5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涵洞：洞口、八字墙、翼墙局部裂缝封闭、麻面、掉块、勾缝修补，护坡、锥坡局部塌陷、冲坑、砌体修补、勾缝，洞口清洁杂草、杂物、淤泥清理，引水沟、跌水局部抹面、修补、找平；混凝土、石砌洞身表面风化、起皮、露筋、剥落修补，裂缝≤0.2mm封闭、＞0.2mm低压灌缝，渗漏、滴水点漏封堵、局部注浆、止水修复，涵底铺砌破损、沉陷、冲刷修补、找平，管涵接头渗漏密封、管口破损修补；沉降缝、伸缩缝清杂、重新嵌缝、密封胶修补，止水带局部更换、堵漏，防止泥沙进入、防渗漏处理；基础周边局部淘空、冲沟回填、护砌、防冲加固，涵底、洞口铺砌小块修复，局部勾缝、抹面、找平；涵内、进出口、沉沙井、排水沟清淤疏通，泄水孔疏通、修补，排水不畅局部改造、顺坡处理；栏杆、踏步、检查梯修补、紧固、刷漆，标志、标牌清洁、补装、补漆，涵顶回填、路肩局部整平、夯实。</w:t>
            </w:r>
          </w:p>
          <w:p w14:paraId="068AA977">
            <w:pPr>
              <w:keepNext w:val="0"/>
              <w:keepLines w:val="0"/>
              <w:pageBreakBefore w:val="0"/>
              <w:widowControl w:val="0"/>
              <w:numPr>
                <w:ilvl w:val="0"/>
                <w:numId w:val="0"/>
              </w:numPr>
              <w:wordWrap/>
              <w:overflowPunct/>
              <w:topLinePunct w:val="0"/>
              <w:bidi w:val="0"/>
              <w:spacing w:before="0" w:beforeLines="50" w:after="0" w:afterLines="5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⑥交通安全设施：：各类交通安全设施埋置、修理、部分添置、更换、修复，路面标线的局部补画。</w:t>
            </w:r>
          </w:p>
          <w:p w14:paraId="1A38BE4E">
            <w:pPr>
              <w:keepNext w:val="0"/>
              <w:keepLines w:val="0"/>
              <w:pageBreakBefore w:val="0"/>
              <w:widowControl w:val="0"/>
              <w:numPr>
                <w:ilvl w:val="0"/>
                <w:numId w:val="0"/>
              </w:numPr>
              <w:wordWrap/>
              <w:overflowPunct/>
              <w:topLinePunct w:val="0"/>
              <w:bidi w:val="0"/>
              <w:spacing w:before="0" w:beforeLines="50" w:after="0" w:afterLines="50" w:line="360" w:lineRule="auto"/>
              <w:jc w:val="both"/>
              <w:rPr>
                <w:rFonts w:hint="default"/>
                <w:color w:val="auto"/>
                <w:highlight w:val="none"/>
                <w:lang w:val="en-US"/>
              </w:rPr>
            </w:pPr>
            <w:r>
              <w:rPr>
                <w:rFonts w:hint="eastAsia" w:ascii="宋体" w:hAnsi="宋体" w:eastAsia="宋体" w:cs="宋体"/>
                <w:color w:val="auto"/>
                <w:sz w:val="21"/>
                <w:szCs w:val="21"/>
                <w:highlight w:val="none"/>
              </w:rPr>
              <w:t>⑦绿化：砍伐畸形的路树、枯树、死树及弯道内侧遮挡视线的植物；定期实施病虫害防治，防止公路绿化植物枯、病死；每年年末，在乔木树干上从地面到1.2米高度范围内刷白。</w:t>
            </w:r>
          </w:p>
          <w:p w14:paraId="4CBD6E85">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hAnsi="宋体" w:eastAsia="宋体" w:cs="宋体"/>
                <w:b/>
                <w:bCs/>
                <w:color w:val="auto"/>
                <w:kern w:val="0"/>
                <w:sz w:val="21"/>
                <w:szCs w:val="21"/>
                <w:highlight w:val="none"/>
                <w:lang w:val="en-US" w:eastAsia="zh-CN" w:bidi="ar-SA"/>
              </w:rPr>
              <w:t>七</w:t>
            </w:r>
            <w:r>
              <w:rPr>
                <w:rFonts w:hint="eastAsia" w:ascii="宋体" w:hAnsi="宋体" w:eastAsia="宋体" w:cs="宋体"/>
                <w:b/>
                <w:bCs/>
                <w:color w:val="auto"/>
                <w:kern w:val="0"/>
                <w:sz w:val="21"/>
                <w:szCs w:val="21"/>
                <w:highlight w:val="none"/>
                <w:lang w:val="en-US" w:eastAsia="zh-CN" w:bidi="ar-SA"/>
              </w:rPr>
              <w:t>、</w:t>
            </w:r>
            <w:r>
              <w:rPr>
                <w:rFonts w:hint="eastAsia" w:ascii="宋体" w:hAnsi="宋体" w:eastAsia="宋体" w:cs="宋体"/>
                <w:b/>
                <w:bCs/>
                <w:color w:val="auto"/>
                <w:sz w:val="21"/>
                <w:szCs w:val="21"/>
                <w:highlight w:val="none"/>
                <w:lang w:eastAsia="zh-CN"/>
              </w:rPr>
              <w:t>质量</w:t>
            </w:r>
            <w:r>
              <w:rPr>
                <w:rFonts w:hint="eastAsia" w:ascii="宋体" w:hAnsi="宋体" w:eastAsia="宋体" w:cs="宋体"/>
                <w:b/>
                <w:bCs/>
                <w:color w:val="auto"/>
                <w:sz w:val="21"/>
                <w:szCs w:val="21"/>
                <w:highlight w:val="none"/>
              </w:rPr>
              <w:t>要求：</w:t>
            </w:r>
          </w:p>
          <w:p w14:paraId="4FBF3000">
            <w:pPr>
              <w:pStyle w:val="10"/>
              <w:keepNext w:val="0"/>
              <w:keepLines w:val="0"/>
              <w:pageBreakBefore w:val="0"/>
              <w:numPr>
                <w:ilvl w:val="0"/>
                <w:numId w:val="0"/>
              </w:numPr>
              <w:wordWrap/>
              <w:overflowPunct/>
              <w:topLinePunct w:val="0"/>
              <w:bidi w:val="0"/>
              <w:spacing w:before="0" w:beforeLines="50" w:after="0"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养护质量符合《公路养护技术标准》（JTG5110—2023）、《公路路基养护技术规范》（JTG5150-2020)《公路水泥混凝土路面养护技术规范》（JTJ073.1-2001）《公路沥青路面养护技术规范》（JTG5142-2019）、《公路桥涵养护规范》（JTG5120-2021)、《公路交通安全设施施工技术规范》（JTG/T3671-2021)《公路养护工程质量检验评定标准》（JTG5220-2020）等规范标准及上级相关考核办法、《桂西公路发展中心公路日常养护市场化绩效考评指标年度、月度评分表》等其他相关管理办法要求；养护安全目标：</w:t>
            </w:r>
            <w:r>
              <w:rPr>
                <w:rFonts w:hint="eastAsia" w:ascii="宋体" w:hAnsi="宋体" w:eastAsia="宋体" w:cs="宋体"/>
                <w:color w:val="auto"/>
                <w:sz w:val="21"/>
                <w:szCs w:val="21"/>
                <w:highlight w:val="none"/>
              </w:rPr>
              <w:t>无生产安全责任事故</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养护环保目标：有序地堆放和处理施工废弃物， 避免对环境造成破坏；按国家饮用水管理标准定期对饮用水源进行监测，防止养护作业活动污染饮用水源；加强对噪声、粉尘、废气、废水和废油的控制， 努力降低噪声，控制粉尘和废气浓度，做好废水和废油的治理和排放；随时保持现场整洁，养护作业设备和材料、工程设备应整齐妥善存放和储存，废料与垃圾及不再需要的临时设施应及时从现场清除、拆除并运走；在养护作业场地设置完善的排水措施，养护作业形成的坡面应及时修整并采取防止水土流失的工程措施，在养护作业过程中尽可能减少对生态的破坏。</w:t>
            </w:r>
          </w:p>
          <w:p w14:paraId="45087BAC">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50" w:line="360" w:lineRule="auto"/>
              <w:ind w:left="0" w:leftChars="0" w:firstLine="0" w:firstLineChars="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2"/>
                <w:sz w:val="21"/>
                <w:szCs w:val="21"/>
                <w:highlight w:val="none"/>
                <w:lang w:val="en-US" w:eastAsia="zh-CN" w:bidi="ar-SA"/>
              </w:rPr>
              <w:t>八、</w:t>
            </w:r>
            <w:r>
              <w:rPr>
                <w:rFonts w:hint="eastAsia" w:ascii="宋体" w:hAnsi="宋体" w:eastAsia="宋体" w:cs="宋体"/>
                <w:b/>
                <w:bCs/>
                <w:color w:val="auto"/>
                <w:sz w:val="21"/>
                <w:szCs w:val="21"/>
                <w:highlight w:val="none"/>
                <w:lang w:eastAsia="zh-CN"/>
              </w:rPr>
              <w:t>拟投入</w:t>
            </w:r>
            <w:r>
              <w:rPr>
                <w:rFonts w:hint="eastAsia" w:ascii="宋体" w:hAnsi="宋体" w:eastAsia="宋体" w:cs="宋体"/>
                <w:b/>
                <w:bCs/>
                <w:color w:val="auto"/>
                <w:highlight w:val="none"/>
              </w:rPr>
              <w:t>主要管理人员和技术人员</w:t>
            </w:r>
            <w:r>
              <w:rPr>
                <w:rFonts w:hint="eastAsia" w:ascii="宋体" w:hAnsi="宋体" w:eastAsia="宋体" w:cs="宋体"/>
                <w:b/>
                <w:bCs/>
                <w:color w:val="auto"/>
                <w:highlight w:val="none"/>
                <w:lang w:val="en-US" w:eastAsia="zh-CN"/>
              </w:rPr>
              <w:t>最低</w:t>
            </w:r>
            <w:r>
              <w:rPr>
                <w:rFonts w:hint="eastAsia" w:ascii="宋体" w:hAnsi="宋体" w:eastAsia="宋体" w:cs="宋体"/>
                <w:b/>
                <w:bCs/>
                <w:color w:val="auto"/>
                <w:sz w:val="21"/>
                <w:szCs w:val="21"/>
                <w:highlight w:val="none"/>
                <w:lang w:eastAsia="zh-CN"/>
              </w:rPr>
              <w:t>要求：</w:t>
            </w:r>
          </w:p>
          <w:p w14:paraId="7E863EBB">
            <w:pPr>
              <w:keepNext w:val="0"/>
              <w:keepLines w:val="0"/>
              <w:pageBreakBefore w:val="0"/>
              <w:widowControl w:val="0"/>
              <w:numPr>
                <w:ilvl w:val="0"/>
                <w:numId w:val="2"/>
              </w:numPr>
              <w:kinsoku/>
              <w:wordWrap/>
              <w:overflowPunct/>
              <w:topLinePunct w:val="0"/>
              <w:autoSpaceDE/>
              <w:autoSpaceDN/>
              <w:bidi w:val="0"/>
              <w:adjustRightInd/>
              <w:snapToGrid/>
              <w:spacing w:before="0" w:beforeLines="50" w:after="0" w:afterLines="50" w:line="360" w:lineRule="auto"/>
              <w:ind w:left="0" w:leftChars="0" w:firstLine="0" w:firstLineChars="0"/>
              <w:textAlignment w:val="auto"/>
              <w:rPr>
                <w:rFonts w:hint="eastAsia" w:cs="宋体"/>
                <w:b w:val="0"/>
                <w:bCs w:val="0"/>
                <w:color w:val="auto"/>
                <w:szCs w:val="21"/>
                <w:highlight w:val="none"/>
                <w:lang w:eastAsia="zh-CN"/>
              </w:rPr>
            </w:pPr>
            <w:r>
              <w:rPr>
                <w:rFonts w:hint="eastAsia" w:ascii="宋体" w:hAnsi="宋体" w:eastAsia="宋体" w:cs="宋体"/>
                <w:b w:val="0"/>
                <w:bCs w:val="0"/>
                <w:color w:val="auto"/>
                <w:sz w:val="21"/>
                <w:szCs w:val="21"/>
                <w:highlight w:val="none"/>
                <w:vertAlign w:val="baseline"/>
                <w:lang w:val="en-US" w:eastAsia="zh-CN"/>
              </w:rPr>
              <w:t>项目负责人：1名，具备有效的</w:t>
            </w:r>
            <w:r>
              <w:rPr>
                <w:rFonts w:hint="eastAsia" w:ascii="宋体" w:hAnsi="宋体" w:eastAsia="宋体" w:cs="宋体"/>
                <w:b w:val="0"/>
                <w:bCs w:val="0"/>
                <w:color w:val="auto"/>
                <w:sz w:val="21"/>
                <w:szCs w:val="21"/>
                <w:highlight w:val="none"/>
                <w:vertAlign w:val="baseline"/>
                <w:lang w:eastAsia="zh-CN"/>
              </w:rPr>
              <w:t>路桥类</w:t>
            </w:r>
            <w:r>
              <w:rPr>
                <w:rFonts w:hint="eastAsia" w:ascii="宋体" w:hAnsi="宋体" w:eastAsia="宋体" w:cs="宋体"/>
                <w:b w:val="0"/>
                <w:bCs w:val="0"/>
                <w:color w:val="auto"/>
                <w:sz w:val="21"/>
                <w:szCs w:val="21"/>
                <w:highlight w:val="none"/>
                <w:vertAlign w:val="baseline"/>
                <w:lang w:val="en-US" w:eastAsia="zh-CN"/>
              </w:rPr>
              <w:t>工程师或以上</w:t>
            </w:r>
            <w:r>
              <w:rPr>
                <w:rFonts w:hint="eastAsia" w:ascii="宋体" w:hAnsi="宋体" w:eastAsia="宋体" w:cs="宋体"/>
                <w:b w:val="0"/>
                <w:bCs w:val="0"/>
                <w:color w:val="auto"/>
                <w:sz w:val="21"/>
                <w:szCs w:val="21"/>
                <w:highlight w:val="none"/>
                <w:vertAlign w:val="baseline"/>
                <w:lang w:eastAsia="zh-CN"/>
              </w:rPr>
              <w:t>职称。</w:t>
            </w:r>
            <w:r>
              <w:rPr>
                <w:rFonts w:hint="eastAsia" w:ascii="宋体" w:hAnsi="宋体" w:eastAsia="宋体" w:cs="宋体"/>
                <w:b w:val="0"/>
                <w:bCs w:val="0"/>
                <w:color w:val="auto"/>
                <w:sz w:val="21"/>
                <w:szCs w:val="21"/>
                <w:highlight w:val="none"/>
                <w:vertAlign w:val="baseline"/>
                <w:lang w:eastAsia="zh-CN"/>
              </w:rPr>
              <w:t>无在岗要求：</w:t>
            </w:r>
            <w:r>
              <w:rPr>
                <w:rFonts w:hint="eastAsia" w:cs="宋体"/>
                <w:b w:val="0"/>
                <w:bCs w:val="0"/>
                <w:color w:val="auto"/>
                <w:szCs w:val="21"/>
                <w:highlight w:val="none"/>
                <w:lang w:eastAsia="zh-CN"/>
              </w:rPr>
              <w:t>无在岗项目【指目前未在其他项目上任职，或目前虽在其他项目上任职但本项目中标后能够从任职的项目上随时撤离。】，提供无在岗项目承诺书（</w:t>
            </w:r>
            <w:r>
              <w:rPr>
                <w:rFonts w:hint="eastAsia" w:cs="宋体"/>
                <w:b w:val="0"/>
                <w:bCs w:val="0"/>
                <w:color w:val="auto"/>
                <w:szCs w:val="21"/>
                <w:highlight w:val="none"/>
                <w:lang w:val="en-US" w:eastAsia="zh-CN"/>
              </w:rPr>
              <w:t>格式见第六章投标文件格式）</w:t>
            </w:r>
            <w:r>
              <w:rPr>
                <w:rFonts w:hint="eastAsia" w:cs="宋体"/>
                <w:b w:val="0"/>
                <w:bCs w:val="0"/>
                <w:color w:val="auto"/>
                <w:szCs w:val="21"/>
                <w:highlight w:val="none"/>
                <w:lang w:eastAsia="zh-CN"/>
              </w:rPr>
              <w:t>。</w:t>
            </w:r>
          </w:p>
          <w:p w14:paraId="23170600">
            <w:pPr>
              <w:keepNext w:val="0"/>
              <w:keepLines w:val="0"/>
              <w:pageBreakBefore w:val="0"/>
              <w:widowControl w:val="0"/>
              <w:numPr>
                <w:ilvl w:val="0"/>
                <w:numId w:val="2"/>
              </w:numPr>
              <w:kinsoku/>
              <w:wordWrap/>
              <w:overflowPunct/>
              <w:topLinePunct w:val="0"/>
              <w:autoSpaceDE/>
              <w:autoSpaceDN/>
              <w:bidi w:val="0"/>
              <w:adjustRightInd/>
              <w:snapToGrid/>
              <w:spacing w:before="0" w:beforeLines="50" w:after="0" w:afterLines="50" w:line="360" w:lineRule="auto"/>
              <w:ind w:left="0" w:leftChars="0" w:firstLine="0" w:firstLineChars="0"/>
              <w:textAlignment w:val="auto"/>
              <w:rPr>
                <w:rFonts w:hint="default" w:cs="宋体"/>
                <w:b w:val="0"/>
                <w:bCs w:val="0"/>
                <w:color w:val="auto"/>
                <w:szCs w:val="21"/>
                <w:highlight w:val="none"/>
                <w:lang w:val="en-US" w:eastAsia="zh-CN"/>
              </w:rPr>
            </w:pPr>
            <w:r>
              <w:rPr>
                <w:rFonts w:hint="eastAsia" w:cs="宋体"/>
                <w:b w:val="0"/>
                <w:bCs w:val="0"/>
                <w:color w:val="auto"/>
                <w:szCs w:val="21"/>
                <w:highlight w:val="none"/>
                <w:lang w:val="en-US" w:eastAsia="zh-CN"/>
              </w:rPr>
              <w:t>技术负责人：1名，</w:t>
            </w:r>
            <w:r>
              <w:rPr>
                <w:rFonts w:hint="eastAsia" w:ascii="宋体" w:hAnsi="宋体" w:eastAsia="宋体" w:cs="宋体"/>
                <w:b w:val="0"/>
                <w:bCs w:val="0"/>
                <w:color w:val="auto"/>
                <w:sz w:val="21"/>
                <w:szCs w:val="21"/>
                <w:highlight w:val="none"/>
                <w:vertAlign w:val="baseline"/>
                <w:lang w:val="en-US" w:eastAsia="zh-CN"/>
              </w:rPr>
              <w:t>具备有效的路桥类工程师或以上职称。</w:t>
            </w:r>
          </w:p>
          <w:p w14:paraId="60CC35E5">
            <w:pPr>
              <w:keepNext w:val="0"/>
              <w:keepLines w:val="0"/>
              <w:pageBreakBefore w:val="0"/>
              <w:widowControl w:val="0"/>
              <w:numPr>
                <w:ilvl w:val="0"/>
                <w:numId w:val="2"/>
              </w:numPr>
              <w:kinsoku/>
              <w:wordWrap/>
              <w:overflowPunct/>
              <w:topLinePunct w:val="0"/>
              <w:autoSpaceDE/>
              <w:autoSpaceDN/>
              <w:bidi w:val="0"/>
              <w:adjustRightInd/>
              <w:snapToGrid/>
              <w:spacing w:before="0" w:beforeLines="50" w:after="0" w:afterLines="50" w:line="360" w:lineRule="auto"/>
              <w:ind w:left="0" w:leftChars="0" w:firstLine="0" w:firstLineChars="0"/>
              <w:textAlignment w:val="auto"/>
              <w:rPr>
                <w:rFonts w:hint="default" w:cs="宋体"/>
                <w:b w:val="0"/>
                <w:bCs w:val="0"/>
                <w:color w:val="auto"/>
                <w:szCs w:val="21"/>
                <w:highlight w:val="none"/>
                <w:lang w:val="en-US" w:eastAsia="zh-CN"/>
              </w:rPr>
            </w:pPr>
            <w:r>
              <w:rPr>
                <w:rFonts w:hint="eastAsia" w:ascii="宋体" w:hAnsi="宋体" w:eastAsia="宋体" w:cs="宋体"/>
                <w:b w:val="0"/>
                <w:bCs w:val="0"/>
                <w:color w:val="auto"/>
                <w:sz w:val="21"/>
                <w:szCs w:val="21"/>
                <w:highlight w:val="none"/>
                <w:vertAlign w:val="baseline"/>
                <w:lang w:val="en-US" w:eastAsia="zh-CN"/>
              </w:rPr>
              <w:t>路桥养护工程师：至少2名，具备有效的路桥类工程师或以上职称。</w:t>
            </w:r>
          </w:p>
          <w:p w14:paraId="0C81FFCF">
            <w:pPr>
              <w:keepNext w:val="0"/>
              <w:keepLines w:val="0"/>
              <w:pageBreakBefore w:val="0"/>
              <w:widowControl w:val="0"/>
              <w:numPr>
                <w:ilvl w:val="0"/>
                <w:numId w:val="2"/>
              </w:numPr>
              <w:kinsoku/>
              <w:wordWrap/>
              <w:overflowPunct/>
              <w:topLinePunct w:val="0"/>
              <w:autoSpaceDE/>
              <w:autoSpaceDN/>
              <w:bidi w:val="0"/>
              <w:adjustRightInd/>
              <w:snapToGrid/>
              <w:spacing w:before="0" w:beforeLines="50" w:after="0" w:afterLines="50" w:line="360" w:lineRule="auto"/>
              <w:ind w:left="0" w:leftChars="0" w:firstLine="0" w:firstLineChars="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color w:val="auto"/>
                <w:kern w:val="2"/>
                <w:sz w:val="21"/>
                <w:szCs w:val="21"/>
                <w:highlight w:val="none"/>
                <w:lang w:val="en-US" w:eastAsia="zh-CN" w:bidi="ar-SA"/>
              </w:rPr>
              <w:t>专</w:t>
            </w:r>
            <w:r>
              <w:rPr>
                <w:rFonts w:hint="eastAsia" w:ascii="宋体" w:hAnsi="宋体" w:eastAsia="宋体" w:cs="宋体"/>
                <w:color w:val="auto"/>
                <w:kern w:val="2"/>
                <w:sz w:val="21"/>
                <w:szCs w:val="21"/>
                <w:highlight w:val="none"/>
                <w:lang w:val="en-US" w:eastAsia="zh-CN" w:bidi="ar-SA"/>
              </w:rPr>
              <w:t>职安全员：至少2名，</w:t>
            </w:r>
            <w:r>
              <w:rPr>
                <w:rFonts w:hint="eastAsia" w:ascii="宋体" w:hAnsi="宋体" w:eastAsia="宋体" w:cs="宋体"/>
                <w:b w:val="0"/>
                <w:bCs w:val="0"/>
                <w:color w:val="auto"/>
                <w:sz w:val="21"/>
                <w:szCs w:val="21"/>
                <w:highlight w:val="none"/>
                <w:vertAlign w:val="baseline"/>
                <w:lang w:eastAsia="zh-CN"/>
              </w:rPr>
              <w:t>具有交通主管部门颁发的有效安全生产“三类人员”C类证书。</w:t>
            </w:r>
          </w:p>
          <w:p w14:paraId="0FBA8FF1">
            <w:pPr>
              <w:keepNext w:val="0"/>
              <w:keepLines w:val="0"/>
              <w:pageBreakBefore w:val="0"/>
              <w:widowControl w:val="0"/>
              <w:numPr>
                <w:ilvl w:val="0"/>
                <w:numId w:val="2"/>
              </w:numPr>
              <w:kinsoku/>
              <w:wordWrap/>
              <w:overflowPunct/>
              <w:topLinePunct w:val="0"/>
              <w:autoSpaceDE/>
              <w:autoSpaceDN/>
              <w:bidi w:val="0"/>
              <w:adjustRightInd/>
              <w:snapToGrid/>
              <w:spacing w:before="0" w:beforeLines="50" w:after="0" w:afterLines="50" w:line="360" w:lineRule="auto"/>
              <w:ind w:left="0" w:leftChars="0" w:firstLine="0" w:firstLineChars="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其他人员要求：每分段项目至少设置2个养护驻点，每10公里配置至少1名养护工人。（投标人须提供投标文件中提供承诺书，格式自拟）</w:t>
            </w:r>
          </w:p>
          <w:p w14:paraId="5E0AE1BF">
            <w:pPr>
              <w:keepNext w:val="0"/>
              <w:keepLines w:val="0"/>
              <w:pageBreakBefore w:val="0"/>
              <w:numPr>
                <w:ilvl w:val="0"/>
                <w:numId w:val="0"/>
              </w:numPr>
              <w:wordWrap/>
              <w:overflowPunct/>
              <w:topLinePunct w:val="0"/>
              <w:bidi w:val="0"/>
              <w:spacing w:before="0" w:beforeLines="50" w:after="0" w:afterLines="50" w:line="360" w:lineRule="auto"/>
              <w:ind w:left="0" w:leftChars="0" w:firstLine="0" w:firstLineChars="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注：1.以上除第（五）条人员外，其余（一）至（四）条人员必须为本单位在岗人员，并提供本单位2025年10月至2026年3月任意连续三个月缴纳的有效社保相关证明材料复印件。【依法不需要缴纳社会保障资金的人员，必须提供相应文件证明不需要缴纳社会保障资金。从入职之日起到投标文件提交截止时间止不足要求月数的只需提供从入职之日起的依法缴纳社会保障资金的相应证明材料】</w:t>
            </w:r>
          </w:p>
          <w:p w14:paraId="5C6FE9B6">
            <w:pPr>
              <w:keepNext w:val="0"/>
              <w:keepLines w:val="0"/>
              <w:pageBreakBefore w:val="0"/>
              <w:numPr>
                <w:ilvl w:val="0"/>
                <w:numId w:val="0"/>
              </w:numPr>
              <w:wordWrap/>
              <w:overflowPunct/>
              <w:topLinePunct w:val="0"/>
              <w:bidi w:val="0"/>
              <w:spacing w:before="0" w:beforeLines="50" w:after="0" w:afterLines="50" w:line="360" w:lineRule="auto"/>
              <w:ind w:left="0" w:leftChars="0" w:firstLine="422" w:firstLineChars="20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2.投标人一旦中标，应按以上要求投入服务于本项目的主要管理人员和技术人员。</w:t>
            </w:r>
          </w:p>
          <w:p w14:paraId="27B28E1A">
            <w:pPr>
              <w:keepNext w:val="0"/>
              <w:keepLines w:val="0"/>
              <w:pageBreakBefore w:val="0"/>
              <w:numPr>
                <w:ilvl w:val="0"/>
                <w:numId w:val="0"/>
              </w:numPr>
              <w:wordWrap/>
              <w:overflowPunct/>
              <w:topLinePunct w:val="0"/>
              <w:bidi w:val="0"/>
              <w:spacing w:before="0" w:beforeLines="50" w:after="0" w:afterLines="50" w:line="360" w:lineRule="auto"/>
              <w:ind w:left="0" w:leftChars="0" w:firstLine="422" w:firstLineChars="200"/>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w:t>
            </w:r>
            <w:r>
              <w:rPr>
                <w:rFonts w:hint="eastAsia" w:cs="宋体"/>
                <w:b/>
                <w:bCs/>
                <w:color w:val="auto"/>
                <w:szCs w:val="21"/>
                <w:highlight w:val="none"/>
              </w:rPr>
              <w:t>路桥类”专业是指职称证上的专业，为路桥、公路工程、道路工程、桥梁工程、交通土建、交通工程、隧道工程等专业均可</w:t>
            </w:r>
            <w:r>
              <w:rPr>
                <w:rFonts w:hint="eastAsia"/>
                <w:b/>
                <w:bCs/>
                <w:color w:val="auto"/>
                <w:highlight w:val="none"/>
              </w:rPr>
              <w:t>。</w:t>
            </w:r>
          </w:p>
          <w:p w14:paraId="5B089847">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2"/>
                <w:sz w:val="21"/>
                <w:szCs w:val="21"/>
                <w:highlight w:val="none"/>
                <w:lang w:val="en-US" w:eastAsia="zh-CN" w:bidi="ar-SA"/>
              </w:rPr>
              <w:t>九、</w:t>
            </w:r>
            <w:r>
              <w:rPr>
                <w:rFonts w:hint="eastAsia" w:ascii="宋体" w:hAnsi="宋体" w:eastAsia="宋体" w:cs="宋体"/>
                <w:b/>
                <w:bCs/>
                <w:color w:val="auto"/>
                <w:sz w:val="21"/>
                <w:szCs w:val="21"/>
                <w:highlight w:val="none"/>
                <w:lang w:eastAsia="zh-CN"/>
              </w:rPr>
              <w:t>拟投入</w:t>
            </w:r>
            <w:r>
              <w:rPr>
                <w:rFonts w:hint="eastAsia" w:ascii="宋体" w:hAnsi="宋体" w:eastAsia="宋体" w:cs="宋体"/>
                <w:b/>
                <w:bCs/>
                <w:color w:val="auto"/>
                <w:sz w:val="21"/>
                <w:szCs w:val="21"/>
                <w:highlight w:val="none"/>
                <w:lang w:val="en-US" w:eastAsia="zh-CN"/>
              </w:rPr>
              <w:t>主要机械设备和试验检测设备最低</w:t>
            </w:r>
            <w:r>
              <w:rPr>
                <w:rFonts w:hint="eastAsia" w:ascii="宋体" w:hAnsi="宋体" w:eastAsia="宋体" w:cs="宋体"/>
                <w:b/>
                <w:bCs/>
                <w:color w:val="auto"/>
                <w:sz w:val="21"/>
                <w:szCs w:val="21"/>
                <w:highlight w:val="none"/>
                <w:lang w:eastAsia="zh-CN"/>
              </w:rPr>
              <w:t>要求：</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979"/>
              <w:gridCol w:w="3701"/>
              <w:gridCol w:w="427"/>
              <w:gridCol w:w="427"/>
              <w:gridCol w:w="545"/>
            </w:tblGrid>
            <w:tr w14:paraId="75C8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6209A781">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b/>
                      <w:bCs/>
                      <w:snapToGrid w:val="0"/>
                      <w:color w:val="auto"/>
                      <w:kern w:val="0"/>
                      <w:szCs w:val="21"/>
                      <w:highlight w:val="none"/>
                    </w:rPr>
                    <w:t>序号</w:t>
                  </w:r>
                </w:p>
              </w:tc>
              <w:tc>
                <w:tcPr>
                  <w:tcW w:w="789" w:type="pct"/>
                  <w:vAlign w:val="center"/>
                </w:tcPr>
                <w:p w14:paraId="1F6F5706">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b/>
                      <w:bCs/>
                      <w:snapToGrid w:val="0"/>
                      <w:color w:val="auto"/>
                      <w:kern w:val="0"/>
                      <w:szCs w:val="21"/>
                      <w:highlight w:val="none"/>
                    </w:rPr>
                    <w:t>机械设备名称</w:t>
                  </w:r>
                </w:p>
              </w:tc>
              <w:tc>
                <w:tcPr>
                  <w:tcW w:w="2879" w:type="pct"/>
                  <w:vAlign w:val="center"/>
                </w:tcPr>
                <w:p w14:paraId="0EF7A81F">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b/>
                      <w:bCs/>
                      <w:color w:val="auto"/>
                      <w:kern w:val="0"/>
                      <w:szCs w:val="21"/>
                      <w:highlight w:val="none"/>
                    </w:rPr>
                    <w:t>规格、功率及容量</w:t>
                  </w:r>
                </w:p>
              </w:tc>
              <w:tc>
                <w:tcPr>
                  <w:tcW w:w="303" w:type="pct"/>
                  <w:vAlign w:val="center"/>
                </w:tcPr>
                <w:p w14:paraId="74C36D94">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b/>
                      <w:bCs/>
                      <w:snapToGrid w:val="0"/>
                      <w:color w:val="auto"/>
                      <w:kern w:val="0"/>
                      <w:szCs w:val="21"/>
                      <w:highlight w:val="none"/>
                    </w:rPr>
                    <w:t>单位</w:t>
                  </w:r>
                </w:p>
              </w:tc>
              <w:tc>
                <w:tcPr>
                  <w:tcW w:w="303" w:type="pct"/>
                  <w:vAlign w:val="center"/>
                </w:tcPr>
                <w:p w14:paraId="33FFEA4A">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b/>
                      <w:bCs/>
                      <w:snapToGrid w:val="0"/>
                      <w:color w:val="auto"/>
                      <w:kern w:val="0"/>
                      <w:szCs w:val="21"/>
                      <w:highlight w:val="none"/>
                    </w:rPr>
                    <w:t>数量</w:t>
                  </w:r>
                </w:p>
              </w:tc>
              <w:tc>
                <w:tcPr>
                  <w:tcW w:w="455" w:type="pct"/>
                  <w:vAlign w:val="center"/>
                </w:tcPr>
                <w:p w14:paraId="3AC30A60">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b/>
                      <w:bCs/>
                      <w:snapToGrid w:val="0"/>
                      <w:color w:val="auto"/>
                      <w:kern w:val="0"/>
                      <w:szCs w:val="21"/>
                      <w:highlight w:val="none"/>
                    </w:rPr>
                    <w:t>备注</w:t>
                  </w:r>
                </w:p>
              </w:tc>
            </w:tr>
            <w:tr w14:paraId="77CD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53B32B3D">
                  <w:pPr>
                    <w:adjustRightInd w:val="0"/>
                    <w:snapToGrid w:val="0"/>
                    <w:spacing w:before="156" w:beforeLines="50" w:after="156" w:afterLines="50"/>
                    <w:jc w:val="center"/>
                    <w:rPr>
                      <w:rFonts w:ascii="宋体" w:hAnsi="宋体" w:cs="宋体"/>
                      <w:b/>
                      <w:bCs/>
                      <w:color w:val="auto"/>
                      <w:szCs w:val="21"/>
                      <w:highlight w:val="none"/>
                    </w:rPr>
                  </w:pPr>
                  <w:r>
                    <w:rPr>
                      <w:rFonts w:ascii="宋体" w:hAnsi="宋体" w:cs="宋体"/>
                      <w:snapToGrid w:val="0"/>
                      <w:color w:val="auto"/>
                      <w:kern w:val="0"/>
                      <w:szCs w:val="21"/>
                      <w:highlight w:val="none"/>
                    </w:rPr>
                    <w:t>1</w:t>
                  </w:r>
                </w:p>
              </w:tc>
              <w:tc>
                <w:tcPr>
                  <w:tcW w:w="789" w:type="pct"/>
                  <w:vAlign w:val="center"/>
                </w:tcPr>
                <w:p w14:paraId="3109128F">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color w:val="auto"/>
                      <w:szCs w:val="21"/>
                      <w:highlight w:val="none"/>
                    </w:rPr>
                    <w:t>洒水车</w:t>
                  </w:r>
                </w:p>
              </w:tc>
              <w:tc>
                <w:tcPr>
                  <w:tcW w:w="2879" w:type="pct"/>
                  <w:vAlign w:val="center"/>
                </w:tcPr>
                <w:p w14:paraId="07B0BE1F">
                  <w:pPr>
                    <w:adjustRightInd w:val="0"/>
                    <w:snapToGrid w:val="0"/>
                    <w:spacing w:before="156" w:beforeLines="50" w:after="156" w:afterLines="50"/>
                    <w:rPr>
                      <w:rFonts w:ascii="宋体" w:hAnsi="宋体" w:cs="宋体"/>
                      <w:b/>
                      <w:bCs/>
                      <w:color w:val="auto"/>
                      <w:szCs w:val="21"/>
                      <w:highlight w:val="none"/>
                    </w:rPr>
                  </w:pPr>
                  <w:r>
                    <w:rPr>
                      <w:rFonts w:hint="eastAsia" w:ascii="宋体" w:hAnsi="宋体" w:cs="宋体"/>
                      <w:color w:val="auto"/>
                      <w:szCs w:val="21"/>
                      <w:highlight w:val="none"/>
                    </w:rPr>
                    <w:t>容积≥12m³</w:t>
                  </w:r>
                </w:p>
              </w:tc>
              <w:tc>
                <w:tcPr>
                  <w:tcW w:w="303" w:type="pct"/>
                  <w:vAlign w:val="center"/>
                </w:tcPr>
                <w:p w14:paraId="6E539D26">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辆</w:t>
                  </w:r>
                </w:p>
              </w:tc>
              <w:tc>
                <w:tcPr>
                  <w:tcW w:w="303" w:type="pct"/>
                  <w:vAlign w:val="center"/>
                </w:tcPr>
                <w:p w14:paraId="094F04CD">
                  <w:pPr>
                    <w:adjustRightInd w:val="0"/>
                    <w:snapToGrid w:val="0"/>
                    <w:spacing w:before="156" w:beforeLines="50" w:after="156" w:afterLines="50"/>
                    <w:jc w:val="center"/>
                    <w:rPr>
                      <w:rFonts w:ascii="宋体" w:hAnsi="宋体" w:cs="宋体"/>
                      <w:b/>
                      <w:bCs/>
                      <w:color w:val="auto"/>
                      <w:szCs w:val="21"/>
                      <w:highlight w:val="none"/>
                    </w:rPr>
                  </w:pPr>
                  <w:r>
                    <w:rPr>
                      <w:rFonts w:ascii="宋体" w:hAnsi="宋体" w:cs="宋体"/>
                      <w:snapToGrid w:val="0"/>
                      <w:color w:val="auto"/>
                      <w:kern w:val="0"/>
                      <w:szCs w:val="21"/>
                      <w:highlight w:val="none"/>
                    </w:rPr>
                    <w:t>1</w:t>
                  </w:r>
                </w:p>
              </w:tc>
              <w:tc>
                <w:tcPr>
                  <w:tcW w:w="455" w:type="pct"/>
                  <w:vAlign w:val="center"/>
                </w:tcPr>
                <w:p w14:paraId="0EBFEEFD">
                  <w:pPr>
                    <w:adjustRightInd w:val="0"/>
                    <w:snapToGrid w:val="0"/>
                    <w:spacing w:before="156" w:beforeLines="50" w:after="156" w:afterLines="50"/>
                    <w:ind w:firstLine="480"/>
                    <w:jc w:val="center"/>
                    <w:rPr>
                      <w:rFonts w:ascii="宋体" w:hAnsi="宋体" w:cs="宋体"/>
                      <w:b/>
                      <w:bCs/>
                      <w:color w:val="auto"/>
                      <w:szCs w:val="21"/>
                      <w:highlight w:val="none"/>
                    </w:rPr>
                  </w:pPr>
                </w:p>
              </w:tc>
            </w:tr>
            <w:tr w14:paraId="55CC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243F42F0">
                  <w:pPr>
                    <w:adjustRightInd w:val="0"/>
                    <w:snapToGrid w:val="0"/>
                    <w:spacing w:before="156" w:beforeLines="50" w:after="156" w:afterLines="50"/>
                    <w:jc w:val="center"/>
                    <w:rPr>
                      <w:rFonts w:ascii="宋体" w:hAnsi="宋体" w:cs="宋体"/>
                      <w:b/>
                      <w:bCs/>
                      <w:color w:val="auto"/>
                      <w:szCs w:val="21"/>
                      <w:highlight w:val="none"/>
                    </w:rPr>
                  </w:pPr>
                  <w:r>
                    <w:rPr>
                      <w:rFonts w:ascii="宋体" w:hAnsi="宋体" w:cs="宋体"/>
                      <w:snapToGrid w:val="0"/>
                      <w:color w:val="auto"/>
                      <w:kern w:val="0"/>
                      <w:szCs w:val="21"/>
                      <w:highlight w:val="none"/>
                    </w:rPr>
                    <w:t>2</w:t>
                  </w:r>
                </w:p>
              </w:tc>
              <w:tc>
                <w:tcPr>
                  <w:tcW w:w="789" w:type="pct"/>
                  <w:vAlign w:val="center"/>
                </w:tcPr>
                <w:p w14:paraId="65458403">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路面保洁吹扫车</w:t>
                  </w:r>
                </w:p>
              </w:tc>
              <w:tc>
                <w:tcPr>
                  <w:tcW w:w="2879" w:type="pct"/>
                  <w:vAlign w:val="center"/>
                </w:tcPr>
                <w:p w14:paraId="1E30F998">
                  <w:pPr>
                    <w:adjustRightInd w:val="0"/>
                    <w:snapToGrid w:val="0"/>
                    <w:spacing w:before="156" w:beforeLines="50" w:after="156" w:afterLines="50"/>
                    <w:rPr>
                      <w:rFonts w:ascii="宋体" w:hAnsi="宋体" w:cs="宋体"/>
                      <w:b/>
                      <w:bCs/>
                      <w:color w:val="auto"/>
                      <w:szCs w:val="21"/>
                      <w:highlight w:val="none"/>
                    </w:rPr>
                  </w:pPr>
                  <w:r>
                    <w:rPr>
                      <w:rFonts w:hint="eastAsia" w:ascii="宋体" w:hAnsi="宋体" w:cs="宋体"/>
                      <w:color w:val="auto"/>
                      <w:szCs w:val="21"/>
                      <w:highlight w:val="none"/>
                    </w:rPr>
                    <w:t>拖挂式吹扫机</w:t>
                  </w:r>
                </w:p>
              </w:tc>
              <w:tc>
                <w:tcPr>
                  <w:tcW w:w="303" w:type="pct"/>
                  <w:vAlign w:val="center"/>
                </w:tcPr>
                <w:p w14:paraId="442041C8">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辆</w:t>
                  </w:r>
                </w:p>
              </w:tc>
              <w:tc>
                <w:tcPr>
                  <w:tcW w:w="303" w:type="pct"/>
                  <w:vAlign w:val="center"/>
                </w:tcPr>
                <w:p w14:paraId="6F4E24E1">
                  <w:pPr>
                    <w:adjustRightInd w:val="0"/>
                    <w:snapToGrid w:val="0"/>
                    <w:spacing w:before="156" w:beforeLines="50" w:after="156" w:afterLines="50"/>
                    <w:jc w:val="center"/>
                    <w:rPr>
                      <w:rFonts w:ascii="宋体" w:hAnsi="宋体" w:cs="宋体"/>
                      <w:b/>
                      <w:bCs/>
                      <w:color w:val="auto"/>
                      <w:szCs w:val="21"/>
                      <w:highlight w:val="none"/>
                    </w:rPr>
                  </w:pPr>
                  <w:r>
                    <w:rPr>
                      <w:rFonts w:ascii="宋体" w:hAnsi="宋体" w:cs="宋体"/>
                      <w:snapToGrid w:val="0"/>
                      <w:color w:val="auto"/>
                      <w:kern w:val="0"/>
                      <w:szCs w:val="21"/>
                      <w:highlight w:val="none"/>
                    </w:rPr>
                    <w:t>8</w:t>
                  </w:r>
                </w:p>
              </w:tc>
              <w:tc>
                <w:tcPr>
                  <w:tcW w:w="455" w:type="pct"/>
                  <w:vAlign w:val="center"/>
                </w:tcPr>
                <w:p w14:paraId="3E70C23D">
                  <w:pPr>
                    <w:adjustRightInd w:val="0"/>
                    <w:snapToGrid w:val="0"/>
                    <w:spacing w:before="156" w:beforeLines="50" w:after="156" w:afterLines="50"/>
                    <w:ind w:firstLine="422" w:firstLineChars="200"/>
                    <w:jc w:val="center"/>
                    <w:rPr>
                      <w:rFonts w:ascii="宋体" w:hAnsi="宋体" w:cs="宋体"/>
                      <w:b/>
                      <w:bCs/>
                      <w:color w:val="auto"/>
                      <w:szCs w:val="21"/>
                      <w:highlight w:val="none"/>
                    </w:rPr>
                  </w:pPr>
                </w:p>
              </w:tc>
            </w:tr>
            <w:tr w14:paraId="553F6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3E328B2E">
                  <w:pPr>
                    <w:adjustRightInd w:val="0"/>
                    <w:snapToGrid w:val="0"/>
                    <w:spacing w:before="156" w:beforeLines="50" w:after="156" w:afterLines="50"/>
                    <w:jc w:val="center"/>
                    <w:rPr>
                      <w:rFonts w:ascii="宋体" w:hAnsi="宋体" w:cs="宋体"/>
                      <w:b/>
                      <w:bCs/>
                      <w:color w:val="auto"/>
                      <w:szCs w:val="21"/>
                      <w:highlight w:val="none"/>
                    </w:rPr>
                  </w:pPr>
                  <w:r>
                    <w:rPr>
                      <w:rFonts w:ascii="宋体" w:hAnsi="宋体" w:cs="宋体"/>
                      <w:snapToGrid w:val="0"/>
                      <w:color w:val="auto"/>
                      <w:kern w:val="0"/>
                      <w:szCs w:val="21"/>
                      <w:highlight w:val="none"/>
                    </w:rPr>
                    <w:t>3</w:t>
                  </w:r>
                </w:p>
              </w:tc>
              <w:tc>
                <w:tcPr>
                  <w:tcW w:w="789" w:type="pct"/>
                  <w:vAlign w:val="center"/>
                </w:tcPr>
                <w:p w14:paraId="5BA48BA1">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高压冲洗设备</w:t>
                  </w:r>
                </w:p>
              </w:tc>
              <w:tc>
                <w:tcPr>
                  <w:tcW w:w="2879" w:type="pct"/>
                  <w:vAlign w:val="center"/>
                </w:tcPr>
                <w:p w14:paraId="03B7E739">
                  <w:pPr>
                    <w:adjustRightInd w:val="0"/>
                    <w:snapToGrid w:val="0"/>
                    <w:spacing w:before="156" w:beforeLines="50" w:after="156" w:afterLines="50"/>
                    <w:ind w:firstLine="632" w:firstLineChars="300"/>
                    <w:rPr>
                      <w:rFonts w:ascii="宋体" w:hAnsi="宋体" w:cs="宋体"/>
                      <w:b/>
                      <w:bCs/>
                      <w:color w:val="auto"/>
                      <w:szCs w:val="21"/>
                      <w:highlight w:val="none"/>
                    </w:rPr>
                  </w:pPr>
                </w:p>
              </w:tc>
              <w:tc>
                <w:tcPr>
                  <w:tcW w:w="303" w:type="pct"/>
                  <w:vAlign w:val="center"/>
                </w:tcPr>
                <w:p w14:paraId="60FA26C5">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台</w:t>
                  </w:r>
                </w:p>
              </w:tc>
              <w:tc>
                <w:tcPr>
                  <w:tcW w:w="303" w:type="pct"/>
                  <w:vAlign w:val="center"/>
                </w:tcPr>
                <w:p w14:paraId="60452A5D">
                  <w:pPr>
                    <w:adjustRightInd w:val="0"/>
                    <w:snapToGrid w:val="0"/>
                    <w:spacing w:before="156" w:beforeLines="50" w:after="156" w:afterLines="50"/>
                    <w:jc w:val="center"/>
                    <w:rPr>
                      <w:rFonts w:ascii="宋体" w:hAnsi="宋体" w:cs="宋体"/>
                      <w:b/>
                      <w:bCs/>
                      <w:color w:val="auto"/>
                      <w:szCs w:val="21"/>
                      <w:highlight w:val="none"/>
                    </w:rPr>
                  </w:pPr>
                  <w:r>
                    <w:rPr>
                      <w:rFonts w:ascii="宋体" w:hAnsi="宋体" w:cs="宋体"/>
                      <w:snapToGrid w:val="0"/>
                      <w:color w:val="auto"/>
                      <w:kern w:val="0"/>
                      <w:szCs w:val="21"/>
                      <w:highlight w:val="none"/>
                    </w:rPr>
                    <w:t>4</w:t>
                  </w:r>
                </w:p>
              </w:tc>
              <w:tc>
                <w:tcPr>
                  <w:tcW w:w="455" w:type="pct"/>
                  <w:vAlign w:val="center"/>
                </w:tcPr>
                <w:p w14:paraId="1F368D61">
                  <w:pPr>
                    <w:adjustRightInd w:val="0"/>
                    <w:snapToGrid w:val="0"/>
                    <w:spacing w:before="156" w:beforeLines="50" w:after="156" w:afterLines="50"/>
                    <w:jc w:val="center"/>
                    <w:rPr>
                      <w:rFonts w:ascii="宋体" w:hAnsi="宋体" w:cs="宋体"/>
                      <w:b/>
                      <w:bCs/>
                      <w:color w:val="auto"/>
                      <w:szCs w:val="21"/>
                      <w:highlight w:val="none"/>
                    </w:rPr>
                  </w:pPr>
                </w:p>
              </w:tc>
            </w:tr>
            <w:tr w14:paraId="19ED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7864B885">
                  <w:pPr>
                    <w:adjustRightInd w:val="0"/>
                    <w:snapToGrid w:val="0"/>
                    <w:spacing w:before="156" w:beforeLines="50" w:after="156" w:afterLines="50"/>
                    <w:jc w:val="center"/>
                    <w:rPr>
                      <w:rFonts w:ascii="宋体" w:hAnsi="宋体" w:cs="宋体"/>
                      <w:b/>
                      <w:bCs/>
                      <w:color w:val="auto"/>
                      <w:szCs w:val="21"/>
                      <w:highlight w:val="none"/>
                    </w:rPr>
                  </w:pPr>
                  <w:r>
                    <w:rPr>
                      <w:rFonts w:ascii="宋体" w:hAnsi="宋体" w:cs="宋体"/>
                      <w:snapToGrid w:val="0"/>
                      <w:color w:val="auto"/>
                      <w:kern w:val="0"/>
                      <w:szCs w:val="21"/>
                      <w:highlight w:val="none"/>
                    </w:rPr>
                    <w:t>4</w:t>
                  </w:r>
                </w:p>
              </w:tc>
              <w:tc>
                <w:tcPr>
                  <w:tcW w:w="789" w:type="pct"/>
                  <w:vAlign w:val="center"/>
                </w:tcPr>
                <w:p w14:paraId="5602960E">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轮式挖掘机</w:t>
                  </w:r>
                </w:p>
              </w:tc>
              <w:tc>
                <w:tcPr>
                  <w:tcW w:w="2879" w:type="pct"/>
                  <w:vAlign w:val="center"/>
                </w:tcPr>
                <w:p w14:paraId="1B2B71F7">
                  <w:pPr>
                    <w:adjustRightInd w:val="0"/>
                    <w:snapToGrid w:val="0"/>
                    <w:spacing w:before="156" w:beforeLines="50" w:after="156" w:afterLines="50"/>
                    <w:rPr>
                      <w:rFonts w:ascii="宋体" w:hAnsi="宋体" w:cs="宋体"/>
                      <w:b/>
                      <w:bCs/>
                      <w:color w:val="auto"/>
                      <w:szCs w:val="21"/>
                      <w:highlight w:val="none"/>
                    </w:rPr>
                  </w:pPr>
                  <w:r>
                    <w:rPr>
                      <w:rFonts w:hint="eastAsia" w:ascii="宋体" w:hAnsi="宋体" w:cs="宋体"/>
                      <w:color w:val="auto"/>
                      <w:szCs w:val="21"/>
                      <w:highlight w:val="none"/>
                    </w:rPr>
                    <w:t>斗容≥1.2m³</w:t>
                  </w:r>
                </w:p>
              </w:tc>
              <w:tc>
                <w:tcPr>
                  <w:tcW w:w="303" w:type="pct"/>
                  <w:vAlign w:val="center"/>
                </w:tcPr>
                <w:p w14:paraId="3F498235">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台</w:t>
                  </w:r>
                </w:p>
              </w:tc>
              <w:tc>
                <w:tcPr>
                  <w:tcW w:w="303" w:type="pct"/>
                  <w:vAlign w:val="center"/>
                </w:tcPr>
                <w:p w14:paraId="6F2B25C9">
                  <w:pPr>
                    <w:adjustRightInd w:val="0"/>
                    <w:snapToGrid w:val="0"/>
                    <w:spacing w:before="156" w:beforeLines="50" w:after="156" w:afterLines="50"/>
                    <w:jc w:val="center"/>
                    <w:rPr>
                      <w:rFonts w:ascii="宋体" w:hAnsi="宋体" w:cs="宋体"/>
                      <w:b/>
                      <w:bCs/>
                      <w:color w:val="auto"/>
                      <w:szCs w:val="21"/>
                      <w:highlight w:val="none"/>
                    </w:rPr>
                  </w:pPr>
                  <w:r>
                    <w:rPr>
                      <w:rFonts w:ascii="宋体" w:hAnsi="宋体" w:cs="宋体"/>
                      <w:snapToGrid w:val="0"/>
                      <w:color w:val="auto"/>
                      <w:kern w:val="0"/>
                      <w:szCs w:val="21"/>
                      <w:highlight w:val="none"/>
                    </w:rPr>
                    <w:t>4</w:t>
                  </w:r>
                </w:p>
              </w:tc>
              <w:tc>
                <w:tcPr>
                  <w:tcW w:w="455" w:type="pct"/>
                  <w:vAlign w:val="center"/>
                </w:tcPr>
                <w:p w14:paraId="6F34AD02">
                  <w:pPr>
                    <w:adjustRightInd w:val="0"/>
                    <w:snapToGrid w:val="0"/>
                    <w:spacing w:before="156" w:beforeLines="50" w:after="156" w:afterLines="50"/>
                    <w:ind w:firstLine="480"/>
                    <w:jc w:val="center"/>
                    <w:rPr>
                      <w:rFonts w:ascii="宋体" w:hAnsi="宋体" w:cs="宋体"/>
                      <w:b/>
                      <w:bCs/>
                      <w:color w:val="auto"/>
                      <w:szCs w:val="21"/>
                      <w:highlight w:val="none"/>
                    </w:rPr>
                  </w:pPr>
                </w:p>
              </w:tc>
            </w:tr>
            <w:tr w14:paraId="2348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74C1FE27">
                  <w:pPr>
                    <w:adjustRightInd w:val="0"/>
                    <w:snapToGrid w:val="0"/>
                    <w:spacing w:before="156" w:beforeLines="50" w:after="156" w:afterLines="50"/>
                    <w:jc w:val="center"/>
                    <w:rPr>
                      <w:rFonts w:ascii="宋体" w:hAnsi="宋体" w:cs="宋体"/>
                      <w:b/>
                      <w:bCs/>
                      <w:color w:val="auto"/>
                      <w:szCs w:val="21"/>
                      <w:highlight w:val="none"/>
                    </w:rPr>
                  </w:pPr>
                  <w:r>
                    <w:rPr>
                      <w:rFonts w:ascii="宋体" w:hAnsi="宋体" w:cs="宋体"/>
                      <w:snapToGrid w:val="0"/>
                      <w:color w:val="auto"/>
                      <w:kern w:val="0"/>
                      <w:szCs w:val="21"/>
                      <w:highlight w:val="none"/>
                    </w:rPr>
                    <w:t>5</w:t>
                  </w:r>
                </w:p>
              </w:tc>
              <w:tc>
                <w:tcPr>
                  <w:tcW w:w="789" w:type="pct"/>
                  <w:vAlign w:val="center"/>
                </w:tcPr>
                <w:p w14:paraId="54A8B915">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装载机</w:t>
                  </w:r>
                </w:p>
              </w:tc>
              <w:tc>
                <w:tcPr>
                  <w:tcW w:w="2879" w:type="pct"/>
                  <w:vAlign w:val="center"/>
                </w:tcPr>
                <w:p w14:paraId="7B29FD10">
                  <w:pPr>
                    <w:adjustRightInd w:val="0"/>
                    <w:snapToGrid w:val="0"/>
                    <w:spacing w:before="156" w:beforeLines="50" w:after="156" w:afterLines="50"/>
                    <w:ind w:firstLine="630" w:firstLineChars="300"/>
                    <w:rPr>
                      <w:rFonts w:ascii="宋体" w:hAnsi="宋体" w:cs="宋体"/>
                      <w:b/>
                      <w:bCs/>
                      <w:color w:val="auto"/>
                      <w:szCs w:val="21"/>
                      <w:highlight w:val="none"/>
                    </w:rPr>
                  </w:pPr>
                  <w:r>
                    <w:rPr>
                      <w:rFonts w:hint="eastAsia" w:ascii="宋体" w:hAnsi="宋体" w:cs="宋体"/>
                      <w:snapToGrid w:val="0"/>
                      <w:color w:val="auto"/>
                      <w:kern w:val="0"/>
                      <w:szCs w:val="21"/>
                      <w:highlight w:val="none"/>
                    </w:rPr>
                    <w:t>3 M</w:t>
                  </w:r>
                  <w:r>
                    <w:rPr>
                      <w:rFonts w:hint="eastAsia" w:ascii="宋体" w:hAnsi="宋体" w:cs="宋体"/>
                      <w:snapToGrid w:val="0"/>
                      <w:color w:val="auto"/>
                      <w:kern w:val="0"/>
                      <w:szCs w:val="21"/>
                      <w:highlight w:val="none"/>
                      <w:vertAlign w:val="superscript"/>
                    </w:rPr>
                    <w:t>3</w:t>
                  </w:r>
                </w:p>
              </w:tc>
              <w:tc>
                <w:tcPr>
                  <w:tcW w:w="303" w:type="pct"/>
                  <w:vAlign w:val="center"/>
                </w:tcPr>
                <w:p w14:paraId="393E8373">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台</w:t>
                  </w:r>
                </w:p>
              </w:tc>
              <w:tc>
                <w:tcPr>
                  <w:tcW w:w="303" w:type="pct"/>
                  <w:vAlign w:val="center"/>
                </w:tcPr>
                <w:p w14:paraId="3451A43E">
                  <w:pPr>
                    <w:adjustRightInd w:val="0"/>
                    <w:snapToGrid w:val="0"/>
                    <w:spacing w:before="156" w:beforeLines="50" w:after="156" w:afterLines="50"/>
                    <w:jc w:val="center"/>
                    <w:rPr>
                      <w:rFonts w:ascii="宋体" w:hAnsi="宋体" w:cs="宋体"/>
                      <w:b/>
                      <w:bCs/>
                      <w:color w:val="auto"/>
                      <w:szCs w:val="21"/>
                      <w:highlight w:val="none"/>
                    </w:rPr>
                  </w:pPr>
                  <w:r>
                    <w:rPr>
                      <w:rFonts w:ascii="宋体" w:hAnsi="宋体" w:cs="宋体"/>
                      <w:snapToGrid w:val="0"/>
                      <w:color w:val="auto"/>
                      <w:kern w:val="0"/>
                      <w:szCs w:val="21"/>
                      <w:highlight w:val="none"/>
                    </w:rPr>
                    <w:t>2</w:t>
                  </w:r>
                </w:p>
              </w:tc>
              <w:tc>
                <w:tcPr>
                  <w:tcW w:w="455" w:type="pct"/>
                  <w:vAlign w:val="center"/>
                </w:tcPr>
                <w:p w14:paraId="16DCB01C">
                  <w:pPr>
                    <w:adjustRightInd w:val="0"/>
                    <w:snapToGrid w:val="0"/>
                    <w:spacing w:before="156" w:beforeLines="50" w:after="156" w:afterLines="50"/>
                    <w:ind w:firstLine="480"/>
                    <w:jc w:val="center"/>
                    <w:rPr>
                      <w:rFonts w:ascii="宋体" w:hAnsi="宋体" w:cs="宋体"/>
                      <w:b/>
                      <w:bCs/>
                      <w:color w:val="auto"/>
                      <w:szCs w:val="21"/>
                      <w:highlight w:val="none"/>
                    </w:rPr>
                  </w:pPr>
                </w:p>
              </w:tc>
            </w:tr>
            <w:tr w14:paraId="536C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228829CF">
                  <w:pPr>
                    <w:adjustRightInd w:val="0"/>
                    <w:snapToGrid w:val="0"/>
                    <w:spacing w:before="156" w:beforeLines="50" w:after="156" w:afterLines="50"/>
                    <w:jc w:val="center"/>
                    <w:rPr>
                      <w:rFonts w:ascii="宋体" w:hAnsi="宋体" w:cs="宋体"/>
                      <w:b/>
                      <w:bCs/>
                      <w:color w:val="auto"/>
                      <w:szCs w:val="21"/>
                      <w:highlight w:val="none"/>
                    </w:rPr>
                  </w:pPr>
                  <w:r>
                    <w:rPr>
                      <w:rFonts w:ascii="宋体" w:hAnsi="宋体" w:cs="宋体"/>
                      <w:snapToGrid w:val="0"/>
                      <w:color w:val="auto"/>
                      <w:kern w:val="0"/>
                      <w:szCs w:val="21"/>
                      <w:highlight w:val="none"/>
                    </w:rPr>
                    <w:t>6</w:t>
                  </w:r>
                </w:p>
              </w:tc>
              <w:tc>
                <w:tcPr>
                  <w:tcW w:w="789" w:type="pct"/>
                  <w:vAlign w:val="center"/>
                </w:tcPr>
                <w:p w14:paraId="47E992D6">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小型压路机</w:t>
                  </w:r>
                </w:p>
              </w:tc>
              <w:tc>
                <w:tcPr>
                  <w:tcW w:w="2879" w:type="pct"/>
                  <w:vAlign w:val="center"/>
                </w:tcPr>
                <w:p w14:paraId="48933CE4">
                  <w:pPr>
                    <w:adjustRightInd w:val="0"/>
                    <w:snapToGrid w:val="0"/>
                    <w:spacing w:before="156" w:beforeLines="50" w:after="156" w:afterLines="50"/>
                    <w:ind w:firstLine="630" w:firstLineChars="300"/>
                    <w:rPr>
                      <w:rFonts w:ascii="宋体" w:hAnsi="宋体" w:cs="宋体"/>
                      <w:b/>
                      <w:bCs/>
                      <w:color w:val="auto"/>
                      <w:szCs w:val="21"/>
                      <w:highlight w:val="none"/>
                    </w:rPr>
                  </w:pPr>
                  <w:r>
                    <w:rPr>
                      <w:rFonts w:hint="eastAsia" w:ascii="宋体" w:hAnsi="宋体" w:cs="宋体"/>
                      <w:snapToGrid w:val="0"/>
                      <w:color w:val="auto"/>
                      <w:kern w:val="0"/>
                      <w:szCs w:val="21"/>
                      <w:highlight w:val="none"/>
                    </w:rPr>
                    <w:t>6—8T</w:t>
                  </w:r>
                </w:p>
              </w:tc>
              <w:tc>
                <w:tcPr>
                  <w:tcW w:w="303" w:type="pct"/>
                  <w:vAlign w:val="center"/>
                </w:tcPr>
                <w:p w14:paraId="77C83D26">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台</w:t>
                  </w:r>
                </w:p>
              </w:tc>
              <w:tc>
                <w:tcPr>
                  <w:tcW w:w="303" w:type="pct"/>
                  <w:vAlign w:val="center"/>
                </w:tcPr>
                <w:p w14:paraId="70EA89DA">
                  <w:pPr>
                    <w:adjustRightInd w:val="0"/>
                    <w:snapToGrid w:val="0"/>
                    <w:spacing w:before="156" w:beforeLines="50" w:after="156" w:afterLines="50"/>
                    <w:jc w:val="center"/>
                    <w:rPr>
                      <w:rFonts w:ascii="宋体" w:hAnsi="宋体" w:cs="宋体"/>
                      <w:b/>
                      <w:bCs/>
                      <w:color w:val="auto"/>
                      <w:szCs w:val="21"/>
                      <w:highlight w:val="none"/>
                    </w:rPr>
                  </w:pPr>
                  <w:r>
                    <w:rPr>
                      <w:rFonts w:ascii="宋体" w:hAnsi="宋体" w:cs="宋体"/>
                      <w:snapToGrid w:val="0"/>
                      <w:color w:val="auto"/>
                      <w:kern w:val="0"/>
                      <w:szCs w:val="21"/>
                      <w:highlight w:val="none"/>
                    </w:rPr>
                    <w:t>4</w:t>
                  </w:r>
                </w:p>
              </w:tc>
              <w:tc>
                <w:tcPr>
                  <w:tcW w:w="455" w:type="pct"/>
                  <w:vAlign w:val="center"/>
                </w:tcPr>
                <w:p w14:paraId="130085FF">
                  <w:pPr>
                    <w:adjustRightInd w:val="0"/>
                    <w:snapToGrid w:val="0"/>
                    <w:spacing w:before="156" w:beforeLines="50" w:after="156" w:afterLines="50"/>
                    <w:ind w:firstLine="480"/>
                    <w:jc w:val="center"/>
                    <w:rPr>
                      <w:rFonts w:ascii="宋体" w:hAnsi="宋体" w:cs="宋体"/>
                      <w:b/>
                      <w:bCs/>
                      <w:color w:val="auto"/>
                      <w:szCs w:val="21"/>
                      <w:highlight w:val="none"/>
                    </w:rPr>
                  </w:pPr>
                </w:p>
              </w:tc>
            </w:tr>
            <w:tr w14:paraId="74FF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71C127FA">
                  <w:pPr>
                    <w:adjustRightInd w:val="0"/>
                    <w:snapToGrid w:val="0"/>
                    <w:spacing w:before="156" w:beforeLines="50" w:after="156" w:afterLines="50"/>
                    <w:jc w:val="center"/>
                    <w:rPr>
                      <w:rFonts w:ascii="宋体" w:hAnsi="宋体" w:cs="宋体"/>
                      <w:b/>
                      <w:bCs/>
                      <w:color w:val="auto"/>
                      <w:szCs w:val="21"/>
                      <w:highlight w:val="none"/>
                    </w:rPr>
                  </w:pPr>
                  <w:r>
                    <w:rPr>
                      <w:rFonts w:ascii="宋体" w:hAnsi="宋体" w:cs="宋体"/>
                      <w:snapToGrid w:val="0"/>
                      <w:color w:val="auto"/>
                      <w:kern w:val="0"/>
                      <w:szCs w:val="21"/>
                      <w:highlight w:val="none"/>
                    </w:rPr>
                    <w:t>7</w:t>
                  </w:r>
                </w:p>
              </w:tc>
              <w:tc>
                <w:tcPr>
                  <w:tcW w:w="789" w:type="pct"/>
                  <w:vAlign w:val="center"/>
                </w:tcPr>
                <w:p w14:paraId="78D6D449">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轻型自卸养护车</w:t>
                  </w:r>
                </w:p>
              </w:tc>
              <w:tc>
                <w:tcPr>
                  <w:tcW w:w="2879" w:type="pct"/>
                  <w:vAlign w:val="center"/>
                </w:tcPr>
                <w:p w14:paraId="014ACE0D">
                  <w:pPr>
                    <w:adjustRightInd w:val="0"/>
                    <w:snapToGrid w:val="0"/>
                    <w:spacing w:before="156" w:beforeLines="50" w:after="156" w:afterLines="50"/>
                    <w:rPr>
                      <w:rFonts w:ascii="宋体" w:hAnsi="宋体" w:cs="宋体"/>
                      <w:b/>
                      <w:bCs/>
                      <w:color w:val="auto"/>
                      <w:szCs w:val="21"/>
                      <w:highlight w:val="none"/>
                    </w:rPr>
                  </w:pPr>
                  <w:r>
                    <w:rPr>
                      <w:rFonts w:hint="eastAsia" w:ascii="宋体" w:hAnsi="宋体" w:cs="宋体"/>
                      <w:snapToGrid w:val="0"/>
                      <w:color w:val="auto"/>
                      <w:kern w:val="0"/>
                      <w:szCs w:val="21"/>
                      <w:highlight w:val="none"/>
                    </w:rPr>
                    <w:t xml:space="preserve">      </w:t>
                  </w:r>
                </w:p>
              </w:tc>
              <w:tc>
                <w:tcPr>
                  <w:tcW w:w="303" w:type="pct"/>
                  <w:vAlign w:val="center"/>
                </w:tcPr>
                <w:p w14:paraId="107BB464">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辆</w:t>
                  </w:r>
                </w:p>
              </w:tc>
              <w:tc>
                <w:tcPr>
                  <w:tcW w:w="303" w:type="pct"/>
                  <w:vAlign w:val="center"/>
                </w:tcPr>
                <w:p w14:paraId="071E9600">
                  <w:pPr>
                    <w:adjustRightInd w:val="0"/>
                    <w:snapToGrid w:val="0"/>
                    <w:spacing w:before="156" w:beforeLines="50" w:after="156" w:afterLines="50"/>
                    <w:jc w:val="center"/>
                    <w:rPr>
                      <w:rFonts w:ascii="宋体" w:hAnsi="宋体" w:cs="宋体"/>
                      <w:b/>
                      <w:bCs/>
                      <w:color w:val="auto"/>
                      <w:szCs w:val="21"/>
                      <w:highlight w:val="none"/>
                    </w:rPr>
                  </w:pPr>
                  <w:r>
                    <w:rPr>
                      <w:rFonts w:ascii="宋体" w:hAnsi="宋体" w:cs="宋体"/>
                      <w:snapToGrid w:val="0"/>
                      <w:color w:val="auto"/>
                      <w:kern w:val="0"/>
                      <w:szCs w:val="21"/>
                      <w:highlight w:val="none"/>
                    </w:rPr>
                    <w:t>8</w:t>
                  </w:r>
                </w:p>
              </w:tc>
              <w:tc>
                <w:tcPr>
                  <w:tcW w:w="455" w:type="pct"/>
                  <w:vAlign w:val="center"/>
                </w:tcPr>
                <w:p w14:paraId="239E3BD5">
                  <w:pPr>
                    <w:adjustRightInd w:val="0"/>
                    <w:snapToGrid w:val="0"/>
                    <w:spacing w:before="156" w:beforeLines="50" w:after="156" w:afterLines="50"/>
                    <w:ind w:firstLine="480"/>
                    <w:jc w:val="center"/>
                    <w:rPr>
                      <w:rFonts w:ascii="宋体" w:hAnsi="宋体" w:cs="宋体"/>
                      <w:b/>
                      <w:bCs/>
                      <w:color w:val="auto"/>
                      <w:szCs w:val="21"/>
                      <w:highlight w:val="none"/>
                    </w:rPr>
                  </w:pPr>
                </w:p>
              </w:tc>
            </w:tr>
            <w:tr w14:paraId="196B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30D3F1B3">
                  <w:pPr>
                    <w:adjustRightInd w:val="0"/>
                    <w:snapToGrid w:val="0"/>
                    <w:spacing w:before="156" w:beforeLines="50" w:after="156" w:afterLines="50"/>
                    <w:jc w:val="center"/>
                    <w:rPr>
                      <w:rFonts w:ascii="宋体" w:hAnsi="宋体" w:cs="宋体"/>
                      <w:b/>
                      <w:bCs/>
                      <w:color w:val="auto"/>
                      <w:szCs w:val="21"/>
                      <w:highlight w:val="none"/>
                    </w:rPr>
                  </w:pPr>
                  <w:r>
                    <w:rPr>
                      <w:rFonts w:ascii="宋体" w:hAnsi="宋体" w:cs="宋体"/>
                      <w:snapToGrid w:val="0"/>
                      <w:color w:val="auto"/>
                      <w:kern w:val="0"/>
                      <w:szCs w:val="21"/>
                      <w:highlight w:val="none"/>
                    </w:rPr>
                    <w:t>8</w:t>
                  </w:r>
                </w:p>
              </w:tc>
              <w:tc>
                <w:tcPr>
                  <w:tcW w:w="789" w:type="pct"/>
                  <w:vAlign w:val="center"/>
                </w:tcPr>
                <w:p w14:paraId="77D259E5">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路面标线划线机</w:t>
                  </w:r>
                </w:p>
              </w:tc>
              <w:tc>
                <w:tcPr>
                  <w:tcW w:w="2879" w:type="pct"/>
                  <w:vAlign w:val="center"/>
                </w:tcPr>
                <w:p w14:paraId="2A054898">
                  <w:pPr>
                    <w:adjustRightInd w:val="0"/>
                    <w:snapToGrid w:val="0"/>
                    <w:spacing w:before="156" w:beforeLines="50" w:after="156" w:afterLines="50"/>
                    <w:ind w:firstLine="632" w:firstLineChars="300"/>
                    <w:rPr>
                      <w:rFonts w:ascii="宋体" w:hAnsi="宋体" w:cs="宋体"/>
                      <w:b/>
                      <w:bCs/>
                      <w:color w:val="auto"/>
                      <w:szCs w:val="21"/>
                      <w:highlight w:val="none"/>
                    </w:rPr>
                  </w:pPr>
                </w:p>
              </w:tc>
              <w:tc>
                <w:tcPr>
                  <w:tcW w:w="303" w:type="pct"/>
                  <w:vAlign w:val="center"/>
                </w:tcPr>
                <w:p w14:paraId="1C672DDF">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台</w:t>
                  </w:r>
                </w:p>
              </w:tc>
              <w:tc>
                <w:tcPr>
                  <w:tcW w:w="303" w:type="pct"/>
                  <w:vAlign w:val="center"/>
                </w:tcPr>
                <w:p w14:paraId="702B0FB2">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1</w:t>
                  </w:r>
                </w:p>
              </w:tc>
              <w:tc>
                <w:tcPr>
                  <w:tcW w:w="455" w:type="pct"/>
                  <w:vAlign w:val="center"/>
                </w:tcPr>
                <w:p w14:paraId="20396AD9">
                  <w:pPr>
                    <w:adjustRightInd w:val="0"/>
                    <w:snapToGrid w:val="0"/>
                    <w:spacing w:before="156" w:beforeLines="50" w:after="156" w:afterLines="50"/>
                    <w:ind w:firstLine="480"/>
                    <w:jc w:val="center"/>
                    <w:rPr>
                      <w:rFonts w:ascii="宋体" w:hAnsi="宋体" w:cs="宋体"/>
                      <w:b/>
                      <w:bCs/>
                      <w:color w:val="auto"/>
                      <w:szCs w:val="21"/>
                      <w:highlight w:val="none"/>
                    </w:rPr>
                  </w:pPr>
                </w:p>
              </w:tc>
            </w:tr>
            <w:tr w14:paraId="2ABE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2B996C8D">
                  <w:pPr>
                    <w:adjustRightInd w:val="0"/>
                    <w:snapToGrid w:val="0"/>
                    <w:spacing w:before="156" w:beforeLines="50" w:after="156" w:afterLines="5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9</w:t>
                  </w:r>
                </w:p>
              </w:tc>
              <w:tc>
                <w:tcPr>
                  <w:tcW w:w="789" w:type="pct"/>
                  <w:vAlign w:val="center"/>
                </w:tcPr>
                <w:p w14:paraId="7785BB52">
                  <w:pPr>
                    <w:adjustRightInd w:val="0"/>
                    <w:snapToGrid w:val="0"/>
                    <w:spacing w:before="156" w:beforeLines="50" w:after="156" w:afterLines="5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路面标线除线机</w:t>
                  </w:r>
                </w:p>
              </w:tc>
              <w:tc>
                <w:tcPr>
                  <w:tcW w:w="2879" w:type="pct"/>
                  <w:vAlign w:val="center"/>
                </w:tcPr>
                <w:p w14:paraId="1A323729">
                  <w:pPr>
                    <w:adjustRightInd w:val="0"/>
                    <w:snapToGrid w:val="0"/>
                    <w:spacing w:before="156" w:beforeLines="50" w:after="156" w:afterLines="50"/>
                    <w:rPr>
                      <w:rFonts w:ascii="宋体" w:hAnsi="宋体" w:cs="宋体"/>
                      <w:color w:val="auto"/>
                      <w:szCs w:val="21"/>
                      <w:highlight w:val="none"/>
                    </w:rPr>
                  </w:pPr>
                </w:p>
              </w:tc>
              <w:tc>
                <w:tcPr>
                  <w:tcW w:w="303" w:type="pct"/>
                  <w:vAlign w:val="center"/>
                </w:tcPr>
                <w:p w14:paraId="67EEC7EB">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台</w:t>
                  </w:r>
                </w:p>
              </w:tc>
              <w:tc>
                <w:tcPr>
                  <w:tcW w:w="303" w:type="pct"/>
                  <w:vAlign w:val="center"/>
                </w:tcPr>
                <w:p w14:paraId="2649F911">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1</w:t>
                  </w:r>
                </w:p>
              </w:tc>
              <w:tc>
                <w:tcPr>
                  <w:tcW w:w="455" w:type="pct"/>
                  <w:vAlign w:val="center"/>
                </w:tcPr>
                <w:p w14:paraId="484AE900">
                  <w:pPr>
                    <w:adjustRightInd w:val="0"/>
                    <w:snapToGrid w:val="0"/>
                    <w:spacing w:before="156" w:beforeLines="50" w:after="156" w:afterLines="50"/>
                    <w:ind w:firstLine="480"/>
                    <w:jc w:val="center"/>
                    <w:rPr>
                      <w:rFonts w:ascii="宋体" w:hAnsi="宋体" w:cs="宋体"/>
                      <w:b/>
                      <w:bCs/>
                      <w:color w:val="auto"/>
                      <w:szCs w:val="21"/>
                      <w:highlight w:val="none"/>
                    </w:rPr>
                  </w:pPr>
                </w:p>
              </w:tc>
            </w:tr>
            <w:tr w14:paraId="009E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6B67D6D6">
                  <w:pPr>
                    <w:adjustRightInd w:val="0"/>
                    <w:snapToGrid w:val="0"/>
                    <w:spacing w:before="156" w:beforeLines="50" w:after="156" w:afterLines="5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r>
                    <w:rPr>
                      <w:rFonts w:ascii="宋体" w:hAnsi="宋体" w:cs="宋体"/>
                      <w:snapToGrid w:val="0"/>
                      <w:color w:val="auto"/>
                      <w:kern w:val="0"/>
                      <w:szCs w:val="21"/>
                      <w:highlight w:val="none"/>
                    </w:rPr>
                    <w:t>0</w:t>
                  </w:r>
                </w:p>
              </w:tc>
              <w:tc>
                <w:tcPr>
                  <w:tcW w:w="789" w:type="pct"/>
                  <w:vAlign w:val="center"/>
                </w:tcPr>
                <w:p w14:paraId="5E525419">
                  <w:pPr>
                    <w:adjustRightInd w:val="0"/>
                    <w:snapToGrid w:val="0"/>
                    <w:spacing w:before="156" w:beforeLines="50" w:after="156" w:afterLines="5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护栏打桩机</w:t>
                  </w:r>
                </w:p>
              </w:tc>
              <w:tc>
                <w:tcPr>
                  <w:tcW w:w="2879" w:type="pct"/>
                  <w:vAlign w:val="center"/>
                </w:tcPr>
                <w:p w14:paraId="709E2F43">
                  <w:pPr>
                    <w:adjustRightInd w:val="0"/>
                    <w:snapToGrid w:val="0"/>
                    <w:spacing w:before="156" w:beforeLines="50" w:after="156" w:afterLines="50"/>
                    <w:rPr>
                      <w:rFonts w:ascii="宋体" w:hAnsi="宋体" w:cs="宋体"/>
                      <w:color w:val="auto"/>
                      <w:szCs w:val="21"/>
                      <w:highlight w:val="none"/>
                    </w:rPr>
                  </w:pPr>
                </w:p>
              </w:tc>
              <w:tc>
                <w:tcPr>
                  <w:tcW w:w="303" w:type="pct"/>
                  <w:vAlign w:val="center"/>
                </w:tcPr>
                <w:p w14:paraId="67C7FD88">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台</w:t>
                  </w:r>
                </w:p>
              </w:tc>
              <w:tc>
                <w:tcPr>
                  <w:tcW w:w="303" w:type="pct"/>
                  <w:vAlign w:val="center"/>
                </w:tcPr>
                <w:p w14:paraId="76773CF3">
                  <w:pPr>
                    <w:adjustRightInd w:val="0"/>
                    <w:snapToGrid w:val="0"/>
                    <w:spacing w:before="156" w:beforeLines="50" w:after="156" w:afterLines="50"/>
                    <w:jc w:val="center"/>
                    <w:rPr>
                      <w:rFonts w:ascii="宋体" w:hAnsi="宋体" w:cs="宋体"/>
                      <w:b/>
                      <w:bCs/>
                      <w:color w:val="auto"/>
                      <w:szCs w:val="21"/>
                      <w:highlight w:val="none"/>
                    </w:rPr>
                  </w:pPr>
                  <w:r>
                    <w:rPr>
                      <w:rFonts w:ascii="宋体" w:hAnsi="宋体" w:cs="宋体"/>
                      <w:snapToGrid w:val="0"/>
                      <w:color w:val="auto"/>
                      <w:kern w:val="0"/>
                      <w:szCs w:val="21"/>
                      <w:highlight w:val="none"/>
                    </w:rPr>
                    <w:t>2</w:t>
                  </w:r>
                </w:p>
              </w:tc>
              <w:tc>
                <w:tcPr>
                  <w:tcW w:w="455" w:type="pct"/>
                  <w:vAlign w:val="center"/>
                </w:tcPr>
                <w:p w14:paraId="336348EA">
                  <w:pPr>
                    <w:adjustRightInd w:val="0"/>
                    <w:snapToGrid w:val="0"/>
                    <w:spacing w:before="156" w:beforeLines="50" w:after="156" w:afterLines="50"/>
                    <w:ind w:firstLine="480"/>
                    <w:jc w:val="center"/>
                    <w:rPr>
                      <w:rFonts w:ascii="宋体" w:hAnsi="宋体" w:cs="宋体"/>
                      <w:b/>
                      <w:bCs/>
                      <w:color w:val="auto"/>
                      <w:szCs w:val="21"/>
                      <w:highlight w:val="none"/>
                    </w:rPr>
                  </w:pPr>
                </w:p>
              </w:tc>
            </w:tr>
            <w:tr w14:paraId="786C2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11F760C2">
                  <w:pPr>
                    <w:adjustRightInd w:val="0"/>
                    <w:snapToGrid w:val="0"/>
                    <w:spacing w:before="156" w:beforeLines="50" w:after="156" w:afterLines="5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r>
                    <w:rPr>
                      <w:rFonts w:ascii="宋体" w:hAnsi="宋体" w:cs="宋体"/>
                      <w:snapToGrid w:val="0"/>
                      <w:color w:val="auto"/>
                      <w:kern w:val="0"/>
                      <w:szCs w:val="21"/>
                      <w:highlight w:val="none"/>
                    </w:rPr>
                    <w:t>1</w:t>
                  </w:r>
                </w:p>
              </w:tc>
              <w:tc>
                <w:tcPr>
                  <w:tcW w:w="789" w:type="pct"/>
                  <w:vAlign w:val="center"/>
                </w:tcPr>
                <w:p w14:paraId="6A1A05E3">
                  <w:pPr>
                    <w:adjustRightInd w:val="0"/>
                    <w:snapToGrid w:val="0"/>
                    <w:spacing w:before="156" w:beforeLines="50" w:after="156" w:afterLines="5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护栏拔桩机</w:t>
                  </w:r>
                </w:p>
              </w:tc>
              <w:tc>
                <w:tcPr>
                  <w:tcW w:w="2879" w:type="pct"/>
                  <w:vAlign w:val="center"/>
                </w:tcPr>
                <w:p w14:paraId="10BB3AE7">
                  <w:pPr>
                    <w:adjustRightInd w:val="0"/>
                    <w:snapToGrid w:val="0"/>
                    <w:spacing w:before="156" w:beforeLines="50" w:after="156" w:afterLines="50"/>
                    <w:rPr>
                      <w:rFonts w:ascii="宋体" w:hAnsi="宋体" w:cs="宋体"/>
                      <w:color w:val="auto"/>
                      <w:szCs w:val="21"/>
                      <w:highlight w:val="none"/>
                    </w:rPr>
                  </w:pPr>
                </w:p>
              </w:tc>
              <w:tc>
                <w:tcPr>
                  <w:tcW w:w="303" w:type="pct"/>
                  <w:vAlign w:val="center"/>
                </w:tcPr>
                <w:p w14:paraId="6B1A4DE8">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台</w:t>
                  </w:r>
                </w:p>
              </w:tc>
              <w:tc>
                <w:tcPr>
                  <w:tcW w:w="303" w:type="pct"/>
                  <w:vAlign w:val="center"/>
                </w:tcPr>
                <w:p w14:paraId="6ACC6433">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1</w:t>
                  </w:r>
                </w:p>
              </w:tc>
              <w:tc>
                <w:tcPr>
                  <w:tcW w:w="455" w:type="pct"/>
                  <w:vAlign w:val="center"/>
                </w:tcPr>
                <w:p w14:paraId="57880935">
                  <w:pPr>
                    <w:adjustRightInd w:val="0"/>
                    <w:snapToGrid w:val="0"/>
                    <w:spacing w:before="156" w:beforeLines="50" w:after="156" w:afterLines="50"/>
                    <w:ind w:firstLine="480"/>
                    <w:jc w:val="center"/>
                    <w:rPr>
                      <w:rFonts w:ascii="宋体" w:hAnsi="宋体" w:cs="宋体"/>
                      <w:b/>
                      <w:bCs/>
                      <w:color w:val="auto"/>
                      <w:szCs w:val="21"/>
                      <w:highlight w:val="none"/>
                    </w:rPr>
                  </w:pPr>
                </w:p>
              </w:tc>
            </w:tr>
            <w:tr w14:paraId="7F94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23638520">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1</w:t>
                  </w:r>
                  <w:r>
                    <w:rPr>
                      <w:rFonts w:ascii="宋体" w:hAnsi="宋体" w:cs="宋体"/>
                      <w:snapToGrid w:val="0"/>
                      <w:color w:val="auto"/>
                      <w:kern w:val="0"/>
                      <w:szCs w:val="21"/>
                      <w:highlight w:val="none"/>
                    </w:rPr>
                    <w:t>2</w:t>
                  </w:r>
                </w:p>
              </w:tc>
              <w:tc>
                <w:tcPr>
                  <w:tcW w:w="789" w:type="pct"/>
                  <w:vAlign w:val="center"/>
                </w:tcPr>
                <w:p w14:paraId="3B02BE0F">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铣刨机</w:t>
                  </w:r>
                </w:p>
              </w:tc>
              <w:tc>
                <w:tcPr>
                  <w:tcW w:w="2879" w:type="pct"/>
                  <w:vAlign w:val="center"/>
                </w:tcPr>
                <w:p w14:paraId="4F23E9DB">
                  <w:pPr>
                    <w:adjustRightInd w:val="0"/>
                    <w:snapToGrid w:val="0"/>
                    <w:spacing w:before="156" w:beforeLines="50" w:after="156" w:afterLines="50"/>
                    <w:rPr>
                      <w:rFonts w:ascii="宋体" w:hAnsi="宋体" w:cs="宋体"/>
                      <w:b/>
                      <w:bCs/>
                      <w:color w:val="auto"/>
                      <w:szCs w:val="21"/>
                      <w:highlight w:val="none"/>
                    </w:rPr>
                  </w:pPr>
                  <w:r>
                    <w:rPr>
                      <w:rFonts w:hint="eastAsia" w:ascii="宋体" w:hAnsi="宋体" w:cs="宋体"/>
                      <w:color w:val="auto"/>
                      <w:szCs w:val="21"/>
                      <w:highlight w:val="none"/>
                    </w:rPr>
                    <w:t>铣刨宽度≥50cm</w:t>
                  </w:r>
                </w:p>
              </w:tc>
              <w:tc>
                <w:tcPr>
                  <w:tcW w:w="303" w:type="pct"/>
                  <w:vAlign w:val="center"/>
                </w:tcPr>
                <w:p w14:paraId="48040CA4">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台</w:t>
                  </w:r>
                </w:p>
              </w:tc>
              <w:tc>
                <w:tcPr>
                  <w:tcW w:w="303" w:type="pct"/>
                  <w:vAlign w:val="center"/>
                </w:tcPr>
                <w:p w14:paraId="09169F23">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1</w:t>
                  </w:r>
                </w:p>
              </w:tc>
              <w:tc>
                <w:tcPr>
                  <w:tcW w:w="455" w:type="pct"/>
                  <w:vAlign w:val="center"/>
                </w:tcPr>
                <w:p w14:paraId="68BFE6C5">
                  <w:pPr>
                    <w:adjustRightInd w:val="0"/>
                    <w:snapToGrid w:val="0"/>
                    <w:spacing w:before="156" w:beforeLines="50" w:after="156" w:afterLines="50"/>
                    <w:ind w:firstLine="480"/>
                    <w:jc w:val="center"/>
                    <w:rPr>
                      <w:rFonts w:ascii="宋体" w:hAnsi="宋体" w:cs="宋体"/>
                      <w:b/>
                      <w:bCs/>
                      <w:color w:val="auto"/>
                      <w:szCs w:val="21"/>
                      <w:highlight w:val="none"/>
                    </w:rPr>
                  </w:pPr>
                </w:p>
              </w:tc>
            </w:tr>
            <w:tr w14:paraId="79F0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3A978524">
                  <w:pPr>
                    <w:adjustRightInd w:val="0"/>
                    <w:snapToGrid w:val="0"/>
                    <w:spacing w:before="156" w:beforeLines="50" w:after="156" w:afterLines="50"/>
                    <w:jc w:val="center"/>
                    <w:rPr>
                      <w:rFonts w:ascii="宋体" w:hAnsi="宋体" w:cs="宋体"/>
                      <w:b/>
                      <w:bCs/>
                      <w:color w:val="auto"/>
                      <w:szCs w:val="21"/>
                      <w:highlight w:val="none"/>
                    </w:rPr>
                  </w:pPr>
                  <w:r>
                    <w:rPr>
                      <w:rFonts w:ascii="宋体" w:hAnsi="宋体" w:cs="宋体"/>
                      <w:snapToGrid w:val="0"/>
                      <w:color w:val="auto"/>
                      <w:kern w:val="0"/>
                      <w:szCs w:val="21"/>
                      <w:highlight w:val="none"/>
                    </w:rPr>
                    <w:t>13</w:t>
                  </w:r>
                </w:p>
              </w:tc>
              <w:tc>
                <w:tcPr>
                  <w:tcW w:w="789" w:type="pct"/>
                  <w:vAlign w:val="center"/>
                </w:tcPr>
                <w:p w14:paraId="2EC3087B">
                  <w:pPr>
                    <w:adjustRightInd w:val="0"/>
                    <w:snapToGrid w:val="0"/>
                    <w:spacing w:before="156" w:beforeLines="50" w:after="156" w:afterLines="5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沥青洒布车</w:t>
                  </w:r>
                </w:p>
              </w:tc>
              <w:tc>
                <w:tcPr>
                  <w:tcW w:w="2879" w:type="pct"/>
                  <w:vAlign w:val="center"/>
                </w:tcPr>
                <w:p w14:paraId="77A97D2C">
                  <w:pPr>
                    <w:adjustRightInd w:val="0"/>
                    <w:snapToGrid w:val="0"/>
                    <w:spacing w:before="156" w:beforeLines="50" w:after="156" w:afterLines="50"/>
                    <w:rPr>
                      <w:rFonts w:ascii="宋体" w:hAnsi="宋体" w:cs="宋体"/>
                      <w:snapToGrid w:val="0"/>
                      <w:color w:val="auto"/>
                      <w:kern w:val="0"/>
                      <w:szCs w:val="21"/>
                      <w:highlight w:val="none"/>
                    </w:rPr>
                  </w:pPr>
                </w:p>
              </w:tc>
              <w:tc>
                <w:tcPr>
                  <w:tcW w:w="303" w:type="pct"/>
                  <w:vAlign w:val="center"/>
                </w:tcPr>
                <w:p w14:paraId="72165B90">
                  <w:pPr>
                    <w:adjustRightInd w:val="0"/>
                    <w:snapToGrid w:val="0"/>
                    <w:spacing w:before="156" w:beforeLines="50" w:after="156" w:afterLines="5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台</w:t>
                  </w:r>
                </w:p>
              </w:tc>
              <w:tc>
                <w:tcPr>
                  <w:tcW w:w="303" w:type="pct"/>
                  <w:vAlign w:val="center"/>
                </w:tcPr>
                <w:p w14:paraId="6E2FA7EE">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1</w:t>
                  </w:r>
                </w:p>
              </w:tc>
              <w:tc>
                <w:tcPr>
                  <w:tcW w:w="455" w:type="pct"/>
                  <w:vAlign w:val="center"/>
                </w:tcPr>
                <w:p w14:paraId="2E7E7B71">
                  <w:pPr>
                    <w:adjustRightInd w:val="0"/>
                    <w:snapToGrid w:val="0"/>
                    <w:spacing w:before="156" w:beforeLines="50" w:after="156" w:afterLines="50"/>
                    <w:ind w:firstLine="480"/>
                    <w:jc w:val="center"/>
                    <w:rPr>
                      <w:rFonts w:ascii="宋体" w:hAnsi="宋体" w:cs="宋体"/>
                      <w:b/>
                      <w:bCs/>
                      <w:color w:val="auto"/>
                      <w:szCs w:val="21"/>
                      <w:highlight w:val="none"/>
                    </w:rPr>
                  </w:pPr>
                </w:p>
              </w:tc>
            </w:tr>
            <w:tr w14:paraId="2418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2BABB4AD">
                  <w:pPr>
                    <w:adjustRightInd w:val="0"/>
                    <w:snapToGrid w:val="0"/>
                    <w:spacing w:before="156" w:beforeLines="50" w:after="156" w:afterLines="5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r>
                    <w:rPr>
                      <w:rFonts w:ascii="宋体" w:hAnsi="宋体" w:cs="宋体"/>
                      <w:snapToGrid w:val="0"/>
                      <w:color w:val="auto"/>
                      <w:kern w:val="0"/>
                      <w:szCs w:val="21"/>
                      <w:highlight w:val="none"/>
                    </w:rPr>
                    <w:t>4</w:t>
                  </w:r>
                </w:p>
              </w:tc>
              <w:tc>
                <w:tcPr>
                  <w:tcW w:w="789" w:type="pct"/>
                  <w:vAlign w:val="center"/>
                </w:tcPr>
                <w:p w14:paraId="2C2E549C">
                  <w:pPr>
                    <w:adjustRightInd w:val="0"/>
                    <w:snapToGrid w:val="0"/>
                    <w:spacing w:before="156" w:beforeLines="50" w:after="156" w:afterLines="5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路面灌缝机</w:t>
                  </w:r>
                </w:p>
              </w:tc>
              <w:tc>
                <w:tcPr>
                  <w:tcW w:w="2879" w:type="pct"/>
                  <w:vAlign w:val="center"/>
                </w:tcPr>
                <w:p w14:paraId="4716784E">
                  <w:pPr>
                    <w:adjustRightInd w:val="0"/>
                    <w:snapToGrid w:val="0"/>
                    <w:spacing w:before="156" w:beforeLines="50" w:after="156" w:afterLines="50"/>
                    <w:rPr>
                      <w:rFonts w:ascii="宋体" w:hAnsi="宋体" w:cs="宋体"/>
                      <w:snapToGrid w:val="0"/>
                      <w:color w:val="auto"/>
                      <w:kern w:val="0"/>
                      <w:szCs w:val="21"/>
                      <w:highlight w:val="none"/>
                    </w:rPr>
                  </w:pPr>
                </w:p>
              </w:tc>
              <w:tc>
                <w:tcPr>
                  <w:tcW w:w="303" w:type="pct"/>
                  <w:vAlign w:val="center"/>
                </w:tcPr>
                <w:p w14:paraId="07D91FBA">
                  <w:pPr>
                    <w:adjustRightInd w:val="0"/>
                    <w:snapToGrid w:val="0"/>
                    <w:spacing w:before="156" w:beforeLines="50" w:after="156" w:afterLines="5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台</w:t>
                  </w:r>
                </w:p>
              </w:tc>
              <w:tc>
                <w:tcPr>
                  <w:tcW w:w="303" w:type="pct"/>
                  <w:vAlign w:val="center"/>
                </w:tcPr>
                <w:p w14:paraId="6BED904B">
                  <w:pPr>
                    <w:adjustRightInd w:val="0"/>
                    <w:snapToGrid w:val="0"/>
                    <w:spacing w:before="156" w:beforeLines="50" w:after="156" w:afterLines="50"/>
                    <w:jc w:val="center"/>
                    <w:rPr>
                      <w:rFonts w:ascii="宋体" w:hAnsi="宋体" w:cs="宋体"/>
                      <w:snapToGrid w:val="0"/>
                      <w:color w:val="auto"/>
                      <w:kern w:val="0"/>
                      <w:szCs w:val="21"/>
                      <w:highlight w:val="none"/>
                    </w:rPr>
                  </w:pPr>
                  <w:r>
                    <w:rPr>
                      <w:rFonts w:ascii="宋体" w:hAnsi="宋体" w:cs="宋体"/>
                      <w:snapToGrid w:val="0"/>
                      <w:color w:val="auto"/>
                      <w:kern w:val="0"/>
                      <w:szCs w:val="21"/>
                      <w:highlight w:val="none"/>
                    </w:rPr>
                    <w:t>4</w:t>
                  </w:r>
                </w:p>
              </w:tc>
              <w:tc>
                <w:tcPr>
                  <w:tcW w:w="455" w:type="pct"/>
                  <w:vAlign w:val="center"/>
                </w:tcPr>
                <w:p w14:paraId="7AD2C4A3">
                  <w:pPr>
                    <w:adjustRightInd w:val="0"/>
                    <w:snapToGrid w:val="0"/>
                    <w:spacing w:before="156" w:beforeLines="50" w:after="156" w:afterLines="50"/>
                    <w:ind w:firstLine="480"/>
                    <w:jc w:val="center"/>
                    <w:rPr>
                      <w:rFonts w:ascii="宋体" w:hAnsi="宋体" w:cs="宋体"/>
                      <w:b/>
                      <w:bCs/>
                      <w:color w:val="auto"/>
                      <w:szCs w:val="21"/>
                      <w:highlight w:val="none"/>
                    </w:rPr>
                  </w:pPr>
                </w:p>
              </w:tc>
            </w:tr>
            <w:tr w14:paraId="30D3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7320F4A4">
                  <w:pPr>
                    <w:adjustRightInd w:val="0"/>
                    <w:snapToGrid w:val="0"/>
                    <w:spacing w:before="156" w:beforeLines="50" w:after="156" w:afterLines="5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r>
                    <w:rPr>
                      <w:rFonts w:ascii="宋体" w:hAnsi="宋体" w:cs="宋体"/>
                      <w:snapToGrid w:val="0"/>
                      <w:color w:val="auto"/>
                      <w:kern w:val="0"/>
                      <w:szCs w:val="21"/>
                      <w:highlight w:val="none"/>
                    </w:rPr>
                    <w:t>5</w:t>
                  </w:r>
                </w:p>
              </w:tc>
              <w:tc>
                <w:tcPr>
                  <w:tcW w:w="789" w:type="pct"/>
                  <w:vAlign w:val="center"/>
                </w:tcPr>
                <w:p w14:paraId="591FEDB9">
                  <w:pPr>
                    <w:adjustRightInd w:val="0"/>
                    <w:snapToGrid w:val="0"/>
                    <w:spacing w:before="156" w:beforeLines="50" w:after="156" w:afterLines="50"/>
                    <w:jc w:val="center"/>
                    <w:rPr>
                      <w:rFonts w:ascii="宋体" w:hAnsi="宋体" w:cs="宋体"/>
                      <w:snapToGrid w:val="0"/>
                      <w:color w:val="auto"/>
                      <w:kern w:val="0"/>
                      <w:szCs w:val="21"/>
                      <w:highlight w:val="none"/>
                    </w:rPr>
                  </w:pPr>
                  <w:r>
                    <w:rPr>
                      <w:rFonts w:hint="eastAsia" w:ascii="宋体" w:hAnsi="宋体" w:cs="宋体"/>
                      <w:color w:val="auto"/>
                      <w:kern w:val="0"/>
                      <w:szCs w:val="21"/>
                      <w:highlight w:val="none"/>
                      <w:lang w:bidi="ar"/>
                    </w:rPr>
                    <w:t>路面病害检测仪</w:t>
                  </w:r>
                </w:p>
              </w:tc>
              <w:tc>
                <w:tcPr>
                  <w:tcW w:w="2879" w:type="pct"/>
                  <w:vAlign w:val="center"/>
                </w:tcPr>
                <w:p w14:paraId="7B42DCA3">
                  <w:pPr>
                    <w:adjustRightInd w:val="0"/>
                    <w:snapToGrid w:val="0"/>
                    <w:spacing w:before="156" w:beforeLines="50" w:after="156" w:afterLines="50"/>
                    <w:rPr>
                      <w:rFonts w:ascii="宋体" w:hAnsi="宋体" w:cs="宋体"/>
                      <w:snapToGrid w:val="0"/>
                      <w:color w:val="auto"/>
                      <w:kern w:val="0"/>
                      <w:szCs w:val="21"/>
                      <w:highlight w:val="none"/>
                    </w:rPr>
                  </w:pPr>
                  <w:r>
                    <w:rPr>
                      <w:rFonts w:hint="eastAsia" w:ascii="宋体" w:hAnsi="宋体" w:cs="宋体"/>
                      <w:color w:val="auto"/>
                      <w:kern w:val="0"/>
                      <w:szCs w:val="21"/>
                      <w:highlight w:val="none"/>
                      <w:lang w:bidi="ar"/>
                    </w:rPr>
                    <w:t>可检测坑槽、裂缝等病害</w:t>
                  </w:r>
                </w:p>
              </w:tc>
              <w:tc>
                <w:tcPr>
                  <w:tcW w:w="303" w:type="pct"/>
                  <w:vAlign w:val="center"/>
                </w:tcPr>
                <w:p w14:paraId="02F8DE1C">
                  <w:pPr>
                    <w:adjustRightInd w:val="0"/>
                    <w:snapToGrid w:val="0"/>
                    <w:spacing w:before="156" w:beforeLines="50" w:after="156" w:afterLines="5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台</w:t>
                  </w:r>
                </w:p>
              </w:tc>
              <w:tc>
                <w:tcPr>
                  <w:tcW w:w="303" w:type="pct"/>
                  <w:vAlign w:val="center"/>
                </w:tcPr>
                <w:p w14:paraId="34345728">
                  <w:pPr>
                    <w:adjustRightInd w:val="0"/>
                    <w:snapToGrid w:val="0"/>
                    <w:spacing w:before="156" w:beforeLines="50" w:after="156" w:afterLines="5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p>
              </w:tc>
              <w:tc>
                <w:tcPr>
                  <w:tcW w:w="455" w:type="pct"/>
                  <w:vAlign w:val="center"/>
                </w:tcPr>
                <w:p w14:paraId="776A3945">
                  <w:pPr>
                    <w:adjustRightInd w:val="0"/>
                    <w:snapToGrid w:val="0"/>
                    <w:spacing w:before="156" w:beforeLines="50" w:after="156" w:afterLines="50"/>
                    <w:ind w:firstLine="480"/>
                    <w:jc w:val="center"/>
                    <w:rPr>
                      <w:rFonts w:ascii="宋体" w:hAnsi="宋体" w:cs="宋体"/>
                      <w:b/>
                      <w:bCs/>
                      <w:color w:val="auto"/>
                      <w:szCs w:val="21"/>
                      <w:highlight w:val="none"/>
                    </w:rPr>
                  </w:pPr>
                </w:p>
              </w:tc>
            </w:tr>
            <w:tr w14:paraId="34BB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4D77D36F">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1</w:t>
                  </w:r>
                  <w:r>
                    <w:rPr>
                      <w:rFonts w:ascii="宋体" w:hAnsi="宋体" w:cs="宋体"/>
                      <w:snapToGrid w:val="0"/>
                      <w:color w:val="auto"/>
                      <w:kern w:val="0"/>
                      <w:szCs w:val="21"/>
                      <w:highlight w:val="none"/>
                    </w:rPr>
                    <w:t>6</w:t>
                  </w:r>
                </w:p>
              </w:tc>
              <w:tc>
                <w:tcPr>
                  <w:tcW w:w="789" w:type="pct"/>
                  <w:vAlign w:val="center"/>
                </w:tcPr>
                <w:p w14:paraId="23D7DA78">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color w:val="auto"/>
                      <w:kern w:val="0"/>
                      <w:szCs w:val="21"/>
                      <w:highlight w:val="none"/>
                      <w:lang w:bidi="ar"/>
                    </w:rPr>
                    <w:t>车载一体化无人机系统</w:t>
                  </w:r>
                </w:p>
              </w:tc>
              <w:tc>
                <w:tcPr>
                  <w:tcW w:w="2879" w:type="pct"/>
                  <w:vAlign w:val="center"/>
                </w:tcPr>
                <w:p w14:paraId="3F5F92B1">
                  <w:pPr>
                    <w:spacing w:line="200" w:lineRule="exact"/>
                    <w:rPr>
                      <w:rFonts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一、适配公路日常巡检、应急处置、路况监测、病害识别、交通执法等场景，支持车载移动部署、无人值守自动作业，满足全天候、长距离、高精度公路作业需求。</w:t>
                  </w:r>
                </w:p>
                <w:p w14:paraId="508B7767">
                  <w:pPr>
                    <w:spacing w:line="200" w:lineRule="exact"/>
                    <w:rPr>
                      <w:rFonts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二、无人机核心参数</w:t>
                  </w:r>
                </w:p>
                <w:p w14:paraId="117081DD">
                  <w:pPr>
                    <w:spacing w:line="200" w:lineRule="exact"/>
                    <w:rPr>
                      <w:rFonts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 xml:space="preserve"> （一）基础性能</w:t>
                  </w:r>
                </w:p>
                <w:p w14:paraId="2432ADCA">
                  <w:pPr>
                    <w:spacing w:line="200" w:lineRule="exact"/>
                    <w:rPr>
                      <w:rFonts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 xml:space="preserve"> 整机≤2090g，IP55，-20℃~45℃，抗风≥12m/s，续航≥47分钟（10km半径≥18分钟），RTK定位（水平±1cm+1ppm，垂直±2cm+1ppm，支持单北斗）</w:t>
                  </w:r>
                </w:p>
                <w:p w14:paraId="4741E231">
                  <w:pPr>
                    <w:spacing w:line="200" w:lineRule="exact"/>
                    <w:rPr>
                      <w:rFonts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 xml:space="preserve"> （二）成像载荷</w:t>
                  </w:r>
                </w:p>
                <w:p w14:paraId="458F5A67">
                  <w:pPr>
                    <w:spacing w:line="200" w:lineRule="exact"/>
                    <w:rPr>
                      <w:rFonts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广角（4/3英寸、2000万像素、4K/60fps）、中长焦（1/1.3英寸、4800万像素）、长焦（1/1.5英寸、4800万像素，250米外识别车牌/裂缝）、激光测距≥1800m</w:t>
                  </w:r>
                </w:p>
                <w:p w14:paraId="278BEAC6">
                  <w:pPr>
                    <w:spacing w:line="200" w:lineRule="exact"/>
                    <w:rPr>
                      <w:rFonts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 xml:space="preserve"> （三）外挂拓展模块</w:t>
                  </w:r>
                </w:p>
                <w:p w14:paraId="3DBA811A">
                  <w:pPr>
                    <w:spacing w:line="200" w:lineRule="exact"/>
                    <w:rPr>
                      <w:rFonts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 xml:space="preserve"> 扬声器（≥30W，≥300米）、探照灯（≥10000流明，≥500米）</w:t>
                  </w:r>
                </w:p>
                <w:p w14:paraId="36F78DC0">
                  <w:pPr>
                    <w:spacing w:line="200" w:lineRule="exact"/>
                    <w:rPr>
                      <w:rFonts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 xml:space="preserve"> （四）智能功能（公路场景适配）</w:t>
                  </w:r>
                </w:p>
                <w:p w14:paraId="5205C748">
                  <w:pPr>
                    <w:spacing w:line="200" w:lineRule="exact"/>
                    <w:rPr>
                      <w:rFonts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全向避障（含导线级）；AI识别路面裂缝/坑槽/积水/标志损坏/拥堵/事故/塌方/抛洒物/安全帽等，准确率≥85%；带状航线/仿地飞行/断点续飞；O4+图传≥20km</w:t>
                  </w:r>
                </w:p>
                <w:p w14:paraId="42BAE867">
                  <w:pPr>
                    <w:spacing w:line="200" w:lineRule="exact"/>
                    <w:rPr>
                      <w:rFonts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三、车载机场核心参数</w:t>
                  </w:r>
                </w:p>
                <w:p w14:paraId="177289B1">
                  <w:pPr>
                    <w:spacing w:line="200" w:lineRule="exact"/>
                    <w:rPr>
                      <w:rFonts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 xml:space="preserve"> （一）车载适配性（核心要求）</w:t>
                  </w:r>
                </w:p>
                <w:p w14:paraId="20190FB6">
                  <w:pPr>
                    <w:spacing w:line="200" w:lineRule="exact"/>
                    <w:rPr>
                      <w:rFonts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皮卡/作业车后斗安装（含原车改装）；参考尺寸：闭合640×745×770mm、开启1760×745×485mm；重量≤55kg（不含无人机），IP56，-30℃~50℃（内置空调）</w:t>
                  </w:r>
                </w:p>
                <w:p w14:paraId="7C7C8CBC">
                  <w:pPr>
                    <w:spacing w:line="200" w:lineRule="exact"/>
                    <w:rPr>
                      <w:rFonts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 xml:space="preserve"> （二）自动化能力</w:t>
                  </w:r>
                </w:p>
                <w:p w14:paraId="512FFD69">
                  <w:pPr>
                    <w:spacing w:line="200" w:lineRule="exact"/>
                    <w:rPr>
                      <w:rFonts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 xml:space="preserve"> 自动开合/起降/归中/充电/换电/数据同步；15%~95%充电≤30分钟；4G/5G，下载≥20MB/s；风速计/雨量计自动禁飞</w:t>
                  </w:r>
                </w:p>
                <w:p w14:paraId="39197B63">
                  <w:pPr>
                    <w:spacing w:line="200" w:lineRule="exact"/>
                    <w:rPr>
                      <w:rFonts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 xml:space="preserve"> （三）供电与通信</w:t>
                  </w:r>
                </w:p>
                <w:p w14:paraId="219F616E">
                  <w:pPr>
                    <w:spacing w:line="200" w:lineRule="exact"/>
                    <w:rPr>
                      <w:rFonts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 xml:space="preserve"> 1.供电方式：车载12V/24V+市电双输入；备用电池≥200Ah（脱离车载续航≥8小时）；内置D-RTK 3；云端远程管理</w:t>
                  </w:r>
                </w:p>
                <w:p w14:paraId="7A6971FA">
                  <w:pPr>
                    <w:spacing w:line="200" w:lineRule="exact"/>
                    <w:rPr>
                      <w:rFonts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四、车载配套系统</w:t>
                  </w:r>
                </w:p>
                <w:p w14:paraId="139A59C8">
                  <w:pPr>
                    <w:adjustRightInd w:val="0"/>
                    <w:snapToGrid w:val="0"/>
                    <w:spacing w:before="156" w:beforeLines="50" w:after="156" w:afterLines="50" w:line="200" w:lineRule="exact"/>
                    <w:rPr>
                      <w:rFonts w:ascii="宋体" w:hAnsi="宋体" w:cs="宋体"/>
                      <w:color w:val="auto"/>
                      <w:sz w:val="16"/>
                      <w:szCs w:val="16"/>
                      <w:highlight w:val="none"/>
                    </w:rPr>
                  </w:pPr>
                  <w:r>
                    <w:rPr>
                      <w:rFonts w:hint="eastAsia" w:ascii="宋体" w:hAnsi="宋体" w:cs="宋体"/>
                      <w:color w:val="auto"/>
                      <w:kern w:val="0"/>
                      <w:sz w:val="16"/>
                      <w:szCs w:val="16"/>
                      <w:highlight w:val="none"/>
                      <w:lang w:bidi="ar"/>
                    </w:rPr>
                    <w:t xml:space="preserve"> 减震支架、锁止机构；车载逆变器+稳压电源（应急续航≥4小时）；行业版遥控器；接入原有管理平台</w:t>
                  </w:r>
                </w:p>
              </w:tc>
              <w:tc>
                <w:tcPr>
                  <w:tcW w:w="303" w:type="pct"/>
                  <w:vAlign w:val="center"/>
                </w:tcPr>
                <w:p w14:paraId="570CD02A">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b/>
                      <w:bCs/>
                      <w:color w:val="auto"/>
                      <w:szCs w:val="21"/>
                      <w:highlight w:val="none"/>
                    </w:rPr>
                    <w:t>套</w:t>
                  </w:r>
                </w:p>
              </w:tc>
              <w:tc>
                <w:tcPr>
                  <w:tcW w:w="303" w:type="pct"/>
                  <w:vAlign w:val="center"/>
                </w:tcPr>
                <w:p w14:paraId="168F27FA">
                  <w:pPr>
                    <w:adjustRightInd w:val="0"/>
                    <w:snapToGrid w:val="0"/>
                    <w:spacing w:before="156" w:beforeLines="50" w:after="156" w:afterLines="50"/>
                    <w:jc w:val="center"/>
                    <w:rPr>
                      <w:rFonts w:ascii="宋体" w:hAnsi="宋体" w:cs="宋体"/>
                      <w:b/>
                      <w:bCs/>
                      <w:color w:val="auto"/>
                      <w:szCs w:val="21"/>
                      <w:highlight w:val="none"/>
                    </w:rPr>
                  </w:pPr>
                  <w:r>
                    <w:rPr>
                      <w:rFonts w:ascii="宋体" w:hAnsi="宋体" w:cs="宋体"/>
                      <w:snapToGrid w:val="0"/>
                      <w:color w:val="auto"/>
                      <w:kern w:val="0"/>
                      <w:szCs w:val="21"/>
                      <w:highlight w:val="none"/>
                    </w:rPr>
                    <w:t>4</w:t>
                  </w:r>
                </w:p>
              </w:tc>
              <w:tc>
                <w:tcPr>
                  <w:tcW w:w="455" w:type="pct"/>
                  <w:vAlign w:val="center"/>
                </w:tcPr>
                <w:p w14:paraId="5914AAFA">
                  <w:pPr>
                    <w:adjustRightInd w:val="0"/>
                    <w:snapToGrid w:val="0"/>
                    <w:spacing w:before="156" w:beforeLines="50" w:after="156" w:afterLines="50"/>
                    <w:rPr>
                      <w:rFonts w:ascii="宋体" w:hAnsi="宋体" w:cs="宋体"/>
                      <w:b/>
                      <w:bCs/>
                      <w:color w:val="auto"/>
                      <w:szCs w:val="21"/>
                      <w:highlight w:val="none"/>
                    </w:rPr>
                  </w:pPr>
                </w:p>
              </w:tc>
            </w:tr>
          </w:tbl>
          <w:p w14:paraId="52CD537C">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b/>
                <w:bCs/>
                <w:color w:val="auto"/>
                <w:sz w:val="21"/>
                <w:szCs w:val="21"/>
                <w:highlight w:val="none"/>
                <w:lang w:val="en-US" w:eastAsia="zh-CN"/>
              </w:rPr>
            </w:pPr>
          </w:p>
          <w:p w14:paraId="401D7658">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投标人一旦中标，应按养护计划阶段性配备对应数量机械（需配置车载360度全景安全监测系统），并报发包人审核；大型机械设备可与周边设备商合作联动，保证应急响应。投标人在所投标项目中需提供的主要机械设备和试验检测设备，须在投标文件中提交承诺函（格式自拟）予以响应。拟投入数量为承诺制，在合同履行阶段复核。</w:t>
            </w:r>
          </w:p>
          <w:p w14:paraId="33E2D3A6">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kern w:val="2"/>
                <w:sz w:val="21"/>
                <w:szCs w:val="21"/>
                <w:highlight w:val="none"/>
                <w:lang w:val="en-US" w:eastAsia="zh-CN" w:bidi="ar-SA"/>
              </w:rPr>
              <w:t>十、</w:t>
            </w:r>
            <w:r>
              <w:rPr>
                <w:rFonts w:hint="eastAsia" w:ascii="宋体" w:hAnsi="宋体" w:eastAsia="宋体" w:cs="宋体"/>
                <w:b w:val="0"/>
                <w:bCs w:val="0"/>
                <w:color w:val="auto"/>
                <w:sz w:val="21"/>
                <w:szCs w:val="21"/>
                <w:highlight w:val="none"/>
              </w:rPr>
              <w:t>安全目标：</w:t>
            </w:r>
            <w:r>
              <w:rPr>
                <w:rFonts w:hint="eastAsia" w:ascii="宋体" w:hAnsi="宋体" w:eastAsia="宋体" w:cs="宋体"/>
                <w:b w:val="0"/>
                <w:bCs w:val="0"/>
                <w:color w:val="auto"/>
                <w:sz w:val="21"/>
                <w:szCs w:val="21"/>
                <w:highlight w:val="none"/>
              </w:rPr>
              <w:t>无生产安全责任事故。</w:t>
            </w:r>
          </w:p>
          <w:p w14:paraId="06D55043">
            <w:pPr>
              <w:keepNext w:val="0"/>
              <w:keepLines w:val="0"/>
              <w:pageBreakBefore w:val="0"/>
              <w:numPr>
                <w:ilvl w:val="0"/>
                <w:numId w:val="0"/>
              </w:numPr>
              <w:wordWrap/>
              <w:overflowPunct/>
              <w:topLinePunct w:val="0"/>
              <w:bidi w:val="0"/>
              <w:spacing w:before="0" w:beforeLines="50" w:after="0" w:afterLines="50" w:line="36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十一</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sz w:val="21"/>
                <w:szCs w:val="21"/>
                <w:highlight w:val="none"/>
                <w:lang w:eastAsia="zh-CN"/>
              </w:rPr>
              <w:t>环保要求：项目实施期间，</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lang w:eastAsia="zh-CN"/>
              </w:rPr>
              <w:t>人需落实环保及节能减排主体责任和相关要求，确保不发生县级以上相关部门关于环保问题的负面通报。</w:t>
            </w:r>
          </w:p>
          <w:p w14:paraId="7538C7A8">
            <w:pPr>
              <w:keepNext w:val="0"/>
              <w:keepLines w:val="0"/>
              <w:pageBreakBefore w:val="0"/>
              <w:numPr>
                <w:ilvl w:val="0"/>
                <w:numId w:val="0"/>
              </w:numPr>
              <w:wordWrap/>
              <w:overflowPunct/>
              <w:topLinePunct w:val="0"/>
              <w:bidi w:val="0"/>
              <w:spacing w:before="0" w:beforeLines="50" w:after="0" w:afterLines="50" w:line="360" w:lineRule="auto"/>
              <w:rPr>
                <w:rFonts w:hint="default"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十二、为响应国家富农、强农、惠农、兴农、助农及“乡村振兴”等，推动农村富余劳动力转移就业，增加当地农民劳务收入，改善当地农民经济生活，中标供应商须承诺中标后现场养护工人在同等基础条件下优先使用本地农民工，未作承诺的，作否决投标处理。</w:t>
            </w:r>
          </w:p>
        </w:tc>
      </w:tr>
      <w:tr w14:paraId="15BAB2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9922" w:type="dxa"/>
            <w:gridSpan w:val="4"/>
            <w:tcBorders>
              <w:top w:val="single" w:color="auto" w:sz="4" w:space="0"/>
              <w:left w:val="single" w:color="auto" w:sz="4" w:space="0"/>
              <w:bottom w:val="single" w:color="auto" w:sz="4" w:space="0"/>
              <w:right w:val="single" w:color="auto" w:sz="4" w:space="0"/>
            </w:tcBorders>
            <w:noWrap w:val="0"/>
            <w:vAlign w:val="center"/>
          </w:tcPr>
          <w:p w14:paraId="64939EE8">
            <w:pPr>
              <w:keepNext w:val="0"/>
              <w:keepLines w:val="0"/>
              <w:pageBreakBefore w:val="0"/>
              <w:wordWrap/>
              <w:overflowPunct/>
              <w:topLinePunct w:val="0"/>
              <w:bidi w:val="0"/>
              <w:spacing w:before="0" w:beforeLines="50" w:after="0" w:afterLines="50" w:line="360" w:lineRule="auto"/>
              <w:jc w:val="both"/>
              <w:outlineLvl w:val="1"/>
              <w:rPr>
                <w:rFonts w:hint="eastAsia" w:ascii="宋体" w:hAnsi="宋体" w:eastAsia="宋体" w:cs="宋体"/>
                <w:color w:val="auto"/>
                <w:sz w:val="24"/>
                <w:szCs w:val="24"/>
                <w:highlight w:val="none"/>
              </w:rPr>
            </w:pPr>
            <w:bookmarkStart w:id="1" w:name="_Toc13781"/>
            <w:r>
              <w:rPr>
                <w:rFonts w:hint="eastAsia" w:ascii="宋体" w:hAnsi="宋体" w:cs="宋体"/>
                <w:b/>
                <w:color w:val="auto"/>
                <w:sz w:val="24"/>
                <w:szCs w:val="24"/>
                <w:highlight w:val="none"/>
                <w:lang w:eastAsia="zh-CN"/>
              </w:rPr>
              <w:t>二、</w:t>
            </w:r>
            <w:r>
              <w:rPr>
                <w:rFonts w:hint="eastAsia" w:ascii="宋体" w:hAnsi="宋体" w:eastAsia="宋体" w:cs="宋体"/>
                <w:b/>
                <w:color w:val="auto"/>
                <w:sz w:val="24"/>
                <w:szCs w:val="24"/>
                <w:highlight w:val="none"/>
              </w:rPr>
              <w:t>商务要求</w:t>
            </w:r>
            <w:bookmarkEnd w:id="1"/>
          </w:p>
        </w:tc>
      </w:tr>
      <w:tr w14:paraId="7AE769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00" w:type="dxa"/>
            <w:gridSpan w:val="2"/>
            <w:tcBorders>
              <w:top w:val="single" w:color="auto" w:sz="4" w:space="0"/>
              <w:left w:val="single" w:color="auto" w:sz="4" w:space="0"/>
              <w:bottom w:val="single" w:color="auto" w:sz="4" w:space="0"/>
              <w:right w:val="single" w:color="auto" w:sz="4" w:space="0"/>
            </w:tcBorders>
            <w:noWrap w:val="0"/>
            <w:vAlign w:val="center"/>
          </w:tcPr>
          <w:p w14:paraId="4B85853A">
            <w:pPr>
              <w:keepNext w:val="0"/>
              <w:keepLines w:val="0"/>
              <w:pageBreakBefore w:val="0"/>
              <w:wordWrap/>
              <w:overflowPunct/>
              <w:topLinePunct w:val="0"/>
              <w:bidi w:val="0"/>
              <w:snapToGrid w:val="0"/>
              <w:spacing w:before="0" w:beforeLines="50" w:after="0" w:afterLines="50" w:line="360" w:lineRule="auto"/>
              <w:jc w:val="center"/>
              <w:rPr>
                <w:rFonts w:hint="eastAsia" w:ascii="宋体" w:hAnsi="宋体" w:eastAsia="宋体" w:cs="宋体"/>
                <w:color w:val="auto"/>
                <w:sz w:val="21"/>
                <w:szCs w:val="21"/>
                <w:highlight w:val="none"/>
              </w:rPr>
            </w:pPr>
            <w:bookmarkStart w:id="2" w:name="_GoBack" w:colFirst="2" w:colLast="3"/>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服务期限</w:t>
            </w:r>
            <w:r>
              <w:rPr>
                <w:rFonts w:hint="eastAsia" w:ascii="宋体" w:hAnsi="宋体" w:eastAsia="宋体" w:cs="宋体"/>
                <w:color w:val="auto"/>
                <w:sz w:val="21"/>
                <w:szCs w:val="21"/>
                <w:highlight w:val="none"/>
              </w:rPr>
              <w:t>及地点</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508AB299">
            <w:pPr>
              <w:keepNext w:val="0"/>
              <w:keepLines w:val="0"/>
              <w:pageBreakBefore w:val="0"/>
              <w:widowControl w:val="0"/>
              <w:kinsoku/>
              <w:wordWrap/>
              <w:overflowPunct/>
              <w:topLinePunct w:val="0"/>
              <w:autoSpaceDE/>
              <w:autoSpaceDN/>
              <w:bidi w:val="0"/>
              <w:adjustRightInd/>
              <w:snapToGrid w:val="0"/>
              <w:spacing w:before="0" w:beforeLines="30" w:after="0" w:afterLines="3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服务期限</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从开工日期算起 36 个月。</w:t>
            </w:r>
          </w:p>
          <w:p w14:paraId="5EE64A2A">
            <w:pPr>
              <w:keepNext w:val="0"/>
              <w:keepLines w:val="0"/>
              <w:pageBreakBefore w:val="0"/>
              <w:widowControl w:val="0"/>
              <w:kinsoku/>
              <w:wordWrap/>
              <w:overflowPunct/>
              <w:topLinePunct w:val="0"/>
              <w:autoSpaceDE/>
              <w:autoSpaceDN/>
              <w:bidi w:val="0"/>
              <w:adjustRightInd/>
              <w:snapToGrid w:val="0"/>
              <w:spacing w:before="0" w:beforeLines="30" w:after="0" w:afterLines="30"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服务地点</w:t>
            </w:r>
            <w:r>
              <w:rPr>
                <w:rFonts w:hint="eastAsia" w:ascii="宋体" w:hAnsi="宋体" w:eastAsia="宋体" w:cs="宋体"/>
                <w:color w:val="auto"/>
                <w:sz w:val="21"/>
                <w:szCs w:val="21"/>
                <w:highlight w:val="none"/>
              </w:rPr>
              <w:t>：</w:t>
            </w:r>
          </w:p>
          <w:p w14:paraId="427B94D7">
            <w:pPr>
              <w:keepNext w:val="0"/>
              <w:keepLines w:val="0"/>
              <w:pageBreakBefore w:val="0"/>
              <w:kinsoku/>
              <w:wordWrap/>
              <w:overflowPunct/>
              <w:topLinePunct w:val="0"/>
              <w:bidi w:val="0"/>
              <w:adjustRightInd/>
              <w:snapToGrid w:val="0"/>
              <w:spacing w:before="0" w:beforeLines="30" w:after="0" w:afterLines="30" w:line="3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lang w:eastAsia="zh-CN"/>
              </w:rPr>
              <w:t>广西壮族自治区横县公路养护中心</w:t>
            </w:r>
            <w:r>
              <w:rPr>
                <w:rFonts w:hint="eastAsia" w:ascii="宋体" w:hAnsi="宋体" w:eastAsia="宋体" w:cs="宋体"/>
                <w:color w:val="auto"/>
                <w:szCs w:val="21"/>
                <w:highlight w:val="none"/>
                <w:lang w:val="en-US" w:eastAsia="zh-CN"/>
              </w:rPr>
              <w:t>2026-2028年公路日常养护服务项目</w:t>
            </w:r>
            <w:r>
              <w:rPr>
                <w:rFonts w:hint="eastAsia" w:ascii="宋体" w:hAnsi="宋体" w:eastAsia="宋体" w:cs="宋体"/>
                <w:color w:val="auto"/>
                <w:sz w:val="21"/>
                <w:szCs w:val="21"/>
                <w:highlight w:val="none"/>
                <w:lang w:eastAsia="zh-CN"/>
              </w:rPr>
              <w:t>：广西壮族自治区南宁横州市境内；</w:t>
            </w:r>
          </w:p>
          <w:p w14:paraId="62F255E2">
            <w:pPr>
              <w:keepNext w:val="0"/>
              <w:keepLines w:val="0"/>
              <w:pageBreakBefore w:val="0"/>
              <w:kinsoku/>
              <w:wordWrap/>
              <w:overflowPunct/>
              <w:topLinePunct w:val="0"/>
              <w:bidi w:val="0"/>
              <w:adjustRightInd/>
              <w:snapToGrid w:val="0"/>
              <w:spacing w:before="0" w:beforeLines="30" w:after="0" w:afterLines="30" w:line="3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lang w:eastAsia="zh-CN"/>
              </w:rPr>
              <w:t>广西壮族自治区宾阳公路养护中心</w:t>
            </w:r>
            <w:r>
              <w:rPr>
                <w:rFonts w:hint="eastAsia" w:ascii="宋体" w:hAnsi="宋体" w:eastAsia="宋体" w:cs="宋体"/>
                <w:color w:val="auto"/>
                <w:szCs w:val="21"/>
                <w:highlight w:val="none"/>
                <w:lang w:val="en-US" w:eastAsia="zh-CN"/>
              </w:rPr>
              <w:t>2026-2028年公路日常养护服务项目</w:t>
            </w:r>
            <w:r>
              <w:rPr>
                <w:rFonts w:hint="eastAsia" w:ascii="宋体" w:hAnsi="宋体" w:eastAsia="宋体" w:cs="宋体"/>
                <w:color w:val="auto"/>
                <w:sz w:val="21"/>
                <w:szCs w:val="21"/>
                <w:highlight w:val="none"/>
                <w:lang w:eastAsia="zh-CN"/>
              </w:rPr>
              <w:t>：广西壮族自治区南宁市</w:t>
            </w:r>
            <w:r>
              <w:rPr>
                <w:rFonts w:hint="eastAsia" w:ascii="宋体" w:hAnsi="宋体" w:eastAsia="宋体" w:cs="宋体"/>
                <w:color w:val="auto"/>
                <w:szCs w:val="21"/>
                <w:highlight w:val="none"/>
                <w:lang w:eastAsia="zh-CN"/>
              </w:rPr>
              <w:t>宾阳县</w:t>
            </w:r>
            <w:r>
              <w:rPr>
                <w:rFonts w:hint="eastAsia" w:ascii="宋体" w:hAnsi="宋体" w:eastAsia="宋体" w:cs="宋体"/>
                <w:color w:val="auto"/>
                <w:sz w:val="21"/>
                <w:szCs w:val="21"/>
                <w:highlight w:val="none"/>
                <w:lang w:eastAsia="zh-CN"/>
              </w:rPr>
              <w:t>境内；</w:t>
            </w:r>
          </w:p>
          <w:p w14:paraId="54EEAFC5">
            <w:pPr>
              <w:keepNext w:val="0"/>
              <w:keepLines w:val="0"/>
              <w:pageBreakBefore w:val="0"/>
              <w:kinsoku/>
              <w:wordWrap/>
              <w:overflowPunct/>
              <w:topLinePunct w:val="0"/>
              <w:bidi w:val="0"/>
              <w:adjustRightInd/>
              <w:snapToGrid w:val="0"/>
              <w:spacing w:before="0" w:beforeLines="30" w:after="0" w:afterLines="30" w:line="3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lang w:eastAsia="zh-CN"/>
              </w:rPr>
              <w:t>广西壮族自治区上林公路养护中心</w:t>
            </w:r>
            <w:r>
              <w:rPr>
                <w:rFonts w:hint="eastAsia" w:ascii="宋体" w:hAnsi="宋体" w:eastAsia="宋体" w:cs="宋体"/>
                <w:color w:val="auto"/>
                <w:szCs w:val="21"/>
                <w:highlight w:val="none"/>
                <w:lang w:val="en-US" w:eastAsia="zh-CN"/>
              </w:rPr>
              <w:t>2026-2028年公路日常养护服务项目</w:t>
            </w:r>
            <w:r>
              <w:rPr>
                <w:rFonts w:hint="eastAsia" w:ascii="宋体" w:hAnsi="宋体" w:eastAsia="宋体" w:cs="宋体"/>
                <w:color w:val="auto"/>
                <w:sz w:val="21"/>
                <w:szCs w:val="21"/>
                <w:highlight w:val="none"/>
                <w:lang w:eastAsia="zh-CN"/>
              </w:rPr>
              <w:t>：广西壮族自治区南宁市</w:t>
            </w:r>
            <w:r>
              <w:rPr>
                <w:rFonts w:hint="eastAsia" w:ascii="宋体" w:hAnsi="宋体" w:eastAsia="宋体" w:cs="宋体"/>
                <w:color w:val="auto"/>
                <w:szCs w:val="21"/>
                <w:highlight w:val="none"/>
                <w:lang w:eastAsia="zh-CN"/>
              </w:rPr>
              <w:t>上林</w:t>
            </w:r>
            <w:r>
              <w:rPr>
                <w:rFonts w:hint="eastAsia" w:ascii="宋体" w:hAnsi="宋体" w:eastAsia="宋体" w:cs="宋体"/>
                <w:color w:val="auto"/>
                <w:sz w:val="21"/>
                <w:szCs w:val="21"/>
                <w:highlight w:val="none"/>
                <w:lang w:eastAsia="zh-CN"/>
              </w:rPr>
              <w:t>县境内；</w:t>
            </w:r>
          </w:p>
          <w:p w14:paraId="08AC9A49">
            <w:pPr>
              <w:keepNext w:val="0"/>
              <w:keepLines w:val="0"/>
              <w:pageBreakBefore w:val="0"/>
              <w:kinsoku/>
              <w:wordWrap/>
              <w:overflowPunct/>
              <w:topLinePunct w:val="0"/>
              <w:bidi w:val="0"/>
              <w:adjustRightInd/>
              <w:snapToGrid w:val="0"/>
              <w:spacing w:before="0" w:beforeLines="30" w:after="0" w:afterLines="30" w:line="3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lang w:eastAsia="zh-CN"/>
              </w:rPr>
              <w:t>广西壮族自治区马山公路养护中心</w:t>
            </w:r>
            <w:r>
              <w:rPr>
                <w:rFonts w:hint="eastAsia" w:ascii="宋体" w:hAnsi="宋体" w:eastAsia="宋体" w:cs="宋体"/>
                <w:color w:val="auto"/>
                <w:szCs w:val="21"/>
                <w:highlight w:val="none"/>
                <w:lang w:val="en-US" w:eastAsia="zh-CN"/>
              </w:rPr>
              <w:t>2026-2028年公路日常养护服务项目</w:t>
            </w:r>
            <w:r>
              <w:rPr>
                <w:rFonts w:hint="eastAsia" w:ascii="宋体" w:hAnsi="宋体" w:eastAsia="宋体" w:cs="宋体"/>
                <w:color w:val="auto"/>
                <w:sz w:val="21"/>
                <w:szCs w:val="21"/>
                <w:highlight w:val="none"/>
                <w:lang w:eastAsia="zh-CN"/>
              </w:rPr>
              <w:t>：广西壮族自治区南宁市</w:t>
            </w:r>
            <w:r>
              <w:rPr>
                <w:rFonts w:hint="eastAsia" w:ascii="宋体" w:hAnsi="宋体" w:eastAsia="宋体" w:cs="宋体"/>
                <w:color w:val="auto"/>
                <w:szCs w:val="21"/>
                <w:highlight w:val="none"/>
                <w:lang w:eastAsia="zh-CN"/>
              </w:rPr>
              <w:t>马山</w:t>
            </w:r>
            <w:r>
              <w:rPr>
                <w:rFonts w:hint="eastAsia" w:ascii="宋体" w:hAnsi="宋体" w:eastAsia="宋体" w:cs="宋体"/>
                <w:color w:val="auto"/>
                <w:sz w:val="21"/>
                <w:szCs w:val="21"/>
                <w:highlight w:val="none"/>
                <w:lang w:eastAsia="zh-CN"/>
              </w:rPr>
              <w:t>县境内；</w:t>
            </w:r>
          </w:p>
        </w:tc>
      </w:tr>
      <w:tr w14:paraId="0D318E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00" w:type="dxa"/>
            <w:gridSpan w:val="2"/>
            <w:tcBorders>
              <w:top w:val="single" w:color="auto" w:sz="4" w:space="0"/>
              <w:left w:val="single" w:color="auto" w:sz="4" w:space="0"/>
              <w:bottom w:val="single" w:color="auto" w:sz="4" w:space="0"/>
              <w:right w:val="single" w:color="auto" w:sz="4" w:space="0"/>
            </w:tcBorders>
            <w:noWrap w:val="0"/>
            <w:vAlign w:val="center"/>
          </w:tcPr>
          <w:p w14:paraId="6209987A">
            <w:pPr>
              <w:keepNext w:val="0"/>
              <w:keepLines w:val="0"/>
              <w:pageBreakBefore w:val="0"/>
              <w:wordWrap/>
              <w:overflowPunct/>
              <w:topLinePunct w:val="0"/>
              <w:bidi w:val="0"/>
              <w:spacing w:before="0" w:beforeLines="50" w:after="0" w:afterLines="50"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▲合同签订时间</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4B46F2D0">
            <w:pPr>
              <w:keepNext w:val="0"/>
              <w:keepLines w:val="0"/>
              <w:pageBreakBefore w:val="0"/>
              <w:kinsoku/>
              <w:wordWrap/>
              <w:overflowPunct/>
              <w:topLinePunct w:val="0"/>
              <w:bidi w:val="0"/>
              <w:adjustRightInd/>
              <w:spacing w:before="0" w:beforeLines="30" w:after="0" w:afterLines="30"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自中标通知书发出之日起25日内。</w:t>
            </w:r>
          </w:p>
          <w:p w14:paraId="299A71EB">
            <w:pPr>
              <w:keepNext w:val="0"/>
              <w:keepLines w:val="0"/>
              <w:pageBreakBefore w:val="0"/>
              <w:kinsoku/>
              <w:wordWrap/>
              <w:overflowPunct/>
              <w:topLinePunct w:val="0"/>
              <w:bidi w:val="0"/>
              <w:adjustRightInd/>
              <w:spacing w:before="0" w:beforeLines="30" w:after="0" w:afterLines="30"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人系</w:t>
            </w:r>
            <w:r>
              <w:rPr>
                <w:rFonts w:hint="eastAsia" w:ascii="宋体" w:hAnsi="宋体" w:eastAsia="宋体" w:cs="宋体"/>
                <w:color w:val="auto"/>
                <w:sz w:val="21"/>
                <w:szCs w:val="21"/>
                <w:highlight w:val="none"/>
                <w:lang w:eastAsia="zh-CN"/>
              </w:rPr>
              <w:t>南宁</w:t>
            </w:r>
            <w:r>
              <w:rPr>
                <w:rFonts w:hint="eastAsia" w:ascii="宋体" w:hAnsi="宋体" w:eastAsia="宋体" w:cs="宋体"/>
                <w:color w:val="auto"/>
                <w:sz w:val="21"/>
                <w:szCs w:val="21"/>
                <w:highlight w:val="none"/>
              </w:rPr>
              <w:t>市国省干线县级公路养护中心公路日常养护服务集中</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项目。经广西壮族自治区</w:t>
            </w:r>
            <w:r>
              <w:rPr>
                <w:rFonts w:hint="eastAsia" w:ascii="宋体" w:hAnsi="宋体" w:eastAsia="宋体" w:cs="宋体"/>
                <w:color w:val="auto"/>
                <w:sz w:val="21"/>
                <w:szCs w:val="21"/>
                <w:highlight w:val="none"/>
                <w:lang w:eastAsia="zh-CN"/>
              </w:rPr>
              <w:t>桂西</w:t>
            </w:r>
            <w:r>
              <w:rPr>
                <w:rFonts w:hint="eastAsia" w:ascii="宋体" w:hAnsi="宋体" w:eastAsia="宋体" w:cs="宋体"/>
                <w:color w:val="auto"/>
                <w:sz w:val="21"/>
                <w:szCs w:val="21"/>
                <w:highlight w:val="none"/>
              </w:rPr>
              <w:t>公路发展中心统筹安排，由</w:t>
            </w:r>
            <w:r>
              <w:rPr>
                <w:rFonts w:hint="eastAsia" w:ascii="宋体" w:hAnsi="宋体" w:eastAsia="宋体" w:cs="宋体"/>
                <w:color w:val="auto"/>
                <w:sz w:val="21"/>
                <w:szCs w:val="21"/>
                <w:highlight w:val="none"/>
                <w:lang w:eastAsia="zh-CN"/>
              </w:rPr>
              <w:t>广西壮族自治区</w:t>
            </w:r>
            <w:r>
              <w:rPr>
                <w:rFonts w:hint="eastAsia" w:ascii="宋体" w:hAnsi="宋体" w:eastAsia="宋体" w:cs="宋体"/>
                <w:color w:val="auto"/>
                <w:sz w:val="21"/>
                <w:szCs w:val="21"/>
                <w:highlight w:val="none"/>
                <w:lang w:eastAsia="zh-CN"/>
              </w:rPr>
              <w:t>宾阳</w:t>
            </w:r>
            <w:r>
              <w:rPr>
                <w:rFonts w:hint="eastAsia" w:ascii="宋体" w:hAnsi="宋体" w:eastAsia="宋体" w:cs="宋体"/>
                <w:color w:val="auto"/>
                <w:sz w:val="21"/>
                <w:szCs w:val="21"/>
                <w:highlight w:val="none"/>
                <w:lang w:eastAsia="zh-CN"/>
              </w:rPr>
              <w:t>公路养护中心</w:t>
            </w:r>
            <w:r>
              <w:rPr>
                <w:rFonts w:hint="eastAsia" w:ascii="宋体" w:hAnsi="宋体" w:eastAsia="宋体" w:cs="宋体"/>
                <w:color w:val="auto"/>
                <w:sz w:val="21"/>
                <w:szCs w:val="21"/>
                <w:highlight w:val="none"/>
              </w:rPr>
              <w:t>为牵头</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人。牵头</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人受联合</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人共同委托开展</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工作，</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分别与各</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人签订公路日常养护服务合同。牵头</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人负责统筹协调合同履约管理，各</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人负责本辖区养护任务下达、现场监管及费用支付。各</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人按本辖区养护工作量单独向</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支付服务费用。</w:t>
            </w:r>
          </w:p>
        </w:tc>
      </w:tr>
      <w:tr w14:paraId="251FA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00" w:type="dxa"/>
            <w:gridSpan w:val="2"/>
            <w:tcBorders>
              <w:top w:val="single" w:color="auto" w:sz="4" w:space="0"/>
              <w:left w:val="single" w:color="auto" w:sz="4" w:space="0"/>
              <w:bottom w:val="single" w:color="auto" w:sz="4" w:space="0"/>
              <w:right w:val="single" w:color="auto" w:sz="4" w:space="0"/>
            </w:tcBorders>
            <w:noWrap w:val="0"/>
            <w:vAlign w:val="center"/>
          </w:tcPr>
          <w:p w14:paraId="76DF87AB">
            <w:pPr>
              <w:keepNext w:val="0"/>
              <w:keepLines w:val="0"/>
              <w:pageBreakBefore w:val="0"/>
              <w:wordWrap/>
              <w:overflowPunct/>
              <w:topLinePunct w:val="0"/>
              <w:bidi w:val="0"/>
              <w:snapToGrid w:val="0"/>
              <w:spacing w:before="0" w:beforeLines="50" w:after="0" w:after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▲付款条件</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61F9344A">
            <w:pPr>
              <w:keepNext w:val="0"/>
              <w:keepLines w:val="0"/>
              <w:pageBreakBefore w:val="0"/>
              <w:widowControl/>
              <w:numPr>
                <w:ilvl w:val="0"/>
                <w:numId w:val="0"/>
              </w:numPr>
              <w:kinsoku/>
              <w:wordWrap/>
              <w:overflowPunct/>
              <w:topLinePunct w:val="0"/>
              <w:autoSpaceDE w:val="0"/>
              <w:autoSpaceDN w:val="0"/>
              <w:bidi w:val="0"/>
              <w:adjustRightInd/>
              <w:snapToGrid w:val="0"/>
              <w:spacing w:before="0" w:beforeLines="30" w:after="0" w:afterLines="30" w:line="360" w:lineRule="exact"/>
              <w:ind w:right="44" w:rightChars="0"/>
              <w:textAlignment w:val="auto"/>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eastAsia="zh-CN"/>
              </w:rPr>
              <w:t>一、</w:t>
            </w:r>
            <w:r>
              <w:rPr>
                <w:rFonts w:hint="eastAsia" w:ascii="宋体" w:hAnsi="宋体" w:cs="宋体"/>
                <w:snapToGrid w:val="0"/>
                <w:color w:val="auto"/>
                <w:kern w:val="0"/>
                <w:sz w:val="21"/>
                <w:szCs w:val="21"/>
                <w:highlight w:val="none"/>
              </w:rPr>
              <w:t>本项目资金来源于</w:t>
            </w:r>
            <w:r>
              <w:rPr>
                <w:rFonts w:hint="eastAsia" w:ascii="宋体" w:hAnsi="宋体" w:cs="宋体"/>
                <w:snapToGrid w:val="0"/>
                <w:color w:val="auto"/>
                <w:kern w:val="0"/>
                <w:sz w:val="21"/>
                <w:szCs w:val="21"/>
                <w:highlight w:val="none"/>
                <w:lang w:eastAsia="zh-CN"/>
              </w:rPr>
              <w:t>部门预算</w:t>
            </w:r>
            <w:r>
              <w:rPr>
                <w:rFonts w:hint="eastAsia" w:ascii="宋体" w:hAnsi="宋体" w:cs="宋体"/>
                <w:snapToGrid w:val="0"/>
                <w:color w:val="auto"/>
                <w:kern w:val="0"/>
                <w:sz w:val="21"/>
                <w:szCs w:val="21"/>
                <w:highlight w:val="none"/>
              </w:rPr>
              <w:t>的普通国省干线公路日常养护经费；</w:t>
            </w:r>
          </w:p>
          <w:p w14:paraId="750F6EAE">
            <w:pPr>
              <w:keepNext w:val="0"/>
              <w:keepLines w:val="0"/>
              <w:pageBreakBefore w:val="0"/>
              <w:widowControl/>
              <w:numPr>
                <w:ilvl w:val="0"/>
                <w:numId w:val="0"/>
              </w:numPr>
              <w:kinsoku/>
              <w:wordWrap/>
              <w:overflowPunct/>
              <w:topLinePunct w:val="0"/>
              <w:autoSpaceDE w:val="0"/>
              <w:autoSpaceDN w:val="0"/>
              <w:bidi w:val="0"/>
              <w:adjustRightInd/>
              <w:snapToGrid w:val="0"/>
              <w:spacing w:before="0" w:beforeLines="30" w:after="0" w:afterLines="30" w:line="360" w:lineRule="exact"/>
              <w:ind w:right="44" w:rightChars="0"/>
              <w:textAlignment w:val="auto"/>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eastAsia="zh-CN"/>
              </w:rPr>
              <w:t>二、</w:t>
            </w:r>
            <w:r>
              <w:rPr>
                <w:rFonts w:hint="eastAsia" w:ascii="宋体" w:hAnsi="宋体" w:cs="宋体"/>
                <w:snapToGrid w:val="0"/>
                <w:color w:val="auto"/>
                <w:kern w:val="0"/>
                <w:sz w:val="21"/>
                <w:szCs w:val="21"/>
                <w:highlight w:val="none"/>
                <w:lang w:eastAsia="zh-CN"/>
              </w:rPr>
              <w:t>计量支付分为日常维修（按日常维修清单所填单价以及实际发生的工程量计量）和日常保养（按绩效考核支付）两部分。</w:t>
            </w:r>
          </w:p>
          <w:p w14:paraId="32C0DA63">
            <w:pPr>
              <w:keepNext w:val="0"/>
              <w:keepLines w:val="0"/>
              <w:pageBreakBefore w:val="0"/>
              <w:widowControl/>
              <w:numPr>
                <w:ilvl w:val="0"/>
                <w:numId w:val="0"/>
              </w:numPr>
              <w:kinsoku/>
              <w:wordWrap/>
              <w:overflowPunct/>
              <w:topLinePunct w:val="0"/>
              <w:autoSpaceDE w:val="0"/>
              <w:autoSpaceDN w:val="0"/>
              <w:bidi w:val="0"/>
              <w:adjustRightInd/>
              <w:snapToGrid w:val="0"/>
              <w:spacing w:before="0" w:beforeLines="30" w:after="0" w:afterLines="30" w:line="360" w:lineRule="exact"/>
              <w:ind w:right="44" w:rightChars="0"/>
              <w:textAlignment w:val="auto"/>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每个月计量支付具体如下：</w:t>
            </w:r>
          </w:p>
          <w:p w14:paraId="78181B09">
            <w:pPr>
              <w:keepNext w:val="0"/>
              <w:keepLines w:val="0"/>
              <w:pageBreakBefore w:val="0"/>
              <w:widowControl/>
              <w:numPr>
                <w:ilvl w:val="0"/>
                <w:numId w:val="3"/>
              </w:numPr>
              <w:kinsoku/>
              <w:wordWrap/>
              <w:overflowPunct/>
              <w:topLinePunct w:val="0"/>
              <w:autoSpaceDE w:val="0"/>
              <w:autoSpaceDN w:val="0"/>
              <w:bidi w:val="0"/>
              <w:adjustRightInd/>
              <w:snapToGrid w:val="0"/>
              <w:spacing w:before="0" w:beforeLines="30" w:after="0" w:afterLines="30" w:line="360" w:lineRule="exact"/>
              <w:ind w:right="44"/>
              <w:textAlignment w:val="auto"/>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日常维修</w:t>
            </w:r>
            <w:r>
              <w:rPr>
                <w:rFonts w:hint="eastAsia" w:ascii="宋体" w:hAnsi="宋体" w:cs="宋体"/>
                <w:snapToGrid w:val="0"/>
                <w:color w:val="auto"/>
                <w:kern w:val="0"/>
                <w:sz w:val="21"/>
                <w:szCs w:val="21"/>
                <w:highlight w:val="none"/>
                <w:lang w:eastAsia="zh-CN"/>
              </w:rPr>
              <w:t>：承包人完成相应作业内容后，经采购人组织验收合格的，按实际完成工程量进行计量并支付相应款项。</w:t>
            </w:r>
          </w:p>
          <w:p w14:paraId="1425A80E">
            <w:pPr>
              <w:keepNext w:val="0"/>
              <w:keepLines w:val="0"/>
              <w:pageBreakBefore w:val="0"/>
              <w:widowControl w:val="0"/>
              <w:kinsoku/>
              <w:wordWrap/>
              <w:overflowPunct/>
              <w:topLinePunct w:val="0"/>
              <w:autoSpaceDE/>
              <w:autoSpaceDN/>
              <w:bidi w:val="0"/>
              <w:adjustRightInd/>
              <w:snapToGrid/>
              <w:spacing w:before="0" w:beforeLines="30" w:after="0" w:afterLines="30" w:line="360" w:lineRule="exact"/>
              <w:textAlignment w:val="auto"/>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eastAsia="zh-CN"/>
              </w:rPr>
              <w:t>日常保养：</w:t>
            </w:r>
            <w:r>
              <w:rPr>
                <w:rFonts w:hint="eastAsia" w:ascii="宋体" w:hAnsi="宋体" w:cs="宋体"/>
                <w:snapToGrid w:val="0"/>
                <w:color w:val="auto"/>
                <w:kern w:val="0"/>
                <w:sz w:val="21"/>
                <w:szCs w:val="21"/>
                <w:highlight w:val="none"/>
              </w:rPr>
              <w:t>（1）月度绩效考核得分达到或高于 900 分时，应按照月度计量款的100%进行支付；</w:t>
            </w:r>
          </w:p>
          <w:p w14:paraId="10461CC0">
            <w:pPr>
              <w:keepNext w:val="0"/>
              <w:keepLines w:val="0"/>
              <w:pageBreakBefore w:val="0"/>
              <w:widowControl w:val="0"/>
              <w:kinsoku/>
              <w:wordWrap/>
              <w:overflowPunct/>
              <w:topLinePunct w:val="0"/>
              <w:autoSpaceDE/>
              <w:autoSpaceDN/>
              <w:bidi w:val="0"/>
              <w:adjustRightInd/>
              <w:snapToGrid/>
              <w:spacing w:before="0" w:beforeLines="30" w:after="0" w:afterLines="30" w:line="360" w:lineRule="exact"/>
              <w:textAlignment w:val="auto"/>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（2）月度绩效考核得分达到 800  分（含）至 899 分时，可按照月度计量款的  90% 进行支付，扣除10%计量款作为服务考核金，服务考核金可在下一个月度考核得分达到或高于900分时，一并支付，下一个月度考核得分未达到900分时，服务考核金不再支付。服务考核金可在当月计量期直接扣除或在年度内其他计量期扣除；</w:t>
            </w:r>
          </w:p>
          <w:p w14:paraId="148CE2B6">
            <w:pPr>
              <w:keepNext w:val="0"/>
              <w:keepLines w:val="0"/>
              <w:pageBreakBefore w:val="0"/>
              <w:widowControl w:val="0"/>
              <w:kinsoku/>
              <w:wordWrap/>
              <w:overflowPunct/>
              <w:topLinePunct w:val="0"/>
              <w:autoSpaceDE/>
              <w:autoSpaceDN/>
              <w:bidi w:val="0"/>
              <w:adjustRightInd/>
              <w:snapToGrid/>
              <w:spacing w:before="0" w:beforeLines="30" w:after="0" w:afterLines="30" w:line="360" w:lineRule="exact"/>
              <w:textAlignment w:val="auto"/>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（3）月度绩效考核得分达到700 分（含）至 799 分时，可按照月度计量款的 80% 进行支付，扣除20%计量款作为服务考核金，服务考核金可在下一个月度考核得分达到或高于900分时，一并支付，下一个月度考核得分未达到900分时，服务考核金不再支付。服务考核金可在当月计量期直接扣除或在年度内其他计量期扣除；</w:t>
            </w:r>
          </w:p>
          <w:p w14:paraId="1BCA5C7B">
            <w:pPr>
              <w:keepNext w:val="0"/>
              <w:keepLines w:val="0"/>
              <w:pageBreakBefore w:val="0"/>
              <w:widowControl w:val="0"/>
              <w:kinsoku/>
              <w:wordWrap/>
              <w:overflowPunct/>
              <w:topLinePunct w:val="0"/>
              <w:autoSpaceDE/>
              <w:autoSpaceDN/>
              <w:bidi w:val="0"/>
              <w:adjustRightInd/>
              <w:snapToGrid/>
              <w:spacing w:before="0" w:beforeLines="30" w:after="0" w:afterLines="30" w:line="360" w:lineRule="exact"/>
              <w:textAlignment w:val="auto"/>
              <w:rPr>
                <w:rFonts w:hint="eastAsia" w:eastAsia="宋体"/>
                <w:color w:val="auto"/>
                <w:sz w:val="21"/>
                <w:szCs w:val="21"/>
                <w:highlight w:val="none"/>
                <w:lang w:val="en-US" w:eastAsia="zh-CN"/>
              </w:rPr>
            </w:pPr>
            <w:r>
              <w:rPr>
                <w:rFonts w:hint="eastAsia" w:ascii="宋体" w:hAnsi="宋体" w:cs="宋体"/>
                <w:snapToGrid w:val="0"/>
                <w:color w:val="auto"/>
                <w:kern w:val="0"/>
                <w:sz w:val="21"/>
                <w:szCs w:val="21"/>
                <w:highlight w:val="none"/>
              </w:rPr>
              <w:t>（4）月度绩效考核得分低于 700 分时，月度计量款暂缓支付，承包人须在发包人规定的时限内自费进行整改，一旦完成整改，承包人应通知发包人，并请求发包人重新对其进行考核评价，重新考核得分达到或高于900分，按该月度计量款的90%支付；重新考核得分达到700 分（含）至 799 分时，按该月度计量款的80%支付；重新考核得分低于700分（不含）时，该月度计量款不予支付，不予支付的费用可在当月计量期直接扣除或在年度内其他计量期扣除。</w:t>
            </w:r>
          </w:p>
        </w:tc>
      </w:tr>
      <w:tr w14:paraId="63AC6A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0" w:hRule="atLeast"/>
          <w:jc w:val="center"/>
        </w:trPr>
        <w:tc>
          <w:tcPr>
            <w:tcW w:w="1900" w:type="dxa"/>
            <w:gridSpan w:val="2"/>
            <w:tcBorders>
              <w:top w:val="single" w:color="auto" w:sz="4" w:space="0"/>
              <w:left w:val="single" w:color="auto" w:sz="4" w:space="0"/>
              <w:bottom w:val="single" w:color="auto" w:sz="4" w:space="0"/>
              <w:right w:val="single" w:color="auto" w:sz="4" w:space="0"/>
            </w:tcBorders>
            <w:noWrap w:val="0"/>
            <w:vAlign w:val="center"/>
          </w:tcPr>
          <w:p w14:paraId="4F19AA80">
            <w:pPr>
              <w:keepNext w:val="0"/>
              <w:keepLines w:val="0"/>
              <w:pageBreakBefore w:val="0"/>
              <w:wordWrap/>
              <w:overflowPunct/>
              <w:topLinePunct w:val="0"/>
              <w:bidi w:val="0"/>
              <w:snapToGrid w:val="0"/>
              <w:spacing w:before="0" w:beforeLines="50" w:after="0" w:after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4BDBF1AA">
            <w:pPr>
              <w:keepNext w:val="0"/>
              <w:keepLines w:val="0"/>
              <w:pageBreakBefore w:val="0"/>
              <w:kinsoku/>
              <w:wordWrap/>
              <w:overflowPunct/>
              <w:topLinePunct w:val="0"/>
              <w:bidi w:val="0"/>
              <w:adjustRightInd/>
              <w:spacing w:before="0" w:beforeLines="30" w:after="0" w:afterLines="30"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本项目实行每年总价承包方式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投标报价超过招标控制总价、</w:t>
            </w:r>
            <w:r>
              <w:rPr>
                <w:rFonts w:hint="eastAsia" w:ascii="宋体" w:hAnsi="宋体" w:eastAsia="宋体" w:cs="宋体"/>
                <w:color w:val="auto"/>
                <w:sz w:val="21"/>
                <w:szCs w:val="21"/>
                <w:highlight w:val="none"/>
                <w:lang w:val="en-US" w:eastAsia="zh-CN"/>
              </w:rPr>
              <w:t>各采购人控制价金额及清单各单项价格的</w:t>
            </w:r>
            <w:r>
              <w:rPr>
                <w:rFonts w:hint="eastAsia" w:ascii="宋体" w:hAnsi="宋体" w:eastAsia="宋体" w:cs="宋体"/>
                <w:color w:val="auto"/>
                <w:szCs w:val="21"/>
                <w:highlight w:val="none"/>
                <w:lang w:val="en-US" w:eastAsia="zh-CN"/>
              </w:rPr>
              <w:t>，按无效投标处理；</w:t>
            </w:r>
            <w:r>
              <w:rPr>
                <w:rFonts w:hint="eastAsia" w:ascii="宋体" w:hAnsi="宋体" w:eastAsia="宋体" w:cs="宋体"/>
                <w:color w:val="auto"/>
                <w:sz w:val="21"/>
                <w:szCs w:val="21"/>
                <w:highlight w:val="none"/>
              </w:rPr>
              <w:t>投标报价须为人民币报价，包含完成本服务项目所需的相关费用，</w:t>
            </w:r>
            <w:r>
              <w:rPr>
                <w:rFonts w:hint="eastAsia" w:ascii="宋体" w:hAnsi="宋体" w:eastAsia="宋体" w:cs="宋体"/>
                <w:color w:val="auto"/>
                <w:sz w:val="21"/>
                <w:szCs w:val="21"/>
                <w:highlight w:val="none"/>
                <w:lang w:eastAsia="zh-CN"/>
              </w:rPr>
              <w:t>其中</w:t>
            </w:r>
            <w:r>
              <w:rPr>
                <w:rFonts w:hint="eastAsia" w:ascii="宋体" w:hAnsi="宋体" w:eastAsia="宋体" w:cs="宋体"/>
                <w:color w:val="auto"/>
                <w:sz w:val="21"/>
                <w:szCs w:val="21"/>
                <w:highlight w:val="none"/>
              </w:rPr>
              <w:t>包括但不限于包括本项目所有服务内容、工作人员的交通费、住宿费、伙食补助费、人工费、劳动保险、培训等各种费用和后续服务、税金及其它所有成本费用的总和。在合同实施时，采购人将不予支付</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没有列入的项目费用，并认为此项目的费用已包括在投标报价中。</w:t>
            </w:r>
          </w:p>
        </w:tc>
      </w:tr>
      <w:tr w14:paraId="08CB7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00" w:type="dxa"/>
            <w:gridSpan w:val="2"/>
            <w:tcBorders>
              <w:top w:val="single" w:color="auto" w:sz="4" w:space="0"/>
              <w:bottom w:val="single" w:color="auto" w:sz="4" w:space="0"/>
              <w:right w:val="single" w:color="auto" w:sz="4" w:space="0"/>
            </w:tcBorders>
            <w:noWrap w:val="0"/>
            <w:vAlign w:val="center"/>
          </w:tcPr>
          <w:p w14:paraId="4EA30A71">
            <w:pPr>
              <w:pStyle w:val="22"/>
              <w:keepNext w:val="0"/>
              <w:keepLines w:val="0"/>
              <w:pageBreakBefore w:val="0"/>
              <w:wordWrap/>
              <w:overflowPunct/>
              <w:topLinePunct w:val="0"/>
              <w:bidi w:val="0"/>
              <w:spacing w:before="0" w:beforeLines="50" w:after="0" w:afterLines="5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要求</w:t>
            </w:r>
          </w:p>
        </w:tc>
        <w:tc>
          <w:tcPr>
            <w:tcW w:w="8022" w:type="dxa"/>
            <w:gridSpan w:val="2"/>
            <w:tcBorders>
              <w:top w:val="single" w:color="auto" w:sz="4" w:space="0"/>
              <w:left w:val="single" w:color="auto" w:sz="4" w:space="0"/>
              <w:bottom w:val="single" w:color="auto" w:sz="4" w:space="0"/>
            </w:tcBorders>
            <w:noWrap w:val="0"/>
            <w:vAlign w:val="center"/>
          </w:tcPr>
          <w:p w14:paraId="45BAF438">
            <w:pPr>
              <w:keepNext w:val="0"/>
              <w:keepLines w:val="0"/>
              <w:pageBreakBefore w:val="0"/>
              <w:numPr>
                <w:ilvl w:val="0"/>
                <w:numId w:val="0"/>
              </w:numPr>
              <w:kinsoku/>
              <w:wordWrap/>
              <w:overflowPunct/>
              <w:topLinePunct w:val="0"/>
              <w:bidi w:val="0"/>
              <w:adjustRightInd/>
              <w:spacing w:before="0" w:beforeLines="30" w:after="0" w:afterLines="30"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lang w:val="en-US" w:eastAsia="zh-CN"/>
              </w:rPr>
              <w:t>处理问题响应时间：接到采购人处理问题通知后2小时内到达采购人指定现场。</w:t>
            </w:r>
          </w:p>
          <w:p w14:paraId="52890A9D">
            <w:pPr>
              <w:keepNext w:val="0"/>
              <w:keepLines w:val="0"/>
              <w:pageBreakBefore w:val="0"/>
              <w:numPr>
                <w:ilvl w:val="0"/>
                <w:numId w:val="0"/>
              </w:numPr>
              <w:kinsoku/>
              <w:wordWrap/>
              <w:overflowPunct/>
              <w:topLinePunct w:val="0"/>
              <w:bidi w:val="0"/>
              <w:adjustRightInd/>
              <w:spacing w:before="0" w:beforeLines="30" w:after="0" w:afterLines="30"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lang w:val="en-US" w:eastAsia="zh-CN"/>
              </w:rPr>
              <w:t>投标人中标后如需更换项目管理人员，需向采购人书面申请，经采购人审批许可，替换的人员所具备的资质不得低于原人员的资质。</w:t>
            </w:r>
          </w:p>
        </w:tc>
      </w:tr>
      <w:tr w14:paraId="603E8B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00" w:type="dxa"/>
            <w:gridSpan w:val="2"/>
            <w:tcBorders>
              <w:top w:val="single" w:color="auto" w:sz="4" w:space="0"/>
              <w:bottom w:val="single" w:color="auto" w:sz="4" w:space="0"/>
              <w:right w:val="single" w:color="auto" w:sz="4" w:space="0"/>
            </w:tcBorders>
            <w:noWrap w:val="0"/>
            <w:vAlign w:val="center"/>
          </w:tcPr>
          <w:p w14:paraId="0DD66EE4">
            <w:pPr>
              <w:pStyle w:val="22"/>
              <w:keepNext w:val="0"/>
              <w:keepLines w:val="0"/>
              <w:pageBreakBefore w:val="0"/>
              <w:wordWrap/>
              <w:overflowPunct/>
              <w:topLinePunct w:val="0"/>
              <w:bidi w:val="0"/>
              <w:spacing w:before="0" w:beforeLines="50" w:after="0" w:afterLines="5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后续服务</w:t>
            </w:r>
            <w:r>
              <w:rPr>
                <w:rFonts w:hint="eastAsia" w:ascii="宋体" w:hAnsi="宋体" w:eastAsia="宋体" w:cs="宋体"/>
                <w:color w:val="auto"/>
                <w:sz w:val="21"/>
                <w:szCs w:val="21"/>
                <w:highlight w:val="none"/>
              </w:rPr>
              <w:t>要求</w:t>
            </w:r>
          </w:p>
        </w:tc>
        <w:tc>
          <w:tcPr>
            <w:tcW w:w="8022" w:type="dxa"/>
            <w:gridSpan w:val="2"/>
            <w:tcBorders>
              <w:top w:val="single" w:color="auto" w:sz="4" w:space="0"/>
              <w:left w:val="single" w:color="auto" w:sz="4" w:space="0"/>
              <w:bottom w:val="single" w:color="auto" w:sz="4" w:space="0"/>
            </w:tcBorders>
            <w:noWrap w:val="0"/>
            <w:vAlign w:val="center"/>
          </w:tcPr>
          <w:p w14:paraId="51BE36CE">
            <w:pPr>
              <w:keepNext w:val="0"/>
              <w:keepLines w:val="0"/>
              <w:pageBreakBefore w:val="0"/>
              <w:widowControl w:val="0"/>
              <w:kinsoku/>
              <w:wordWrap/>
              <w:overflowPunct/>
              <w:topLinePunct w:val="0"/>
              <w:autoSpaceDE/>
              <w:autoSpaceDN/>
              <w:bidi w:val="0"/>
              <w:adjustRightInd/>
              <w:snapToGrid/>
              <w:spacing w:before="0" w:beforeLines="30" w:after="0" w:afterLines="30" w:line="36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1、后续服务期：</w:t>
            </w:r>
            <w:r>
              <w:rPr>
                <w:rFonts w:hint="eastAsia" w:ascii="宋体" w:hAnsi="宋体" w:eastAsia="宋体" w:cs="宋体"/>
                <w:color w:val="auto"/>
                <w:szCs w:val="21"/>
                <w:highlight w:val="none"/>
                <w:lang w:val="en-US" w:eastAsia="zh-CN"/>
              </w:rPr>
              <w:t>自交付服务成果验收合格之日起1个月。</w:t>
            </w:r>
          </w:p>
          <w:p w14:paraId="4CA982C2">
            <w:pPr>
              <w:keepNext w:val="0"/>
              <w:keepLines w:val="0"/>
              <w:pageBreakBefore w:val="0"/>
              <w:widowControl w:val="0"/>
              <w:kinsoku/>
              <w:wordWrap/>
              <w:overflowPunct/>
              <w:topLinePunct w:val="0"/>
              <w:autoSpaceDE/>
              <w:autoSpaceDN/>
              <w:bidi w:val="0"/>
              <w:adjustRightInd/>
              <w:snapToGrid/>
              <w:spacing w:before="0" w:beforeLines="30" w:after="0" w:afterLines="30" w:line="360" w:lineRule="exact"/>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2、后续服务期内中标供应商应遵守“诚信、公正、精业、进取”的原则，做好各类资料的整理、归集工作，技术材料装订成册，在项目验收时须提供完整的数据库表结构文档，明确各字段含义。</w:t>
            </w:r>
            <w:r>
              <w:rPr>
                <w:rFonts w:hint="eastAsia" w:ascii="宋体" w:hAnsi="宋体" w:cs="宋体"/>
                <w:color w:val="auto"/>
                <w:szCs w:val="21"/>
                <w:highlight w:val="none"/>
              </w:rPr>
              <w:t>同时，每年需对市场化工作进行全面总结，形成年度总结报告，内容涵盖工作成效、问题分析及优化建议。</w:t>
            </w:r>
            <w:r>
              <w:rPr>
                <w:rFonts w:hint="eastAsia" w:ascii="宋体" w:hAnsi="宋体" w:eastAsia="宋体" w:cs="宋体"/>
                <w:color w:val="auto"/>
                <w:sz w:val="21"/>
                <w:szCs w:val="21"/>
                <w:highlight w:val="none"/>
                <w:lang w:val="en-US" w:eastAsia="zh-CN"/>
              </w:rPr>
              <w:t>后续服务期内采购人提出的对接要求不得进行收费。</w:t>
            </w:r>
          </w:p>
        </w:tc>
      </w:tr>
      <w:tr w14:paraId="4A8A3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00" w:type="dxa"/>
            <w:gridSpan w:val="2"/>
            <w:tcBorders>
              <w:top w:val="single" w:color="auto" w:sz="4" w:space="0"/>
              <w:bottom w:val="single" w:color="auto" w:sz="4" w:space="0"/>
              <w:right w:val="single" w:color="auto" w:sz="4" w:space="0"/>
            </w:tcBorders>
            <w:noWrap w:val="0"/>
            <w:vAlign w:val="center"/>
          </w:tcPr>
          <w:p w14:paraId="77248574">
            <w:pPr>
              <w:pStyle w:val="22"/>
              <w:keepNext w:val="0"/>
              <w:keepLines w:val="0"/>
              <w:pageBreakBefore w:val="0"/>
              <w:wordWrap/>
              <w:overflowPunct/>
              <w:topLinePunct w:val="0"/>
              <w:bidi w:val="0"/>
              <w:spacing w:before="0" w:beforeLines="50" w:after="0" w:afterLines="5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tc>
        <w:tc>
          <w:tcPr>
            <w:tcW w:w="8022" w:type="dxa"/>
            <w:gridSpan w:val="2"/>
            <w:tcBorders>
              <w:top w:val="single" w:color="auto" w:sz="4" w:space="0"/>
              <w:left w:val="single" w:color="auto" w:sz="4" w:space="0"/>
              <w:bottom w:val="single" w:color="auto" w:sz="4" w:space="0"/>
            </w:tcBorders>
            <w:noWrap w:val="0"/>
            <w:vAlign w:val="center"/>
          </w:tcPr>
          <w:p w14:paraId="003C7559">
            <w:pPr>
              <w:keepNext w:val="0"/>
              <w:keepLines w:val="0"/>
              <w:pageBreakBefore w:val="0"/>
              <w:widowControl/>
              <w:kinsoku/>
              <w:wordWrap/>
              <w:overflowPunct/>
              <w:topLinePunct w:val="0"/>
              <w:autoSpaceDE/>
              <w:autoSpaceDN/>
              <w:bidi w:val="0"/>
              <w:adjustRightInd/>
              <w:snapToGrid/>
              <w:spacing w:before="0" w:beforeLines="30" w:after="0" w:afterLines="30"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本项目主要内容为日常养护，不包含工程验收。</w:t>
            </w:r>
            <w:r>
              <w:rPr>
                <w:rFonts w:hint="eastAsia" w:ascii="宋体" w:hAnsi="宋体" w:cs="宋体"/>
                <w:color w:val="auto"/>
                <w:szCs w:val="21"/>
                <w:highlight w:val="none"/>
              </w:rPr>
              <w:t>服务启动后，采购人按本章《采购需求》中的“主要技术需求或者服务要求”的相关要求进行</w:t>
            </w:r>
            <w:r>
              <w:rPr>
                <w:rFonts w:hint="eastAsia" w:ascii="宋体" w:hAnsi="宋体" w:cs="宋体"/>
                <w:color w:val="auto"/>
                <w:szCs w:val="21"/>
                <w:highlight w:val="none"/>
              </w:rPr>
              <w:t>绩效考评</w:t>
            </w:r>
            <w:r>
              <w:rPr>
                <w:rFonts w:hint="eastAsia" w:ascii="宋体" w:hAnsi="宋体" w:cs="宋体"/>
                <w:color w:val="auto"/>
                <w:szCs w:val="21"/>
                <w:highlight w:val="none"/>
              </w:rPr>
              <w:t>。</w:t>
            </w:r>
          </w:p>
        </w:tc>
      </w:tr>
      <w:tr w14:paraId="7800F5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00" w:type="dxa"/>
            <w:gridSpan w:val="2"/>
            <w:tcBorders>
              <w:top w:val="single" w:color="auto" w:sz="4" w:space="0"/>
              <w:bottom w:val="single" w:color="auto" w:sz="4" w:space="0"/>
              <w:right w:val="single" w:color="auto" w:sz="4" w:space="0"/>
            </w:tcBorders>
            <w:noWrap w:val="0"/>
            <w:vAlign w:val="center"/>
          </w:tcPr>
          <w:p w14:paraId="7F419526">
            <w:pPr>
              <w:pStyle w:val="22"/>
              <w:keepNext w:val="0"/>
              <w:keepLines w:val="0"/>
              <w:pageBreakBefore w:val="0"/>
              <w:wordWrap/>
              <w:overflowPunct/>
              <w:topLinePunct w:val="0"/>
              <w:bidi w:val="0"/>
              <w:spacing w:before="0" w:beforeLines="50" w:after="0" w:afterLines="50" w:line="360" w:lineRule="auto"/>
              <w:ind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其他要求</w:t>
            </w:r>
          </w:p>
        </w:tc>
        <w:tc>
          <w:tcPr>
            <w:tcW w:w="8022" w:type="dxa"/>
            <w:gridSpan w:val="2"/>
            <w:tcBorders>
              <w:top w:val="single" w:color="auto" w:sz="4" w:space="0"/>
              <w:left w:val="single" w:color="auto" w:sz="4" w:space="0"/>
              <w:bottom w:val="single" w:color="auto" w:sz="4" w:space="0"/>
            </w:tcBorders>
            <w:noWrap w:val="0"/>
            <w:vAlign w:val="center"/>
          </w:tcPr>
          <w:p w14:paraId="3E1A02DB">
            <w:pPr>
              <w:pStyle w:val="22"/>
              <w:keepNext w:val="0"/>
              <w:keepLines w:val="0"/>
              <w:pageBreakBefore w:val="0"/>
              <w:widowControl w:val="0"/>
              <w:kinsoku/>
              <w:wordWrap/>
              <w:overflowPunct/>
              <w:topLinePunct w:val="0"/>
              <w:autoSpaceDE/>
              <w:autoSpaceDN/>
              <w:bidi w:val="0"/>
              <w:adjustRightInd/>
              <w:snapToGrid/>
              <w:spacing w:before="0" w:beforeLines="30" w:after="0" w:afterLines="30" w:line="36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1、投标人可在投标文件中提供针对本项目提供技术方案，包括但不限于拟投入人员情况，服务方案，后续服务内容和措施等。</w:t>
            </w:r>
          </w:p>
          <w:p w14:paraId="618C6260">
            <w:pPr>
              <w:pStyle w:val="22"/>
              <w:keepNext w:val="0"/>
              <w:keepLines w:val="0"/>
              <w:pageBreakBefore w:val="0"/>
              <w:widowControl w:val="0"/>
              <w:kinsoku/>
              <w:wordWrap/>
              <w:overflowPunct/>
              <w:topLinePunct w:val="0"/>
              <w:autoSpaceDE/>
              <w:autoSpaceDN/>
              <w:bidi w:val="0"/>
              <w:adjustRightInd/>
              <w:snapToGrid/>
              <w:spacing w:before="0" w:beforeLines="30" w:after="0" w:afterLines="30" w:line="36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2、本项目应执行国家相关标准、行业标准、地方标准。</w:t>
            </w:r>
          </w:p>
        </w:tc>
      </w:tr>
      <w:bookmarkEnd w:id="2"/>
    </w:tbl>
    <w:p w14:paraId="2BD21ACD">
      <w:pPr>
        <w:rPr>
          <w:rFonts w:hint="default" w:ascii="Times New Roman" w:hAnsi="Times New Roman" w:eastAsia="仿宋_GB2312" w:cs="Times New Roman"/>
          <w:b/>
          <w:color w:val="auto"/>
          <w:sz w:val="36"/>
          <w:highlight w:val="none"/>
          <w:lang w:val="en-US" w:eastAsia="zh-CN"/>
        </w:rPr>
      </w:pPr>
    </w:p>
    <w:sectPr>
      <w:footerReference r:id="rId3" w:type="default"/>
      <w:pgSz w:w="11906" w:h="16838"/>
      <w:pgMar w:top="1304" w:right="1587" w:bottom="1304" w:left="1587" w:header="850" w:footer="992" w:gutter="0"/>
      <w:pgBorders>
        <w:top w:val="none" w:sz="0" w:space="0"/>
        <w:left w:val="none" w:sz="0" w:space="0"/>
        <w:bottom w:val="none" w:sz="0" w:space="0"/>
        <w:right w:val="none" w:sz="0" w:space="0"/>
      </w:pgBorders>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51054">
    <w:pPr>
      <w:pStyle w:val="11"/>
      <w:ind w:left="560" w:hanging="5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DD5BE0">
                          <w:pPr>
                            <w:pStyle w:val="11"/>
                          </w:pPr>
                          <w:r>
                            <w:fldChar w:fldCharType="begin"/>
                          </w:r>
                          <w:r>
                            <w:instrText xml:space="preserve"> PAGE  \* MERGEFORMAT </w:instrText>
                          </w:r>
                          <w:r>
                            <w:fldChar w:fldCharType="separate"/>
                          </w:r>
                          <w:r>
                            <w:t>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CDD5BE0">
                    <w:pPr>
                      <w:pStyle w:val="11"/>
                    </w:pPr>
                    <w:r>
                      <w:fldChar w:fldCharType="begin"/>
                    </w:r>
                    <w:r>
                      <w:instrText xml:space="preserve"> PAGE  \* MERGEFORMAT </w:instrText>
                    </w:r>
                    <w:r>
                      <w:fldChar w:fldCharType="separate"/>
                    </w:r>
                    <w:r>
                      <w:t>7</w:t>
                    </w:r>
                    <w:r>
                      <w:fldChar w:fldCharType="end"/>
                    </w:r>
                  </w:p>
                </w:txbxContent>
              </v:textbox>
            </v:shape>
          </w:pict>
        </mc:Fallback>
      </mc:AlternateContent>
    </w:r>
  </w:p>
  <w:p w14:paraId="03D2B016">
    <w:pPr>
      <w:pStyle w:val="11"/>
      <w:ind w:left="560" w:hanging="5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2354BF"/>
    <w:multiLevelType w:val="singleLevel"/>
    <w:tmpl w:val="E92354BF"/>
    <w:lvl w:ilvl="0" w:tentative="0">
      <w:start w:val="3"/>
      <w:numFmt w:val="chineseCounting"/>
      <w:suff w:val="nothing"/>
      <w:lvlText w:val="（%1）"/>
      <w:lvlJc w:val="left"/>
      <w:rPr>
        <w:rFonts w:hint="eastAsia"/>
      </w:rPr>
    </w:lvl>
  </w:abstractNum>
  <w:abstractNum w:abstractNumId="1">
    <w:nsid w:val="4536DB6F"/>
    <w:multiLevelType w:val="singleLevel"/>
    <w:tmpl w:val="4536DB6F"/>
    <w:lvl w:ilvl="0" w:tentative="0">
      <w:start w:val="1"/>
      <w:numFmt w:val="chineseCounting"/>
      <w:suff w:val="nothing"/>
      <w:lvlText w:val="（%1）"/>
      <w:lvlJc w:val="left"/>
      <w:rPr>
        <w:rFonts w:hint="eastAsia"/>
        <w:b w:val="0"/>
        <w:bCs w:val="0"/>
      </w:rPr>
    </w:lvl>
  </w:abstractNum>
  <w:abstractNum w:abstractNumId="2">
    <w:nsid w:val="5BCD857C"/>
    <w:multiLevelType w:val="singleLevel"/>
    <w:tmpl w:val="5BCD857C"/>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ED7572"/>
    <w:rsid w:val="00060C0C"/>
    <w:rsid w:val="00125861"/>
    <w:rsid w:val="00247343"/>
    <w:rsid w:val="004C6249"/>
    <w:rsid w:val="00D10E20"/>
    <w:rsid w:val="01470570"/>
    <w:rsid w:val="01754F01"/>
    <w:rsid w:val="01877B89"/>
    <w:rsid w:val="01E873B2"/>
    <w:rsid w:val="01FD42EF"/>
    <w:rsid w:val="02607200"/>
    <w:rsid w:val="02637F53"/>
    <w:rsid w:val="029702A0"/>
    <w:rsid w:val="02C44E0D"/>
    <w:rsid w:val="02EA40DF"/>
    <w:rsid w:val="03292E3E"/>
    <w:rsid w:val="03364348"/>
    <w:rsid w:val="0361265C"/>
    <w:rsid w:val="03D228C7"/>
    <w:rsid w:val="03EE3EEF"/>
    <w:rsid w:val="04131BA8"/>
    <w:rsid w:val="04901C3F"/>
    <w:rsid w:val="049B394B"/>
    <w:rsid w:val="04AD37BA"/>
    <w:rsid w:val="04AD3DAA"/>
    <w:rsid w:val="04BA64C7"/>
    <w:rsid w:val="04D05CEB"/>
    <w:rsid w:val="04E946B7"/>
    <w:rsid w:val="050B287F"/>
    <w:rsid w:val="058F1340"/>
    <w:rsid w:val="05C87B03"/>
    <w:rsid w:val="05D8174C"/>
    <w:rsid w:val="06191E5D"/>
    <w:rsid w:val="062260D2"/>
    <w:rsid w:val="066B2AB0"/>
    <w:rsid w:val="06D753FF"/>
    <w:rsid w:val="0733430F"/>
    <w:rsid w:val="0753738B"/>
    <w:rsid w:val="07550729"/>
    <w:rsid w:val="07830DF3"/>
    <w:rsid w:val="07A73182"/>
    <w:rsid w:val="07E850FA"/>
    <w:rsid w:val="080C528C"/>
    <w:rsid w:val="083062FA"/>
    <w:rsid w:val="08467D17"/>
    <w:rsid w:val="08485B98"/>
    <w:rsid w:val="084C53D2"/>
    <w:rsid w:val="08760957"/>
    <w:rsid w:val="08A21245"/>
    <w:rsid w:val="0958005D"/>
    <w:rsid w:val="095A2027"/>
    <w:rsid w:val="095E1336"/>
    <w:rsid w:val="099B68C7"/>
    <w:rsid w:val="09AE5FC5"/>
    <w:rsid w:val="09C87119"/>
    <w:rsid w:val="0A0D21C8"/>
    <w:rsid w:val="0A0F2E11"/>
    <w:rsid w:val="0A2368BD"/>
    <w:rsid w:val="0A6842D0"/>
    <w:rsid w:val="0AB04E98"/>
    <w:rsid w:val="0AB63263"/>
    <w:rsid w:val="0ADA341F"/>
    <w:rsid w:val="0AE85A49"/>
    <w:rsid w:val="0B04049C"/>
    <w:rsid w:val="0B1D18EE"/>
    <w:rsid w:val="0BF40511"/>
    <w:rsid w:val="0C210BDA"/>
    <w:rsid w:val="0CAB07DD"/>
    <w:rsid w:val="0CD10852"/>
    <w:rsid w:val="0D0E73B0"/>
    <w:rsid w:val="0DDA7292"/>
    <w:rsid w:val="0DE93979"/>
    <w:rsid w:val="0DEA1E65"/>
    <w:rsid w:val="0E1704E7"/>
    <w:rsid w:val="0E3C1CFB"/>
    <w:rsid w:val="0E666E1D"/>
    <w:rsid w:val="0F2D1F16"/>
    <w:rsid w:val="0F574600"/>
    <w:rsid w:val="0F5D461F"/>
    <w:rsid w:val="0F6E05DA"/>
    <w:rsid w:val="0F953DB9"/>
    <w:rsid w:val="0FBC1346"/>
    <w:rsid w:val="0FC91CB4"/>
    <w:rsid w:val="0FFD74A4"/>
    <w:rsid w:val="10401F77"/>
    <w:rsid w:val="10501A8E"/>
    <w:rsid w:val="105C1A17"/>
    <w:rsid w:val="106B4B1A"/>
    <w:rsid w:val="10F55D7C"/>
    <w:rsid w:val="115B7EFE"/>
    <w:rsid w:val="1194410A"/>
    <w:rsid w:val="119C142F"/>
    <w:rsid w:val="11A71B81"/>
    <w:rsid w:val="11E26D17"/>
    <w:rsid w:val="122870DD"/>
    <w:rsid w:val="12AF5192"/>
    <w:rsid w:val="132D1F62"/>
    <w:rsid w:val="13A66595"/>
    <w:rsid w:val="13B54A2A"/>
    <w:rsid w:val="13B80076"/>
    <w:rsid w:val="13DB5B12"/>
    <w:rsid w:val="14321BD6"/>
    <w:rsid w:val="144D5D1A"/>
    <w:rsid w:val="14957997"/>
    <w:rsid w:val="14B00D4D"/>
    <w:rsid w:val="14D52C06"/>
    <w:rsid w:val="14DD27F2"/>
    <w:rsid w:val="14FC3F92"/>
    <w:rsid w:val="15CA1DCE"/>
    <w:rsid w:val="15F5735F"/>
    <w:rsid w:val="16754781"/>
    <w:rsid w:val="169E79F7"/>
    <w:rsid w:val="16A11295"/>
    <w:rsid w:val="16D84DAC"/>
    <w:rsid w:val="17263548"/>
    <w:rsid w:val="172D2B29"/>
    <w:rsid w:val="17A24A2B"/>
    <w:rsid w:val="17B90DBC"/>
    <w:rsid w:val="17C03772"/>
    <w:rsid w:val="17F13BD4"/>
    <w:rsid w:val="188D078C"/>
    <w:rsid w:val="18DE232D"/>
    <w:rsid w:val="191E097B"/>
    <w:rsid w:val="196F561F"/>
    <w:rsid w:val="19944C5E"/>
    <w:rsid w:val="19B70A19"/>
    <w:rsid w:val="19C31523"/>
    <w:rsid w:val="1A2124C0"/>
    <w:rsid w:val="1A385A6D"/>
    <w:rsid w:val="1A7B12E8"/>
    <w:rsid w:val="1AA72BF2"/>
    <w:rsid w:val="1B317B00"/>
    <w:rsid w:val="1B6507F3"/>
    <w:rsid w:val="1BF956CF"/>
    <w:rsid w:val="1C13528C"/>
    <w:rsid w:val="1C4F3C15"/>
    <w:rsid w:val="1C5172BA"/>
    <w:rsid w:val="1C6961B4"/>
    <w:rsid w:val="1CBA3FD2"/>
    <w:rsid w:val="1CF163A7"/>
    <w:rsid w:val="1D036806"/>
    <w:rsid w:val="1D175E0D"/>
    <w:rsid w:val="1D210A3A"/>
    <w:rsid w:val="1D444728"/>
    <w:rsid w:val="1D497E08"/>
    <w:rsid w:val="1D50493E"/>
    <w:rsid w:val="1D9C70F7"/>
    <w:rsid w:val="1E5310C7"/>
    <w:rsid w:val="1E57048B"/>
    <w:rsid w:val="1E896DA3"/>
    <w:rsid w:val="1E9F434C"/>
    <w:rsid w:val="1EA669B3"/>
    <w:rsid w:val="1EF65EF6"/>
    <w:rsid w:val="1F15637C"/>
    <w:rsid w:val="1F182311"/>
    <w:rsid w:val="1F1F71FB"/>
    <w:rsid w:val="1F37468A"/>
    <w:rsid w:val="1F533349"/>
    <w:rsid w:val="1F71051B"/>
    <w:rsid w:val="1FD224BF"/>
    <w:rsid w:val="201070BF"/>
    <w:rsid w:val="209634ED"/>
    <w:rsid w:val="20C31E08"/>
    <w:rsid w:val="20CC6F0F"/>
    <w:rsid w:val="210D16C9"/>
    <w:rsid w:val="21262AC3"/>
    <w:rsid w:val="2179165C"/>
    <w:rsid w:val="21935C7E"/>
    <w:rsid w:val="21A149DD"/>
    <w:rsid w:val="220B3A67"/>
    <w:rsid w:val="22196184"/>
    <w:rsid w:val="22596EC8"/>
    <w:rsid w:val="227A449F"/>
    <w:rsid w:val="227E2874"/>
    <w:rsid w:val="228D0920"/>
    <w:rsid w:val="22CA56D0"/>
    <w:rsid w:val="22EF3388"/>
    <w:rsid w:val="234F5BD5"/>
    <w:rsid w:val="24013373"/>
    <w:rsid w:val="2412732E"/>
    <w:rsid w:val="243111D3"/>
    <w:rsid w:val="24B7295B"/>
    <w:rsid w:val="253B0B07"/>
    <w:rsid w:val="256B13EC"/>
    <w:rsid w:val="26123616"/>
    <w:rsid w:val="261A6A42"/>
    <w:rsid w:val="26377520"/>
    <w:rsid w:val="264A7253"/>
    <w:rsid w:val="269D57C9"/>
    <w:rsid w:val="26D12B9F"/>
    <w:rsid w:val="26DE5BEE"/>
    <w:rsid w:val="26EC4F96"/>
    <w:rsid w:val="26FB6908"/>
    <w:rsid w:val="270F5DA7"/>
    <w:rsid w:val="2734580E"/>
    <w:rsid w:val="274041B2"/>
    <w:rsid w:val="274B2253"/>
    <w:rsid w:val="27FB6B14"/>
    <w:rsid w:val="28013942"/>
    <w:rsid w:val="28074CD0"/>
    <w:rsid w:val="287405B8"/>
    <w:rsid w:val="28A0097A"/>
    <w:rsid w:val="29387837"/>
    <w:rsid w:val="293E4722"/>
    <w:rsid w:val="295039D0"/>
    <w:rsid w:val="296211BD"/>
    <w:rsid w:val="29D75C03"/>
    <w:rsid w:val="2A4C32F6"/>
    <w:rsid w:val="2AFF28FB"/>
    <w:rsid w:val="2B177920"/>
    <w:rsid w:val="2B570EAF"/>
    <w:rsid w:val="2B683CD8"/>
    <w:rsid w:val="2B9845BD"/>
    <w:rsid w:val="2BA20002"/>
    <w:rsid w:val="2BCA5D48"/>
    <w:rsid w:val="2BEA62D4"/>
    <w:rsid w:val="2BF2561F"/>
    <w:rsid w:val="2BFF288E"/>
    <w:rsid w:val="2C1B6F9C"/>
    <w:rsid w:val="2C1D0F66"/>
    <w:rsid w:val="2C6E17C2"/>
    <w:rsid w:val="2C947DB3"/>
    <w:rsid w:val="2CAE497D"/>
    <w:rsid w:val="2D032559"/>
    <w:rsid w:val="2D7C3A6A"/>
    <w:rsid w:val="2D8A43D9"/>
    <w:rsid w:val="2E106A2C"/>
    <w:rsid w:val="2EBD258D"/>
    <w:rsid w:val="2EE35BBA"/>
    <w:rsid w:val="2EFA10EB"/>
    <w:rsid w:val="2F603644"/>
    <w:rsid w:val="2F6B1FE9"/>
    <w:rsid w:val="2F6E037A"/>
    <w:rsid w:val="2F7B222C"/>
    <w:rsid w:val="2F882B9B"/>
    <w:rsid w:val="30000983"/>
    <w:rsid w:val="30070EB1"/>
    <w:rsid w:val="309E19D2"/>
    <w:rsid w:val="31464ABB"/>
    <w:rsid w:val="316D3DF6"/>
    <w:rsid w:val="316F017B"/>
    <w:rsid w:val="31B23EFF"/>
    <w:rsid w:val="31E85B72"/>
    <w:rsid w:val="32086C33"/>
    <w:rsid w:val="32441BAB"/>
    <w:rsid w:val="32901719"/>
    <w:rsid w:val="329B2BE5"/>
    <w:rsid w:val="32B171FC"/>
    <w:rsid w:val="33024A12"/>
    <w:rsid w:val="3316226B"/>
    <w:rsid w:val="335C1645"/>
    <w:rsid w:val="336631F3"/>
    <w:rsid w:val="337D2302"/>
    <w:rsid w:val="33894B1B"/>
    <w:rsid w:val="33954751"/>
    <w:rsid w:val="339935C8"/>
    <w:rsid w:val="33E04D53"/>
    <w:rsid w:val="33EC12CF"/>
    <w:rsid w:val="341E1D1F"/>
    <w:rsid w:val="34592D57"/>
    <w:rsid w:val="34767E51"/>
    <w:rsid w:val="34A31C90"/>
    <w:rsid w:val="34F40D1E"/>
    <w:rsid w:val="35702737"/>
    <w:rsid w:val="35957DBF"/>
    <w:rsid w:val="35B12CA3"/>
    <w:rsid w:val="35ED74FF"/>
    <w:rsid w:val="36C97D20"/>
    <w:rsid w:val="371511B8"/>
    <w:rsid w:val="37192788"/>
    <w:rsid w:val="379C1C92"/>
    <w:rsid w:val="37A75B88"/>
    <w:rsid w:val="38A24CCD"/>
    <w:rsid w:val="38D34176"/>
    <w:rsid w:val="38EA6674"/>
    <w:rsid w:val="390E5EBF"/>
    <w:rsid w:val="399C171C"/>
    <w:rsid w:val="39BB7C75"/>
    <w:rsid w:val="3A322081"/>
    <w:rsid w:val="3B196D9D"/>
    <w:rsid w:val="3B3720B6"/>
    <w:rsid w:val="3B5F68BA"/>
    <w:rsid w:val="3BBA232E"/>
    <w:rsid w:val="3C35255E"/>
    <w:rsid w:val="3C371BD0"/>
    <w:rsid w:val="3C4D39F7"/>
    <w:rsid w:val="3C67484F"/>
    <w:rsid w:val="3C926E07"/>
    <w:rsid w:val="3CEF24AB"/>
    <w:rsid w:val="3D0C4E0B"/>
    <w:rsid w:val="3D8449A1"/>
    <w:rsid w:val="3DB37034"/>
    <w:rsid w:val="3DDC4D28"/>
    <w:rsid w:val="3E271EB8"/>
    <w:rsid w:val="3E2E2B5F"/>
    <w:rsid w:val="3E417F42"/>
    <w:rsid w:val="3E4D71A4"/>
    <w:rsid w:val="3E755675"/>
    <w:rsid w:val="3EF9316D"/>
    <w:rsid w:val="3F0D2F56"/>
    <w:rsid w:val="3F185CE9"/>
    <w:rsid w:val="3F68256A"/>
    <w:rsid w:val="3F7B6278"/>
    <w:rsid w:val="3FD00372"/>
    <w:rsid w:val="40432B9B"/>
    <w:rsid w:val="40436D96"/>
    <w:rsid w:val="40E65973"/>
    <w:rsid w:val="419676A8"/>
    <w:rsid w:val="41AF2209"/>
    <w:rsid w:val="42287B1F"/>
    <w:rsid w:val="4255690C"/>
    <w:rsid w:val="4269685C"/>
    <w:rsid w:val="42791277"/>
    <w:rsid w:val="42BA0E65"/>
    <w:rsid w:val="43210EE4"/>
    <w:rsid w:val="43CA332A"/>
    <w:rsid w:val="44026498"/>
    <w:rsid w:val="440E10EE"/>
    <w:rsid w:val="452E1696"/>
    <w:rsid w:val="452F78E8"/>
    <w:rsid w:val="454C0796"/>
    <w:rsid w:val="45701CAF"/>
    <w:rsid w:val="458A01EB"/>
    <w:rsid w:val="459E05CA"/>
    <w:rsid w:val="45E81B59"/>
    <w:rsid w:val="45F60406"/>
    <w:rsid w:val="468E3E36"/>
    <w:rsid w:val="46933EA7"/>
    <w:rsid w:val="46BE34E7"/>
    <w:rsid w:val="46CE1383"/>
    <w:rsid w:val="46D1677D"/>
    <w:rsid w:val="46F66552"/>
    <w:rsid w:val="47071E2A"/>
    <w:rsid w:val="47791908"/>
    <w:rsid w:val="47A3636C"/>
    <w:rsid w:val="47AD65F1"/>
    <w:rsid w:val="47DE0ACC"/>
    <w:rsid w:val="48223734"/>
    <w:rsid w:val="482B1C1F"/>
    <w:rsid w:val="48335942"/>
    <w:rsid w:val="483C6F73"/>
    <w:rsid w:val="48885C3B"/>
    <w:rsid w:val="48F06785"/>
    <w:rsid w:val="48F826E7"/>
    <w:rsid w:val="49530185"/>
    <w:rsid w:val="499248EA"/>
    <w:rsid w:val="49BE74E0"/>
    <w:rsid w:val="49C03205"/>
    <w:rsid w:val="49C32CF5"/>
    <w:rsid w:val="49DC3DB7"/>
    <w:rsid w:val="4A3459A1"/>
    <w:rsid w:val="4A4600B9"/>
    <w:rsid w:val="4A5676C5"/>
    <w:rsid w:val="4ADC2C61"/>
    <w:rsid w:val="4AE94DF1"/>
    <w:rsid w:val="4B2B3322"/>
    <w:rsid w:val="4B43686F"/>
    <w:rsid w:val="4B5A1437"/>
    <w:rsid w:val="4B775132"/>
    <w:rsid w:val="4B926A83"/>
    <w:rsid w:val="4BCD7E5B"/>
    <w:rsid w:val="4BFE6267"/>
    <w:rsid w:val="4C12586E"/>
    <w:rsid w:val="4C567E51"/>
    <w:rsid w:val="4C8A18A8"/>
    <w:rsid w:val="4C9D6AA1"/>
    <w:rsid w:val="4CB11873"/>
    <w:rsid w:val="4CC23238"/>
    <w:rsid w:val="4CEA71F3"/>
    <w:rsid w:val="4CF5766A"/>
    <w:rsid w:val="4D5123C6"/>
    <w:rsid w:val="4D534390"/>
    <w:rsid w:val="4DCC3F1F"/>
    <w:rsid w:val="4DD92AE7"/>
    <w:rsid w:val="4E143B1F"/>
    <w:rsid w:val="4E3C6BD2"/>
    <w:rsid w:val="4E3F2E0D"/>
    <w:rsid w:val="4E4A12EF"/>
    <w:rsid w:val="4EBE7F2F"/>
    <w:rsid w:val="4F3D70A6"/>
    <w:rsid w:val="4F471F3C"/>
    <w:rsid w:val="4F754A92"/>
    <w:rsid w:val="4F9111A0"/>
    <w:rsid w:val="4FA72771"/>
    <w:rsid w:val="4FB81003"/>
    <w:rsid w:val="4FE8110D"/>
    <w:rsid w:val="502A587C"/>
    <w:rsid w:val="50642410"/>
    <w:rsid w:val="50BE7D72"/>
    <w:rsid w:val="51177A8F"/>
    <w:rsid w:val="5148348F"/>
    <w:rsid w:val="51773364"/>
    <w:rsid w:val="51891E31"/>
    <w:rsid w:val="519A07DF"/>
    <w:rsid w:val="52727B5C"/>
    <w:rsid w:val="5290573F"/>
    <w:rsid w:val="52BB0A0D"/>
    <w:rsid w:val="52E361B6"/>
    <w:rsid w:val="530028C4"/>
    <w:rsid w:val="5312682E"/>
    <w:rsid w:val="532C5467"/>
    <w:rsid w:val="534031BD"/>
    <w:rsid w:val="539E5645"/>
    <w:rsid w:val="53C102A5"/>
    <w:rsid w:val="53F73CC7"/>
    <w:rsid w:val="543640C4"/>
    <w:rsid w:val="543F11CA"/>
    <w:rsid w:val="54EA382C"/>
    <w:rsid w:val="55322B6A"/>
    <w:rsid w:val="553E3EE2"/>
    <w:rsid w:val="555148AC"/>
    <w:rsid w:val="557A0C18"/>
    <w:rsid w:val="55FF6E63"/>
    <w:rsid w:val="560721BC"/>
    <w:rsid w:val="561D19DF"/>
    <w:rsid w:val="56262642"/>
    <w:rsid w:val="56301712"/>
    <w:rsid w:val="56772E9D"/>
    <w:rsid w:val="56B55774"/>
    <w:rsid w:val="570010E5"/>
    <w:rsid w:val="573E1981"/>
    <w:rsid w:val="574A05B2"/>
    <w:rsid w:val="582F1556"/>
    <w:rsid w:val="589812B0"/>
    <w:rsid w:val="58EF7663"/>
    <w:rsid w:val="594A4899"/>
    <w:rsid w:val="594D25DB"/>
    <w:rsid w:val="594E3CA4"/>
    <w:rsid w:val="59BD32BD"/>
    <w:rsid w:val="59DD570D"/>
    <w:rsid w:val="59EE16C8"/>
    <w:rsid w:val="5A0233C6"/>
    <w:rsid w:val="5A2E5F69"/>
    <w:rsid w:val="5B4A5024"/>
    <w:rsid w:val="5B6A2FD1"/>
    <w:rsid w:val="5B6A7475"/>
    <w:rsid w:val="5B8D3163"/>
    <w:rsid w:val="5BB64468"/>
    <w:rsid w:val="5BB75007"/>
    <w:rsid w:val="5BBE50CA"/>
    <w:rsid w:val="5BCF1F16"/>
    <w:rsid w:val="5BD13050"/>
    <w:rsid w:val="5BF60D08"/>
    <w:rsid w:val="5C3A043F"/>
    <w:rsid w:val="5CB52971"/>
    <w:rsid w:val="5CF60894"/>
    <w:rsid w:val="5D042FB1"/>
    <w:rsid w:val="5D5850AB"/>
    <w:rsid w:val="5D7E5BC5"/>
    <w:rsid w:val="5DB53FF9"/>
    <w:rsid w:val="5DB76275"/>
    <w:rsid w:val="5DC6470A"/>
    <w:rsid w:val="5DDC3F2E"/>
    <w:rsid w:val="5DFC5E69"/>
    <w:rsid w:val="5E3C3C4D"/>
    <w:rsid w:val="5EB86A23"/>
    <w:rsid w:val="5F0D0843"/>
    <w:rsid w:val="5F481E68"/>
    <w:rsid w:val="5F667F53"/>
    <w:rsid w:val="5F6D308F"/>
    <w:rsid w:val="5F904FD0"/>
    <w:rsid w:val="5FA32F55"/>
    <w:rsid w:val="5FA43E4A"/>
    <w:rsid w:val="5FA94ACF"/>
    <w:rsid w:val="5FFA68EF"/>
    <w:rsid w:val="60483AFC"/>
    <w:rsid w:val="60B9240E"/>
    <w:rsid w:val="616F0AD2"/>
    <w:rsid w:val="61C968A6"/>
    <w:rsid w:val="61F33850"/>
    <w:rsid w:val="62B45C12"/>
    <w:rsid w:val="62BE3C02"/>
    <w:rsid w:val="63604CB9"/>
    <w:rsid w:val="636218B0"/>
    <w:rsid w:val="639F3A33"/>
    <w:rsid w:val="63EC3E3A"/>
    <w:rsid w:val="640B4148"/>
    <w:rsid w:val="64780DBF"/>
    <w:rsid w:val="64BB3ED9"/>
    <w:rsid w:val="64BB664B"/>
    <w:rsid w:val="64EB7D84"/>
    <w:rsid w:val="64FE7185"/>
    <w:rsid w:val="651E4E2C"/>
    <w:rsid w:val="65251E71"/>
    <w:rsid w:val="65313307"/>
    <w:rsid w:val="659D21F5"/>
    <w:rsid w:val="662144F3"/>
    <w:rsid w:val="668C4743"/>
    <w:rsid w:val="66C63E61"/>
    <w:rsid w:val="66DE4873"/>
    <w:rsid w:val="671E16FD"/>
    <w:rsid w:val="672030DD"/>
    <w:rsid w:val="673E0EA0"/>
    <w:rsid w:val="67694A84"/>
    <w:rsid w:val="676A6106"/>
    <w:rsid w:val="67BA0E3C"/>
    <w:rsid w:val="67DA7730"/>
    <w:rsid w:val="680622D3"/>
    <w:rsid w:val="681D536B"/>
    <w:rsid w:val="683165C3"/>
    <w:rsid w:val="684626D0"/>
    <w:rsid w:val="685968A7"/>
    <w:rsid w:val="688A43CD"/>
    <w:rsid w:val="68ED3855"/>
    <w:rsid w:val="69513A22"/>
    <w:rsid w:val="69CE5072"/>
    <w:rsid w:val="69ED59AD"/>
    <w:rsid w:val="69F6406B"/>
    <w:rsid w:val="6A0D5B9B"/>
    <w:rsid w:val="6A1A2C32"/>
    <w:rsid w:val="6AB219D6"/>
    <w:rsid w:val="6B351F27"/>
    <w:rsid w:val="6B39476E"/>
    <w:rsid w:val="6B6E08BB"/>
    <w:rsid w:val="6B79100E"/>
    <w:rsid w:val="6BC24763"/>
    <w:rsid w:val="6C4433CA"/>
    <w:rsid w:val="6C67530A"/>
    <w:rsid w:val="6C757E0C"/>
    <w:rsid w:val="6C8B3195"/>
    <w:rsid w:val="6CA87A57"/>
    <w:rsid w:val="6CBC3EE2"/>
    <w:rsid w:val="6CC97F2B"/>
    <w:rsid w:val="6CD025E4"/>
    <w:rsid w:val="6CDE55CC"/>
    <w:rsid w:val="6D133282"/>
    <w:rsid w:val="6D6C2BD8"/>
    <w:rsid w:val="6D6F0C6B"/>
    <w:rsid w:val="6DB36A59"/>
    <w:rsid w:val="6DC76061"/>
    <w:rsid w:val="6E182D60"/>
    <w:rsid w:val="6E315BD0"/>
    <w:rsid w:val="6E4D081D"/>
    <w:rsid w:val="6E6D0E10"/>
    <w:rsid w:val="6E9C573F"/>
    <w:rsid w:val="6EC65B8D"/>
    <w:rsid w:val="6ECB392F"/>
    <w:rsid w:val="6EF84266"/>
    <w:rsid w:val="6F217B96"/>
    <w:rsid w:val="6FC565D0"/>
    <w:rsid w:val="6FE17764"/>
    <w:rsid w:val="6FEC1B43"/>
    <w:rsid w:val="70090FAE"/>
    <w:rsid w:val="70221022"/>
    <w:rsid w:val="704F3583"/>
    <w:rsid w:val="705D0EFE"/>
    <w:rsid w:val="70DC68F1"/>
    <w:rsid w:val="70F01D72"/>
    <w:rsid w:val="70F8139C"/>
    <w:rsid w:val="718B3849"/>
    <w:rsid w:val="72484408"/>
    <w:rsid w:val="728C5ACB"/>
    <w:rsid w:val="72E329CE"/>
    <w:rsid w:val="72EA1FE0"/>
    <w:rsid w:val="73081BE2"/>
    <w:rsid w:val="731E2BC7"/>
    <w:rsid w:val="73256266"/>
    <w:rsid w:val="732950C8"/>
    <w:rsid w:val="732C5B6B"/>
    <w:rsid w:val="732F6CDB"/>
    <w:rsid w:val="733A5527"/>
    <w:rsid w:val="73F90F3E"/>
    <w:rsid w:val="74BB4445"/>
    <w:rsid w:val="74BD1F6B"/>
    <w:rsid w:val="74BE5550"/>
    <w:rsid w:val="74DF0134"/>
    <w:rsid w:val="75082E7D"/>
    <w:rsid w:val="75973D58"/>
    <w:rsid w:val="75A073F5"/>
    <w:rsid w:val="761D53B8"/>
    <w:rsid w:val="762445EB"/>
    <w:rsid w:val="767F548D"/>
    <w:rsid w:val="76DF4FE6"/>
    <w:rsid w:val="76FC7D28"/>
    <w:rsid w:val="77366005"/>
    <w:rsid w:val="773A510F"/>
    <w:rsid w:val="774509C1"/>
    <w:rsid w:val="777A4E60"/>
    <w:rsid w:val="77866F8C"/>
    <w:rsid w:val="78591FAB"/>
    <w:rsid w:val="78A51694"/>
    <w:rsid w:val="78A91184"/>
    <w:rsid w:val="78C074D3"/>
    <w:rsid w:val="78F0091A"/>
    <w:rsid w:val="79030169"/>
    <w:rsid w:val="792702FB"/>
    <w:rsid w:val="79A951B4"/>
    <w:rsid w:val="79B9002E"/>
    <w:rsid w:val="79DE4E5E"/>
    <w:rsid w:val="79EB1329"/>
    <w:rsid w:val="79ED7572"/>
    <w:rsid w:val="7A9419C0"/>
    <w:rsid w:val="7AAB462C"/>
    <w:rsid w:val="7AB756AF"/>
    <w:rsid w:val="7AD3144F"/>
    <w:rsid w:val="7AE53FCA"/>
    <w:rsid w:val="7B05641A"/>
    <w:rsid w:val="7B231460"/>
    <w:rsid w:val="7B2A19D1"/>
    <w:rsid w:val="7B6E2211"/>
    <w:rsid w:val="7BB977DA"/>
    <w:rsid w:val="7BBF7DD6"/>
    <w:rsid w:val="7BDC53CD"/>
    <w:rsid w:val="7BFF3CB3"/>
    <w:rsid w:val="7C376AA7"/>
    <w:rsid w:val="7C5065D3"/>
    <w:rsid w:val="7CBD097F"/>
    <w:rsid w:val="7D90733C"/>
    <w:rsid w:val="7D9D0B8C"/>
    <w:rsid w:val="7E097FCF"/>
    <w:rsid w:val="7E110D76"/>
    <w:rsid w:val="7E1846B6"/>
    <w:rsid w:val="7E467EAD"/>
    <w:rsid w:val="7E6A1E84"/>
    <w:rsid w:val="7E7C2E97"/>
    <w:rsid w:val="7E956EBF"/>
    <w:rsid w:val="7EA30424"/>
    <w:rsid w:val="7EB97C47"/>
    <w:rsid w:val="7ED70E8B"/>
    <w:rsid w:val="7F361BCE"/>
    <w:rsid w:val="7F3D58B7"/>
    <w:rsid w:val="7F4514DB"/>
    <w:rsid w:val="7F9B734D"/>
    <w:rsid w:val="7FC06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黑体"/>
      <w:kern w:val="44"/>
      <w:sz w:val="32"/>
    </w:rPr>
  </w:style>
  <w:style w:type="paragraph" w:styleId="3">
    <w:name w:val="heading 2"/>
    <w:basedOn w:val="1"/>
    <w:next w:val="1"/>
    <w:unhideWhenUsed/>
    <w:qFormat/>
    <w:uiPriority w:val="0"/>
    <w:pPr>
      <w:keepNext/>
      <w:keepLines/>
      <w:spacing w:before="20" w:after="20" w:line="416" w:lineRule="auto"/>
      <w:outlineLvl w:val="1"/>
    </w:pPr>
    <w:rPr>
      <w:rFonts w:ascii="Arial" w:hAnsi="Arial" w:eastAsia="黑体"/>
      <w:b/>
      <w:bCs/>
      <w:kern w:val="0"/>
      <w:sz w:val="32"/>
      <w:szCs w:val="32"/>
    </w:rPr>
  </w:style>
  <w:style w:type="paragraph" w:styleId="4">
    <w:name w:val="heading 3"/>
    <w:basedOn w:val="1"/>
    <w:next w:val="1"/>
    <w:unhideWhenUsed/>
    <w:qFormat/>
    <w:uiPriority w:val="0"/>
    <w:pPr>
      <w:keepNext/>
      <w:keepLines/>
      <w:spacing w:before="20" w:beforeLines="0" w:beforeAutospacing="0" w:after="20" w:afterLines="0" w:afterAutospacing="0" w:line="360" w:lineRule="auto"/>
      <w:outlineLvl w:val="2"/>
    </w:pPr>
    <w:rPr>
      <w:rFonts w:ascii="Calibri" w:hAnsi="Calibri" w:eastAsia="宋体"/>
      <w:b/>
      <w:sz w:val="32"/>
    </w:rPr>
  </w:style>
  <w:style w:type="paragraph" w:styleId="5">
    <w:name w:val="heading 4"/>
    <w:basedOn w:val="1"/>
    <w:next w:val="1"/>
    <w:unhideWhenUsed/>
    <w:qFormat/>
    <w:uiPriority w:val="0"/>
    <w:pPr>
      <w:keepNext w:val="0"/>
      <w:keepLines/>
      <w:spacing w:line="360" w:lineRule="auto"/>
      <w:jc w:val="left"/>
      <w:outlineLvl w:val="3"/>
    </w:pPr>
    <w:rPr>
      <w:rFonts w:ascii="Cambria" w:hAnsi="Cambria" w:eastAsia="宋体"/>
      <w:b/>
      <w:bCs/>
      <w:sz w:val="21"/>
      <w:szCs w:val="28"/>
    </w:rPr>
  </w:style>
  <w:style w:type="paragraph" w:styleId="6">
    <w:name w:val="heading 5"/>
    <w:basedOn w:val="1"/>
    <w:next w:val="1"/>
    <w:unhideWhenUsed/>
    <w:qFormat/>
    <w:uiPriority w:val="0"/>
    <w:pPr>
      <w:keepNext/>
      <w:keepLines/>
      <w:spacing w:before="280" w:after="290" w:line="376" w:lineRule="auto"/>
      <w:outlineLvl w:val="4"/>
    </w:pPr>
    <w:rPr>
      <w:rFonts w:ascii="Times New Roman" w:hAnsi="Times New Roman" w:eastAsia="宋体"/>
      <w:b/>
      <w:bCs/>
      <w:sz w:val="28"/>
      <w:szCs w:val="28"/>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Body Text"/>
    <w:basedOn w:val="1"/>
    <w:qFormat/>
    <w:uiPriority w:val="0"/>
    <w:pPr>
      <w:spacing w:after="120"/>
    </w:pPr>
  </w:style>
  <w:style w:type="paragraph" w:styleId="10">
    <w:name w:val="Plain Text"/>
    <w:basedOn w:val="1"/>
    <w:next w:val="1"/>
    <w:qFormat/>
    <w:uiPriority w:val="0"/>
    <w:rPr>
      <w:rFonts w:ascii="宋体" w:hAnsi="宋体" w:eastAsia="宋体"/>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index 1"/>
    <w:basedOn w:val="1"/>
    <w:next w:val="1"/>
    <w:qFormat/>
    <w:uiPriority w:val="99"/>
    <w:pPr>
      <w:spacing w:line="400" w:lineRule="exact"/>
      <w:ind w:firstLine="420" w:firstLineChars="200"/>
    </w:pPr>
    <w:rPr>
      <w:rFonts w:ascii="宋体" w:hAnsi="Courier New"/>
      <w:b/>
      <w:szCs w:val="20"/>
    </w:rPr>
  </w:style>
  <w:style w:type="paragraph" w:styleId="15">
    <w:name w:val="Title"/>
    <w:basedOn w:val="1"/>
    <w:next w:val="1"/>
    <w:qFormat/>
    <w:uiPriority w:val="10"/>
    <w:pPr>
      <w:spacing w:before="240" w:after="60"/>
      <w:jc w:val="center"/>
      <w:outlineLvl w:val="0"/>
    </w:pPr>
    <w:rPr>
      <w:rFonts w:ascii="Cambria" w:hAnsi="Cambria" w:eastAsia="宋体" w:cs="Times New Roman"/>
      <w:b/>
      <w:bCs/>
      <w:sz w:val="32"/>
      <w:szCs w:val="3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unhideWhenUsed/>
    <w:qFormat/>
    <w:uiPriority w:val="99"/>
    <w:rPr>
      <w:sz w:val="21"/>
      <w:szCs w:val="21"/>
    </w:rPr>
  </w:style>
  <w:style w:type="character" w:customStyle="1" w:styleId="20">
    <w:name w:val="font21"/>
    <w:qFormat/>
    <w:uiPriority w:val="0"/>
    <w:rPr>
      <w:rFonts w:hint="eastAsia" w:ascii="Courier New" w:hAnsi="Courier New" w:eastAsia="Courier New" w:cs="Courier New"/>
      <w:color w:val="000000"/>
      <w:sz w:val="28"/>
      <w:szCs w:val="28"/>
      <w:u w:val="none"/>
    </w:rPr>
  </w:style>
  <w:style w:type="character" w:customStyle="1" w:styleId="21">
    <w:name w:val="font11"/>
    <w:qFormat/>
    <w:uiPriority w:val="0"/>
    <w:rPr>
      <w:rFonts w:hint="eastAsia" w:ascii="Courier New" w:hAnsi="Courier New" w:eastAsia="Courier New" w:cs="Courier New"/>
      <w:b/>
      <w:color w:val="000000"/>
      <w:sz w:val="28"/>
      <w:szCs w:val="28"/>
      <w:u w:val="none"/>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8605</Words>
  <Characters>9879</Characters>
  <Lines>0</Lines>
  <Paragraphs>0</Paragraphs>
  <TotalTime>0</TotalTime>
  <ScaleCrop>false</ScaleCrop>
  <LinksUpToDate>false</LinksUpToDate>
  <CharactersWithSpaces>9916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2026-01-14T07:40:00Z</dcterms:created>
  <dc:creator>肖杨鹏</dc:creator>
  <cp:lastModifiedBy>你好，好吗</cp:lastModifiedBy>
  <dcterms:modified xsi:type="dcterms:W3CDTF">2026-04-10T10:01:45Z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68E69F6409D04107ADB979A30F868F5D_13</vt:lpwstr>
  </property>
  <property fmtid="{D5CDD505-2E9C-101B-9397-08002B2CF9AE}" pid="4" name="KSOTemplateDocerSaveRecord">
    <vt:lpwstr>eyJoZGlkIjoiMWYzYzM2YjViYjU3NTcxOWI4NWEzYzRkNjJkNzNkMWIiLCJ1c2VySWQiOiIxMTM2OTQ4MzAzIn0=</vt:lpwstr>
  </property>
</Properties>
</file>